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36"/>
        </w:rPr>
      </w:pPr>
      <w:r>
        <w:rPr>
          <w:rFonts w:ascii="Arial;sans-serif" w:hAnsi="Arial;sans-serif"/>
          <w:b/>
          <w:color w:val="000000"/>
          <w:sz w:val="36"/>
        </w:rPr>
        <w:t xml:space="preserve">Form 10-K </w:t>
      </w:r>
    </w:p>
    <w:tbl>
      <w:tblPr>
        <w:tblW w:w="9372" w:type="dxa"/>
        <w:jc w:val="left"/>
        <w:tblInd w:w="0" w:type="dxa"/>
        <w:tblLayout w:type="fixed"/>
        <w:tblCellMar>
          <w:top w:w="28" w:type="dxa"/>
          <w:left w:w="28" w:type="dxa"/>
          <w:bottom w:w="28" w:type="dxa"/>
          <w:right w:w="28" w:type="dxa"/>
        </w:tblCellMar>
      </w:tblPr>
      <w:tblGrid>
        <w:gridCol w:w="124"/>
        <w:gridCol w:w="109"/>
        <w:gridCol w:w="109"/>
        <w:gridCol w:w="2641"/>
        <w:gridCol w:w="2641"/>
        <w:gridCol w:w="3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ANNUAL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32"/>
        </w:rPr>
      </w:pPr>
      <w:r>
        <w:rPr>
          <w:rFonts w:ascii="Arial;sans-serif" w:hAnsi="Arial;sans-serif"/>
          <w:b/>
          <w:color w:val="000000"/>
          <w:sz w:val="32"/>
        </w:rPr>
        <w:t xml:space="preserve">For the fiscal year ended December 31, 2025 </w:t>
      </w:r>
    </w:p>
    <w:p>
      <w:pPr>
        <w:pStyle w:val="TextBody"/>
        <w:bidi w:val="0"/>
        <w:spacing w:lineRule="auto" w:line="288" w:before="120" w:after="283"/>
        <w:jc w:val="center"/>
        <w:rPr>
          <w:rFonts w:ascii="Arial;sans-serif" w:hAnsi="Arial;sans-serif"/>
          <w:b/>
          <w:color w:val="000000"/>
          <w:sz w:val="22"/>
        </w:rPr>
      </w:pPr>
      <w:r>
        <w:rPr>
          <w:rFonts w:ascii="Arial;sans-serif" w:hAnsi="Arial;sans-serif"/>
          <w:b/>
          <w:color w:val="000000"/>
          <w:sz w:val="22"/>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For the transition period from                 to                </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Commission File Number: 001-34927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32"/>
        </w:rPr>
      </w:pPr>
      <w:r>
        <w:rPr>
          <w:rFonts w:ascii="Arial;sans-serif" w:hAnsi="Arial;sans-serif"/>
          <w:b/>
          <w:color w:val="000000"/>
          <w:sz w:val="32"/>
        </w:rPr>
        <w:t xml:space="preserve">Compass Diversified Holdings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50"/>
        <w:gridCol w:w="1971"/>
        <w:gridCol w:w="1991"/>
        <w:gridCol w:w="109"/>
        <w:gridCol w:w="109"/>
        <w:gridCol w:w="109"/>
        <w:gridCol w:w="1070"/>
        <w:gridCol w:w="1070"/>
        <w:gridCol w:w="1526"/>
      </w:tblGrid>
      <w:tr>
        <w:trPr/>
        <w:tc>
          <w:tcPr>
            <w:tcW w:w="225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6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57-6218917</w:t>
            </w:r>
          </w:p>
        </w:tc>
      </w:tr>
      <w:tr>
        <w:trPr/>
        <w:tc>
          <w:tcPr>
            <w:tcW w:w="6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(I.R.S. Employer Identification No.)</w:t>
            </w:r>
          </w:p>
        </w:tc>
      </w:tr>
    </w:tbl>
    <w:p>
      <w:pPr>
        <w:pStyle w:val="TextBody"/>
        <w:bidi w:val="0"/>
        <w:spacing w:lineRule="auto" w:line="288" w:before="180" w:after="283"/>
        <w:jc w:val="center"/>
        <w:rPr>
          <w:rFonts w:ascii="Arial;sans-serif" w:hAnsi="Arial;sans-serif"/>
          <w:b/>
          <w:color w:val="000000"/>
          <w:sz w:val="22"/>
        </w:rPr>
      </w:pPr>
      <w:r>
        <w:rPr>
          <w:rFonts w:ascii="Arial;sans-serif" w:hAnsi="Arial;sans-serif"/>
          <w:b/>
          <w:color w:val="000000"/>
          <w:sz w:val="22"/>
        </w:rPr>
        <w:t xml:space="preserve">Commission File Number: 001-34926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sans-serif" w:hAnsi="Arial;sans-serif"/>
          <w:b/>
          <w:color w:val="000000"/>
          <w:sz w:val="32"/>
        </w:rPr>
      </w:pPr>
      <w:r>
        <w:rPr>
          <w:rFonts w:ascii="Arial;sans-serif" w:hAnsi="Arial;sans-serif"/>
          <w:b/>
          <w:color w:val="000000"/>
          <w:sz w:val="32"/>
        </w:rPr>
        <w:t>Compass Group Diversified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69"/>
        <w:gridCol w:w="1900"/>
        <w:gridCol w:w="1919"/>
        <w:gridCol w:w="109"/>
        <w:gridCol w:w="109"/>
        <w:gridCol w:w="109"/>
        <w:gridCol w:w="109"/>
        <w:gridCol w:w="109"/>
        <w:gridCol w:w="109"/>
        <w:gridCol w:w="1040"/>
        <w:gridCol w:w="1040"/>
        <w:gridCol w:w="1483"/>
      </w:tblGrid>
      <w:tr>
        <w:trPr/>
        <w:tc>
          <w:tcPr>
            <w:tcW w:w="216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rPr/>
        <w:tc>
          <w:tcPr>
            <w:tcW w:w="5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20-3812051</w:t>
            </w:r>
          </w:p>
        </w:tc>
      </w:tr>
      <w:tr>
        <w:trPr/>
        <w:tc>
          <w:tcPr>
            <w:tcW w:w="5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1"/>
              </w:rPr>
            </w:pPr>
            <w:r>
              <w:rPr>
                <w:rFonts w:ascii="Arial;sans-serif" w:hAnsi="Arial;sans-serif"/>
                <w:b/>
                <w:color w:val="000000"/>
                <w:sz w:val="21"/>
              </w:rPr>
              <w:t>(I.R.S. Employer Identification No.)</w:t>
            </w:r>
          </w:p>
        </w:tc>
      </w:tr>
    </w:tbl>
    <w:tbl>
      <w:tblPr>
        <w:tblW w:w="6342" w:type="dxa"/>
        <w:jc w:val="center"/>
        <w:tblInd w:w="0" w:type="dxa"/>
        <w:tblLayout w:type="fixed"/>
        <w:tblCellMar>
          <w:top w:w="28" w:type="dxa"/>
          <w:left w:w="28" w:type="dxa"/>
          <w:bottom w:w="28" w:type="dxa"/>
          <w:right w:w="28" w:type="dxa"/>
        </w:tblCellMar>
      </w:tblPr>
      <w:tblGrid>
        <w:gridCol w:w="1288"/>
        <w:gridCol w:w="1130"/>
        <w:gridCol w:w="1137"/>
        <w:gridCol w:w="109"/>
        <w:gridCol w:w="109"/>
        <w:gridCol w:w="109"/>
        <w:gridCol w:w="329"/>
        <w:gridCol w:w="329"/>
        <w:gridCol w:w="331"/>
        <w:gridCol w:w="120"/>
        <w:gridCol w:w="120"/>
        <w:gridCol w:w="121"/>
        <w:gridCol w:w="325"/>
        <w:gridCol w:w="325"/>
        <w:gridCol w:w="460"/>
      </w:tblGrid>
      <w:tr>
        <w:trPr/>
        <w:tc>
          <w:tcPr>
            <w:tcW w:w="1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301 Riverside Avenue, Second Floor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Westport,</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CT</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06880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(Address of principal executive office)</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(Zip Code)</w:t>
            </w:r>
          </w:p>
        </w:tc>
      </w:tr>
    </w:tbl>
    <w:p>
      <w:pPr>
        <w:pStyle w:val="TextBody"/>
        <w:bidi w:val="0"/>
        <w:spacing w:lineRule="auto" w:line="288" w:before="240" w:after="283"/>
        <w:jc w:val="center"/>
        <w:rPr>
          <w:rFonts w:ascii="Arial;sans-serif" w:hAnsi="Arial;sans-serif"/>
          <w:b/>
          <w:color w:val="000000"/>
          <w:sz w:val="22"/>
        </w:rPr>
      </w:pPr>
      <w:r>
        <w:rPr>
          <w:rFonts w:ascii="Arial;sans-serif" w:hAnsi="Arial;sans-serif"/>
          <w:b/>
          <w:color w:val="000000"/>
          <w:sz w:val="22"/>
        </w:rPr>
        <w:t xml:space="preserve">(203) 221-1703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(Registrants’ telephone number, including area code)</w:t>
      </w:r>
    </w:p>
    <w:p>
      <w:pPr>
        <w:pStyle w:val="TextBody"/>
        <w:bidi w:val="0"/>
        <w:spacing w:lineRule="auto" w:line="288" w:before="120" w:after="283"/>
        <w:jc w:val="center"/>
        <w:rPr>
          <w:rFonts w:ascii="Arial;sans-serif" w:hAnsi="Arial;sans-serif"/>
          <w:b/>
          <w:color w:val="000000"/>
          <w:sz w:val="22"/>
        </w:rPr>
      </w:pPr>
      <w:r>
        <w:rPr>
          <w:rFonts w:ascii="Arial;sans-serif" w:hAnsi="Arial;sans-serif"/>
          <w:b/>
          <w:color w:val="000000"/>
          <w:sz w:val="22"/>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912"/>
        <w:gridCol w:w="1580"/>
        <w:gridCol w:w="1581"/>
        <w:gridCol w:w="109"/>
        <w:gridCol w:w="109"/>
        <w:gridCol w:w="109"/>
        <w:gridCol w:w="441"/>
        <w:gridCol w:w="441"/>
        <w:gridCol w:w="442"/>
        <w:gridCol w:w="109"/>
        <w:gridCol w:w="109"/>
        <w:gridCol w:w="109"/>
        <w:gridCol w:w="922"/>
        <w:gridCol w:w="922"/>
        <w:gridCol w:w="1310"/>
      </w:tblGrid>
      <w:tr>
        <w:trPr/>
        <w:tc>
          <w:tcPr>
            <w:tcW w:w="1912"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50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50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representing beneficial interests in Compass Diversified Holdings (“common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CODI</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0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CODI PR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07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B Preferred Shares representing beneficial interests in Compass Diversified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CODI PR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07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Shares representing beneficial interests in Compass Diversified Holdings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CODI PR 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center"/>
        <w:rPr>
          <w:rFonts w:ascii="Arial;sans-serif" w:hAnsi="Arial;sans-serif"/>
          <w:b/>
          <w:color w:val="000000"/>
          <w:sz w:val="20"/>
        </w:rPr>
      </w:pPr>
      <w:r>
        <w:rPr>
          <w:rFonts w:ascii="Arial;sans-serif" w:hAnsi="Arial;sans-serif"/>
          <w:b/>
          <w:color w:val="000000"/>
          <w:sz w:val="20"/>
        </w:rPr>
        <w:t>Securities registered pursuant to Section 12(g) of the Act: None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pPr>
      <w:r>
        <w:rPr>
          <w:rFonts w:ascii="Arial;sans-serif" w:hAnsi="Arial;sans-serif"/>
          <w:b w:val="false"/>
          <w:color w:val="000000"/>
          <w:sz w:val="18"/>
        </w:rPr>
        <w:t>Indicate by check mark if the registrants are collectively a well-known seasoned issuer, as defined in Rule 405 of the Securities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80" w:after="283"/>
        <w:jc w:val="both"/>
        <w:rPr/>
      </w:pPr>
      <w:r>
        <w:rPr>
          <w:rFonts w:ascii="Arial;sans-serif" w:hAnsi="Arial;sans-serif"/>
          <w:b w:val="false"/>
          <w:color w:val="000000"/>
          <w:sz w:val="18"/>
        </w:rPr>
        <w:t>Indicate by check mark if the registrants are collectively not required to file reports pursuant to Section 13 or Section 15(d) of the Act. Yes </w:t>
      </w:r>
      <w:r>
        <w:rPr>
          <w:color w:val="000000"/>
        </w:rPr>
        <w:t xml:space="preserve">☐  </w:t>
      </w:r>
      <w:r>
        <w:rPr>
          <w:rFonts w:ascii="Arial;sans-serif" w:hAnsi="Arial;sans-serif"/>
          <w:b w:val="false"/>
          <w:color w:val="000000"/>
          <w:sz w:val="18"/>
        </w:rPr>
        <w:t>No</w:t>
      </w:r>
      <w:r>
        <w:rPr>
          <w:color w:val="000000"/>
        </w:rPr>
        <w:t xml:space="preserve"> ☑</w:t>
      </w:r>
    </w:p>
    <w:p>
      <w:pPr>
        <w:pStyle w:val="TextBody"/>
        <w:bidi w:val="0"/>
        <w:spacing w:lineRule="auto" w:line="288" w:before="180" w:after="283"/>
        <w:jc w:val="both"/>
        <w:rPr/>
      </w:pPr>
      <w:r>
        <w:rPr>
          <w:rFonts w:ascii="Arial;sans-serif" w:hAnsi="Arial;sans-serif"/>
          <w:b w:val="false"/>
          <w:color w:val="000000"/>
          <w:sz w:val="18"/>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w:t>
      </w:r>
      <w:r>
        <w:rPr>
          <w:color w:val="000000"/>
        </w:rPr>
        <w:t xml:space="preserve"> ☑    </w:t>
      </w:r>
      <w:r>
        <w:rPr>
          <w:rFonts w:ascii="Arial;sans-serif" w:hAnsi="Arial;sans-serif"/>
          <w:b w:val="false"/>
          <w:color w:val="000000"/>
          <w:sz w:val="18"/>
        </w:rPr>
        <w:t>No</w:t>
      </w:r>
      <w:r>
        <w:rPr>
          <w:color w:val="000000"/>
        </w:rPr>
        <w:t xml:space="preserve"> ☐</w:t>
      </w:r>
    </w:p>
    <w:p>
      <w:pPr>
        <w:pStyle w:val="TextBody"/>
        <w:bidi w:val="0"/>
        <w:spacing w:lineRule="auto" w:line="288" w:before="180" w:after="283"/>
        <w:jc w:val="both"/>
        <w:rPr/>
      </w:pPr>
      <w:r>
        <w:rPr>
          <w:rFonts w:ascii="Arial;sans-serif" w:hAnsi="Arial;sans-serif"/>
          <w:b w:val="false"/>
          <w:color w:val="000000"/>
          <w:sz w:val="18"/>
        </w:rPr>
        <w:t>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    Yes</w:t>
      </w:r>
      <w:r>
        <w:rPr>
          <w:color w:val="000000"/>
        </w:rPr>
        <w:t xml:space="preserve"> ☑    </w:t>
      </w:r>
      <w:r>
        <w:rPr>
          <w:rFonts w:ascii="Arial;sans-serif" w:hAnsi="Arial;sans-serif"/>
          <w:b w:val="false"/>
          <w:color w:val="000000"/>
          <w:sz w:val="18"/>
        </w:rPr>
        <w:t>No </w:t>
      </w:r>
      <w:r>
        <w:rPr>
          <w:color w:val="000000"/>
        </w:rPr>
        <w: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registrants are collectively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613"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3"/>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registrants have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Arial;sans-serif" w:hAnsi="Arial;sans-serif"/>
          <w:b w:val="false"/>
          <w:color w:val="000000"/>
          <w:sz w:val="24"/>
        </w:rPr>
        <w:t xml:space="preserve">. </w:t>
      </w:r>
      <w:r>
        <w:rPr>
          <w:color w:val="000000"/>
        </w:rPr>
        <w:t>☐</w:t>
      </w:r>
    </w:p>
    <w:p>
      <w:pPr>
        <w:pStyle w:val="TextBody"/>
        <w:bidi w:val="0"/>
        <w:spacing w:lineRule="auto" w:line="288" w:before="180" w:after="283"/>
        <w:jc w:val="both"/>
        <w:rPr/>
      </w:pPr>
      <w:r>
        <w:rPr>
          <w:rFonts w:ascii="Arial;sans-serif" w:hAnsi="Arial;sans-serif"/>
          <w:b w:val="false"/>
          <w:color w:val="000000"/>
          <w:sz w:val="18"/>
        </w:rPr>
        <w:t>Indicate by check mark whether the registrants are collectively a shell company (as defined in Rule 12b-2 of the Act).   Yes </w:t>
      </w:r>
      <w:r>
        <w:rPr>
          <w:color w:val="000000"/>
        </w:rPr>
        <w:t>☐   </w:t>
      </w:r>
      <w:r>
        <w:rPr>
          <w:rFonts w:ascii="Arial;sans-serif" w:hAnsi="Arial;sans-serif"/>
          <w:b w:val="false"/>
          <w:color w:val="000000"/>
          <w:sz w:val="18"/>
        </w:rPr>
        <w:t>No</w:t>
      </w:r>
      <w:r>
        <w:rPr>
          <w:color w:val="000000"/>
        </w:rPr>
        <w:t xml:space="preserve"> ☑</w:t>
      </w:r>
    </w:p>
    <w:p>
      <w:pPr>
        <w:pStyle w:val="TextBody"/>
        <w:bidi w:val="0"/>
        <w:spacing w:lineRule="auto" w:line="288" w:before="180" w:after="283"/>
        <w:ind w:left="0" w:right="0" w:firstLine="495"/>
        <w:jc w:val="both"/>
        <w:rPr/>
      </w:pPr>
      <w:r>
        <w:rPr>
          <w:rFonts w:ascii="Arial;sans-serif" w:hAnsi="Arial;sans-serif"/>
          <w:b w:val="false"/>
          <w:color w:val="000000"/>
          <w:sz w:val="18"/>
        </w:rPr>
        <w:t xml:space="preserve">The aggregate market value of the outstanding common shares of trust stock held by non-affiliates of Compass Diversified Holdings at June 30, 2025 was $418,857,778 based on the closing price on the New York Stock Exchange on that date. For purposes of the foregoing calculation only, all directors and officers of the registrant have been deemed affiliates. There were </w:t>
      </w:r>
      <w:r>
        <w:rPr>
          <w:rFonts w:ascii="Arial;sans-serif" w:hAnsi="Arial;sans-serif"/>
          <w:b w:val="false"/>
          <w:color w:val="000000"/>
          <w:sz w:val="18"/>
          <w:shd w:fill="FFFFFF" w:val="clear"/>
        </w:rPr>
        <w:t>75,235,966 com</w:t>
      </w:r>
      <w:r>
        <w:rPr>
          <w:rFonts w:ascii="Arial;sans-serif" w:hAnsi="Arial;sans-serif"/>
          <w:b w:val="false"/>
          <w:color w:val="000000"/>
          <w:sz w:val="18"/>
        </w:rPr>
        <w:t>mon shares of trust stock without par value outstanding at February 24, 2026.</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Documents Incorporated by Reference</w:t>
      </w:r>
    </w:p>
    <w:p>
      <w:pPr>
        <w:pStyle w:val="TextBody"/>
        <w:bidi w:val="0"/>
        <w:spacing w:lineRule="auto" w:line="288" w:before="180" w:after="283"/>
        <w:ind w:left="0" w:right="0" w:firstLine="495"/>
        <w:jc w:val="both"/>
        <w:rPr>
          <w:rFonts w:ascii="Arial;sans-serif" w:hAnsi="Arial;sans-serif"/>
          <w:b w:val="false"/>
          <w:color w:val="000000"/>
          <w:sz w:val="18"/>
        </w:rPr>
      </w:pPr>
      <w:r>
        <w:rPr>
          <w:rFonts w:ascii="Arial;sans-serif" w:hAnsi="Arial;sans-serif"/>
          <w:b w:val="false"/>
          <w:color w:val="000000"/>
          <w:sz w:val="18"/>
        </w:rPr>
        <w:t>Certain information in the registrant’s definitive proxy statement to be filed with the Commission relating to the registrants' 2026 Annual Meeting of Shareholders is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5"/>
        <w:gridCol w:w="285"/>
        <w:gridCol w:w="291"/>
        <w:gridCol w:w="2927"/>
        <w:gridCol w:w="2876"/>
        <w:gridCol w:w="2884"/>
        <w:gridCol w:w="180"/>
        <w:gridCol w:w="180"/>
        <w:gridCol w:w="257"/>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w:t>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Business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2">
              <w:r>
                <w:rPr>
                  <w:rStyle w:val="InternetLink"/>
                  <w:rFonts w:ascii="Arial;sans-serif" w:hAnsi="Arial;sans-serif"/>
                  <w:b w:val="false"/>
                  <w:color w:val="0000FF"/>
                  <w:sz w:val="20"/>
                  <w:u w:val="single"/>
                </w:rPr>
                <w:t>8</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Risk Factors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70">
              <w:r>
                <w:rPr>
                  <w:rStyle w:val="InternetLink"/>
                  <w:rFonts w:ascii="Arial;sans-serif" w:hAnsi="Arial;sans-serif"/>
                  <w:b w:val="false"/>
                  <w:color w:val="0000FF"/>
                  <w:sz w:val="20"/>
                  <w:u w:val="single"/>
                </w:rPr>
                <w:t>52</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1B.</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Unresolved Staff Comments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00">
              <w:r>
                <w:rPr>
                  <w:rStyle w:val="InternetLink"/>
                  <w:rFonts w:ascii="Arial;sans-serif" w:hAnsi="Arial;sans-serif"/>
                  <w:b w:val="false"/>
                  <w:color w:val="0000FF"/>
                  <w:sz w:val="20"/>
                  <w:u w:val="single"/>
                </w:rPr>
                <w:t>67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1C.</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103">
              <w:r>
                <w:rPr>
                  <w:rStyle w:val="InternetLink"/>
                  <w:rFonts w:ascii="Arial;sans-serif" w:hAnsi="Arial;sans-serif"/>
                  <w:b w:val="false"/>
                  <w:color w:val="0000FF"/>
                  <w:sz w:val="20"/>
                  <w:u w:val="single"/>
                </w:rPr>
                <w:t>Cybersecurity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03">
              <w:r>
                <w:rPr>
                  <w:rStyle w:val="InternetLink"/>
                  <w:rFonts w:ascii="Arial;sans-serif" w:hAnsi="Arial;sans-serif"/>
                  <w:b w:val="false"/>
                  <w:color w:val="0000FF"/>
                  <w:sz w:val="20"/>
                  <w:u w:val="single"/>
                </w:rPr>
                <w:t>67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Properties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06">
              <w:r>
                <w:rPr>
                  <w:rStyle w:val="InternetLink"/>
                  <w:rFonts w:ascii="Arial;sans-serif" w:hAnsi="Arial;sans-serif"/>
                  <w:b w:val="false"/>
                  <w:color w:val="0000FF"/>
                  <w:sz w:val="20"/>
                  <w:u w:val="single"/>
                </w:rPr>
                <w:t>68</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Legal Proceedings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09">
              <w:r>
                <w:rPr>
                  <w:rStyle w:val="InternetLink"/>
                  <w:rFonts w:ascii="Arial;sans-serif" w:hAnsi="Arial;sans-serif"/>
                  <w:b w:val="false"/>
                  <w:color w:val="0000FF"/>
                  <w:sz w:val="20"/>
                  <w:u w:val="single"/>
                </w:rPr>
                <w:t>70</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Mine Safety Disclosures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12">
              <w:r>
                <w:rPr>
                  <w:rStyle w:val="InternetLink"/>
                  <w:rFonts w:ascii="Arial;sans-serif" w:hAnsi="Arial;sans-serif"/>
                  <w:b w:val="false"/>
                  <w:color w:val="0000FF"/>
                  <w:sz w:val="20"/>
                  <w:u w:val="single"/>
                </w:rPr>
                <w:t>71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II</w:t>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Market for Registrant’s Common Equity, Related Stockholder Matters and Issuer Purchases of Equity Securities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18">
              <w:r>
                <w:rPr>
                  <w:rStyle w:val="InternetLink"/>
                  <w:rFonts w:ascii="Arial;sans-serif" w:hAnsi="Arial;sans-serif"/>
                  <w:b w:val="false"/>
                  <w:color w:val="0000FF"/>
                  <w:sz w:val="20"/>
                  <w:u w:val="single"/>
                </w:rPr>
                <w:t>72</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121">
              <w:r>
                <w:rPr>
                  <w:rStyle w:val="InternetLink"/>
                  <w:rFonts w:ascii="Arial;sans-serif" w:hAnsi="Arial;sans-serif"/>
                  <w:b w:val="false"/>
                  <w:color w:val="0000FF"/>
                  <w:sz w:val="20"/>
                  <w:u w:val="single"/>
                </w:rPr>
                <w:t>[Reserved]</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21">
              <w:r>
                <w:rPr>
                  <w:rStyle w:val="InternetLink"/>
                  <w:rFonts w:ascii="Arial;sans-serif" w:hAnsi="Arial;sans-serif"/>
                  <w:b w:val="false"/>
                  <w:color w:val="0000FF"/>
                  <w:sz w:val="20"/>
                  <w:u w:val="single"/>
                </w:rPr>
                <w:t>73</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Management’s Discussion and Analysis of Financial Condition and Results of Operations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24">
              <w:r>
                <w:rPr>
                  <w:rStyle w:val="InternetLink"/>
                  <w:rFonts w:ascii="Arial;sans-serif" w:hAnsi="Arial;sans-serif"/>
                  <w:b w:val="false"/>
                  <w:color w:val="0000FF"/>
                  <w:sz w:val="20"/>
                  <w:u w:val="single"/>
                </w:rPr>
                <w:t>74</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7A.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Quantitative and Qualitative Disclosures about Market Risk</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81">
              <w:r>
                <w:rPr>
                  <w:rStyle w:val="InternetLink"/>
                  <w:rFonts w:ascii="Arial;sans-serif" w:hAnsi="Arial;sans-serif"/>
                  <w:b w:val="false"/>
                  <w:color w:val="0000FF"/>
                  <w:sz w:val="20"/>
                  <w:u w:val="single"/>
                </w:rPr>
                <w:t>119</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8.</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Financial Statements and Supplementary Data</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84">
              <w:r>
                <w:rPr>
                  <w:rStyle w:val="InternetLink"/>
                  <w:rFonts w:ascii="Arial;sans-serif" w:hAnsi="Arial;sans-serif"/>
                  <w:b w:val="false"/>
                  <w:color w:val="0000FF"/>
                  <w:sz w:val="20"/>
                  <w:u w:val="single"/>
                </w:rPr>
                <w:t>120</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Changes in and Disagreements with Accountants on Accounting and Financial Disclosure</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87">
              <w:r>
                <w:rPr>
                  <w:rStyle w:val="InternetLink"/>
                  <w:rFonts w:ascii="Arial;sans-serif" w:hAnsi="Arial;sans-serif"/>
                  <w:b w:val="false"/>
                  <w:color w:val="0000FF"/>
                  <w:sz w:val="20"/>
                  <w:u w:val="single"/>
                </w:rPr>
                <w:t>121</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Controls and Procedures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90">
              <w:r>
                <w:rPr>
                  <w:rStyle w:val="InternetLink"/>
                  <w:rFonts w:ascii="Arial;sans-serif" w:hAnsi="Arial;sans-serif"/>
                  <w:b w:val="false"/>
                  <w:color w:val="0000FF"/>
                  <w:sz w:val="20"/>
                  <w:u w:val="single"/>
                </w:rPr>
                <w:t>122</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9B.</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Other Information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93">
              <w:r>
                <w:rPr>
                  <w:rStyle w:val="InternetLink"/>
                  <w:rFonts w:ascii="Arial;sans-serif" w:hAnsi="Arial;sans-serif"/>
                  <w:b w:val="false"/>
                  <w:color w:val="0000FF"/>
                  <w:sz w:val="20"/>
                  <w:u w:val="single"/>
                </w:rPr>
                <w:t>124</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9C.</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196">
              <w:r>
                <w:rPr>
                  <w:rStyle w:val="InternetLink"/>
                  <w:rFonts w:ascii="Arial;sans-serif" w:hAnsi="Arial;sans-serif"/>
                  <w:b w:val="false"/>
                  <w:color w:val="0000FF"/>
                  <w:sz w:val="20"/>
                  <w:u w:val="single"/>
                </w:rPr>
                <w:t>Disclosure Regarding Foreign Jurisdictions That Prevent Inspections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196">
              <w:r>
                <w:rPr>
                  <w:rStyle w:val="InternetLink"/>
                  <w:rFonts w:ascii="Arial;sans-serif" w:hAnsi="Arial;sans-serif"/>
                  <w:b w:val="false"/>
                  <w:color w:val="0000FF"/>
                  <w:sz w:val="20"/>
                  <w:u w:val="single"/>
                </w:rPr>
                <w:t>124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III</w:t>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10.</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Directors, Executive Officers and Corporate Governance</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02">
              <w:r>
                <w:rPr>
                  <w:rStyle w:val="InternetLink"/>
                  <w:rFonts w:ascii="Arial;sans-serif" w:hAnsi="Arial;sans-serif"/>
                  <w:b w:val="false"/>
                  <w:color w:val="0000FF"/>
                  <w:sz w:val="20"/>
                  <w:u w:val="single"/>
                </w:rPr>
                <w:t>125</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Executive Compensation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05">
              <w:r>
                <w:rPr>
                  <w:rStyle w:val="InternetLink"/>
                  <w:rFonts w:ascii="Arial;sans-serif" w:hAnsi="Arial;sans-serif"/>
                  <w:b w:val="false"/>
                  <w:color w:val="0000FF"/>
                  <w:sz w:val="20"/>
                  <w:u w:val="single"/>
                </w:rPr>
                <w:t>125</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Security Ownership of Certain Beneficial Owners and Management and Related Stockholder Matters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08">
              <w:r>
                <w:rPr>
                  <w:rStyle w:val="InternetLink"/>
                  <w:rFonts w:ascii="Arial;sans-serif" w:hAnsi="Arial;sans-serif"/>
                  <w:b w:val="false"/>
                  <w:color w:val="0000FF"/>
                  <w:sz w:val="20"/>
                  <w:u w:val="single"/>
                </w:rPr>
                <w:t>125</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Certain Relationships and Related Transactions and Director Independence</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11">
              <w:r>
                <w:rPr>
                  <w:rStyle w:val="InternetLink"/>
                  <w:rFonts w:ascii="Arial;sans-serif" w:hAnsi="Arial;sans-serif"/>
                  <w:b w:val="false"/>
                  <w:color w:val="0000FF"/>
                  <w:sz w:val="20"/>
                  <w:u w:val="single"/>
                </w:rPr>
                <w:t>125</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Principal Accountant Fees and Services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14">
              <w:r>
                <w:rPr>
                  <w:rStyle w:val="InternetLink"/>
                  <w:rFonts w:ascii="Arial;sans-serif" w:hAnsi="Arial;sans-serif"/>
                  <w:b w:val="false"/>
                  <w:color w:val="0000FF"/>
                  <w:sz w:val="20"/>
                  <w:u w:val="single"/>
                </w:rPr>
                <w:t>125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IV</w:t>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Exhibits and Financial Statement Schedules</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20">
              <w:r>
                <w:rPr>
                  <w:rStyle w:val="InternetLink"/>
                  <w:rFonts w:ascii="Arial;sans-serif" w:hAnsi="Arial;sans-serif"/>
                  <w:b w:val="false"/>
                  <w:color w:val="0000FF"/>
                  <w:sz w:val="20"/>
                  <w:u w:val="single"/>
                </w:rPr>
                <w:t>126</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20"/>
                <w:u w:val="single"/>
              </w:rPr>
            </w:pPr>
            <w:r>
              <w:rPr>
                <w:rFonts w:ascii="Arial;sans-serif" w:hAnsi="Arial;sans-serif"/>
                <w:b w:val="false"/>
                <w:color w:val="0000FF"/>
                <w:sz w:val="20"/>
                <w:u w:val="single"/>
              </w:rPr>
              <w:t>Form 10-K Summary</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fbf41abdb4a90b1f02abaa0b14bbd_226">
              <w:r>
                <w:rPr>
                  <w:rStyle w:val="InternetLink"/>
                  <w:rFonts w:ascii="Arial;sans-serif" w:hAnsi="Arial;sans-serif"/>
                  <w:b w:val="false"/>
                  <w:color w:val="0000FF"/>
                  <w:sz w:val="20"/>
                  <w:u w:val="single"/>
                </w:rPr>
                <w:t>131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NOTE TO READER</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In reading this Annual Report on Form 10-K, references to: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“Trust” and “Holdings” refer to Compass Diversified Holdings;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“LLC” refers to Compass Group Diversified Holdings LLC;</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"Company" refers to Compass Diversified Holdings and Compass Group Diversified Holdings LLC, collectively;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businesses”, “operating segments”, “subsidiaries” and “reporting units” all refer to, collectively, the businesses controlled by the Company;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“Manager” and "CGM" refer to Compass Group Management LLC;</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"Trust Agreement" refers to the Third Amended and Restated Trust Agreement of the Trust dated as of August 3, 2021, as further amended;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"2022 Credit Facility" and the “Credit Agreement” refer to the third amended and restated credit agreement entered into on July 12, 2022, as further amended, among the LLC, the lenders from time to time party thereto (the “Lenders”), Bank of America, N.A., as Administrative Agent (the “Administrative Agent”), Swing Line Lender and letter of credit issuer as amended from time to time;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"2022 Revolving Credit Facility" refers to the $600 million in revolving loans, swing line loans and letters of credit provided by the 2022 Credit Facility that matures in 2027;</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"2022 Term Loan" refers to the $400 million term loan provided by the 2022 Credit Facility;</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the "LLC Agreement" refers to the Sixth Amended and Restated Operating Agreement of the Company dated as of August 3, 2021, as further amended; and</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"we," "us" and "our" refer to the Trust, the Company and the businesses together.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Statement Regarding Forward-Looking Disclosure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Form 10-K, including, but not limited to, the sections entitled “Risk Factors,” “Management’s Discussion and Analysis of Financial Condition and Results of Operations” and “Business,” contains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Forward-looking statements include, among other things, (i) statements as to our future performance or liquidity, such as expectations for our results of operation, net income, Adjusted EBITDA and Adjusted Earnings, our deleveraging efforts and our ability to make quarterly distributions and (ii) our plans, strategies and objectives for future operations, including our business outlook and planned capital expenditures. Forward-looking statements in this Form 10-K are subject to a number of risks and uncertainties, some of which are beyond our control, including, among other things: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litigation relating to our representations regarding our financial statements and litigation, enforcement actions or investigations relating to our internal controls, restatement reviews, matters related to the Lugano Investigation (as defined herein) and additional liabilities we are currently unaware of;</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likelihood that the control deficiencies identified or that may be identified in the future will result in additional material weaknesses in our internal control over financial reporting;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shd w:fill="FFFFFF" w:val="clear"/>
        </w:rPr>
        <w:t xml:space="preserve">the possibility that our intercompany loan to Lugano (as defined herein) may be subject to loss; </w:t>
      </w:r>
    </w:p>
    <w:p>
      <w:pPr>
        <w:pStyle w:val="TextBody"/>
        <w:bidi w:val="0"/>
        <w:spacing w:lineRule="auto" w:line="288" w:before="20" w:after="283"/>
        <w:ind w:left="0" w:right="0" w:hanging="360"/>
        <w:jc w:val="both"/>
        <w:rPr/>
      </w:pPr>
      <w:r>
        <w:rPr>
          <w:color w:val="000000"/>
          <w:shd w:fill="FFFFFF" w:val="clear"/>
        </w:rPr>
        <w:t>•</w:t>
      </w:r>
      <w:r>
        <w:rPr>
          <w:rFonts w:ascii="Arial;sans-serif" w:hAnsi="Arial;sans-serif"/>
          <w:b w:val="false"/>
          <w:color w:val="000000"/>
          <w:sz w:val="20"/>
        </w:rPr>
        <w:t>our and our Manager’s ability to retain or replace qualified employees of our subsidiaries and Manager;</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 xml:space="preserve">difficulties and delays in identifying, integrating, and managing acquisitions or an inability to fully realize cost savings and other benefits related thereto; </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ability to finance future acquisitions on acceptable terms;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Board’s ability to cause, in its sole discretion, the Trust to be converted into a corporation;</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Board’s ability to reduce or eliminate distributions to our shareholders;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reliance on receipts from our operating subsidiaries to make distributions to our shareholders;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Board’s ability to change the terms of the Company’s shares in its sole discretion;</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provisions in our governing documents and the governing documents of the Trust which may limit a third party’s ability to acquire control of the Company and Trust;</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potential for conflicts of interest to arise between the Company and the boards of directors of its respective operating subsidiaries;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ability to service our debt obligations;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indebtedness may limit our ability to obtain financing in the future, increase the cost of future borrowings, limit our ability to use operating cash, and increase our vulnerability to adverse economic conditions;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interest rate fluctuations;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potential for conflicts of interest in acquisition opportunities;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possibility that we may be deemed to be an investment company under the Investment Company Act of 1940, as amended, if we cease to control and operate our businesses in the future;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dependence of some of our businesses on a limited number of customers for a significant percentage of revenue;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lack of long-term customer contracts;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changes to tariffs and import/export regulations;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future changes to tax laws and the potential for the Trust to be taxed at rates higher than expected or for the Trust to fail to realize the anticipated benefits of its tax election;</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discretionary and non-cumulative nature of distributions on Series A Preferred Shares;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subordination of our Series A, Series B, and Series C Preferred Shares to our existing and future indebtedness;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potential for members of management to allocate their time to the operations of other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potential for our Manager, its affiliates, and members of the Company’s management team to engage in activities that compete with us or our businesses;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wide latitude that the Manager possesses in determining whether an acquisition or disposition opportunity does or does not meet the Company’s criteria;</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difficulty in removing our Manager for poor performance;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ability of our Manager to resign on 180 days’ notice and the possibility that we may be unable to find a suitable replacement in a timely fashion;</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requirement to pay our Manager the base management fee regardless of our performance;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uncertainty with respect to determining the amount of the management fee that will be paid over time;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uncertainty with respect to determining the amount of profit allocation that will be paid over time;</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payment of the management fee, fees under offsetting management services agreements, and profit allocation may significantly reduce the amount of earnings and cash available for shareholder distributions;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Manager’s influence and ability to increase its fees;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possibility that our management fees or profit allocation may induce our Manager to make suboptimal operations decisions;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obligation to pay management fees and profit allocation may cause the Company to liquidate assets or incur debt;</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potential material environmental liabilities arising from a subsidiary’s operations and the prior operations of predecessor companies;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potential for products liability and products safety claims against some of our businesses;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cybersecurity-related risks, including system failures, data breaches, and the unauthorized access to and use of our and our customers’ confidential information;</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goodwill impairment;</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disruptions to our business, operations, and supply chains, including as a result of natural disasters, inclement weather, accidents, transportation delays, and other events;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fluctuations in the cost and availability, and the possibility of shortages, of raw materials, components, or whole goods;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our ability to protect and enforce our intellectual property rights;</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legal and regulatory environment in which we and our subsidiaries operate, particularly with respect to environmental regulations, products safety regulations, and products liability;</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risks inherent in operating a global business, including political and economic volatility, differing or conflicting cross-jurisdictional requirements, and import/export restrictions; and</w:t>
      </w:r>
    </w:p>
    <w:p>
      <w:pPr>
        <w:pStyle w:val="TextBody"/>
        <w:bidi w:val="0"/>
        <w:spacing w:lineRule="auto" w:line="288" w:before="20" w:after="283"/>
        <w:ind w:left="0" w:right="0" w:hanging="360"/>
        <w:jc w:val="both"/>
        <w:rPr/>
      </w:pPr>
      <w:r>
        <w:rPr>
          <w:color w:val="000000"/>
        </w:rPr>
        <w:t>•</w:t>
      </w:r>
      <w:r>
        <w:rPr>
          <w:rFonts w:ascii="Arial;sans-serif" w:hAnsi="Arial;sans-serif"/>
          <w:b w:val="false"/>
          <w:color w:val="000000"/>
          <w:sz w:val="20"/>
        </w:rPr>
        <w:t>the importance of maintaining the value and reputation of our branded consumer businesses.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Our actual results, performance, prospects or opportunities could differ materially from those expressed in or implied by the forward-looking statements. A description of some of the risks that could cause our actual results to differ appears under Item 1A. “Risk Factors” and Item 7A. "Management's Discussion and Analysis of Financial Conditions and Results of Operations" of this Form 10-K. </w:t>
      </w:r>
    </w:p>
    <w:p>
      <w:pPr>
        <w:pStyle w:val="TextBody"/>
        <w:bidi w:val="0"/>
        <w:spacing w:lineRule="auto" w:line="288" w:before="180" w:after="283"/>
        <w:jc w:val="both"/>
        <w:rPr/>
      </w:pPr>
      <w:r>
        <w:rPr>
          <w:rFonts w:ascii="Arial;sans-serif" w:hAnsi="Arial;sans-serif"/>
          <w:b w:val="false"/>
          <w:color w:val="000000"/>
          <w:sz w:val="20"/>
        </w:rPr>
        <w:t>In light of these risks, uncertainties and assumptions, you should not place undue reliance on any forward-looking statements. The forward-looking events discussed in this Form 10-K may not occur.</w:t>
      </w:r>
      <w:r>
        <w:rPr>
          <w:color w:val="000000"/>
        </w:rPr>
        <w:t xml:space="preserve"> </w:t>
      </w:r>
      <w:r>
        <w:rPr>
          <w:rFonts w:ascii="Arial;sans-serif" w:hAnsi="Arial;sans-serif"/>
          <w:b w:val="false"/>
          <w:color w:val="000000"/>
          <w:sz w:val="20"/>
        </w:rPr>
        <w:t>For all of these forward-looking statements, we claim the protection of the safe harbor for forward-looking statements in Section 27A of the Securities Act and Section 21E of the Exchange Act. These forward-looking statements are made as of the date of this Form 10-K. We undertake no obligation to update or revise any forward-looking statements to reflect subsequent events or circumstances, whether as a result of new information, future events or otherwise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Explanatory Note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previously disclosed, in April 2025, the Audit Committee of the Company’s board of directors commenced an internal investigation into the financing, accounting, and inventory practices of Lugano Holding, Inc. (“Lugano”), a subsidiary and operating segment of the Company (the “Lugano Investigation”). The Lugano Investigation identified certain unrecorded financing arrangements and irregularities involving, among other things, sales, cost of sales, inventory, and accounts receivable recorded by Lugano.</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 result of the Lugano Investigation, the Audit Committee concluded that the Company’s previously issued consolidated financial statements and other interim and full</w:t>
        <w:noBreakHyphen/>
        <w:t>year financial information for the fiscal year ended December 31, 2024, and subsequently for the fiscal years ended December 31, 2023 and 2022, should no longer be relied upon. The Company undertook a restatement of the affected periods and, on December 8, 2025, filed Amendment No. 1 to its Annual Report on Form 10</w:t>
        <w:noBreakHyphen/>
        <w:t>K for the fiscal year ended December 31, 2024 (the “2024 Form 10</w:t>
        <w:noBreakHyphen/>
        <w:t>K/A”), which includes restated consolidated financial statements and related disclosures for the affected periods and describes the Lugano Investigation, the restatement and related matters.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Annual Report on Form 10</w:t>
        <w:noBreakHyphen/>
        <w:t>K for the fiscal year ended December 31, 2025 includes the Company’s consolidated financial statements for 2025 and comparative financial information for prior periods. The comparative consolidated financial statements and related disclosures for the affected prior periods included herein reflect the restated amounts. See “Restatement of Previously Issued Financial Statements” in “Note B—Summary of Significant Accounting Policies” to the consolidated financial statements included in Item 8 of this Form 10</w:t>
        <w:noBreakHyphen/>
        <w:t>K for additional information regarding the restatement and related matters.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addition, following the filing of the 2024 Form 10</w:t>
        <w:noBreakHyphen/>
        <w:t>K/A, the Company filed its Quarterly Reports on Form 10</w:t>
        <w:noBreakHyphen/>
        <w:t xml:space="preserve">Q for the quarters ended March 31, June 30 and September 30, 2025, which include additional disclosure regarding the Lugano Investigation and related matters.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Lugano Investigation and related matters continued to significantly affect the Company during 2025. In November 2025, Lugano and certain of its subsidiaries filed for Chapter 11 protection and, as a result, Lugano was deconsolidated from the Company’s consolidated financial statements as of the bankruptcy filing date. In addition, the Company incurred significant incremental costs in 2025, including professional fees and other expenses, related to the Lugano Investigation, the preparation of restated and delayed periodic financial statements, and related litigation and investigations. The Lugano matters also affected the Company’s financing arrangements, including amendments, waivers and forbearance arrangements under the 2022 Credit Facility and an indenture forbearance arrangement with certain holders of the Company’s senior notes, which resulted in paid-in-kind fees and interest and other restrictions intended to preserve liquidity and address covenant and reporting matters. The Company also suspended its quarterly cash distribution on its common shares and, during 2025, its ability to access the capital markets, including through its at-the-market equity programs, is limited in light of these events.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disclosures in this Form 10-K should be read in conjunction with the Company’s 2024 Form 10-K/A and its 2025 Forms 10-Q for additional information regarding the Lugano Investigation and restatement, the deconsolidation of Lugano, related financing arrangements, and the status of the Company’s internal control remediation efforts and related risks.</w:t>
      </w:r>
    </w:p>
    <w:p>
      <w:pPr>
        <w:pStyle w:val="TextBody"/>
        <w:bidi w:val="0"/>
        <w:spacing w:before="12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ITEM 1. BUSINESS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Company Background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Compass Diversified Holdings, a Delaware statutory trust, was formed in Delaware on November 18, 2005. Compass Group Diversified Holdings, LLC, a Delaware limited liability company, was also formed on November 18, 2005. The Trust and the LLC were formed to acquire and manage a group of small and middle-market businesses headquartered in North America. The Trust is the sole owner of 100% of the Trust Interests, as defined in our LLC Agreement, of the LLC. Pursuant to the LLC Agreement, the Trust owns an identical number of Trust Interests in the LLC as exist for the number of outstanding shares of the Trust.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Trust was previously treated as a partnership for U.S. federal income tax purposes but elected, effective September 1, 2021, to be taxed as an association taxable as a corporation. </w:t>
      </w:r>
    </w:p>
    <w:p>
      <w:pPr>
        <w:pStyle w:val="TextBody"/>
        <w:bidi w:val="0"/>
        <w:spacing w:lineRule="auto" w:line="288" w:before="180" w:after="120"/>
        <w:jc w:val="both"/>
        <w:rPr/>
      </w:pPr>
      <w:r>
        <w:rPr>
          <w:rFonts w:ascii="Arial;sans-serif" w:hAnsi="Arial;sans-serif"/>
          <w:b w:val="false"/>
          <w:color w:val="000000"/>
          <w:sz w:val="20"/>
        </w:rPr>
        <w:t>The LLC is the operating entity with a board of directors (the "Board") whose corporate governance responsibilities are similar to that of a Delaware corporation. The LLC’s Board oversees the management of the Company and our businesses and the performance of our Manager. Certain persons who are employees, former employees or members of our Manager receive a profit allocation as beneficial owners (through Sostratus LLC</w:t>
      </w:r>
      <w:r>
        <w:rPr>
          <w:rFonts w:ascii="Arial;sans-serif" w:hAnsi="Arial;sans-serif"/>
          <w:b w:val="false"/>
          <w:color w:val="000000"/>
          <w:sz w:val="20"/>
          <w:shd w:fill="FFFFFF" w:val="clear"/>
        </w:rPr>
        <w:t>) of th</w:t>
      </w:r>
      <w:r>
        <w:rPr>
          <w:rFonts w:ascii="Arial;sans-serif" w:hAnsi="Arial;sans-serif"/>
          <w:b w:val="false"/>
          <w:color w:val="000000"/>
          <w:sz w:val="20"/>
        </w:rPr>
        <w:t>e Allocation Interests, as defined in our LLC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2"/>
          <w:shd w:fill="FFFFFF" w:val="clear"/>
        </w:rPr>
      </w:pPr>
      <w:r>
        <w:rPr>
          <w:rFonts w:ascii="Arial;sans-serif" w:hAnsi="Arial;sans-serif"/>
          <w:b/>
          <w:color w:val="000000"/>
          <w:sz w:val="22"/>
          <w:shd w:fill="FFFFFF" w:val="clear"/>
        </w:rPr>
        <w:t>Overview</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acquire controlling interests in and actively manage our subsidiaries that we believe (i) operate in industries with long-term macroeconomic growth opportunities, (ii) have positive and stable cash flows, (iii) face minimal threats of technological or competitive obsolescence, and (iv) have strong management teams largely in place. We offer investors a unique opportunity to own a diverse group of leading middle-market businesses in the branded-consumer and industrial sectors.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disciplined approach to our target markets provides opportunities to methodically acquire and manage attractive businesses that will create value for our shareholders. For sellers of businesses, our unique financial structure allows us to purchase businesses efficiently with fewer third-party financing contingencies and, following acquisition, to provide our businesses with access to growth capital. In addition, our permanent capital model generally allows us to acquire businesses at any point across economic cycles, ensuring that we are able to act quickly when the opportunity presents itself, even when markets are volatile.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Private company operators and corporate parents looking to sell their business units may consider us an attractive purchaser because of our ability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shd w:fill="FFFFFF" w:val="clear"/>
        </w:rPr>
        <w:t>provide ongoing strategic and financial support for their businesses, including professionalization of our subsidiaries at scale;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shd w:fill="FFFFFF" w:val="clear"/>
        </w:rPr>
        <w:t xml:space="preserve">maintain a long-term outlook as to the ownership of those businesses;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shd w:fill="FFFFFF" w:val="clear"/>
        </w:rPr>
        <w:t>sustainably invest in growth capital and/or add-on acquisitions where appropriate;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shd w:fill="FFFFFF" w:val="clear"/>
        </w:rPr>
        <w:t>consummate transactions efficiently without being dependent on third-party transaction financing.</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particular, our long-term approach and our active management may alleviate the concern that many private company operators and parent companies may have with regard to their businesses going through multiple sale processes in a short period of time. We believe our approach enhances our ability to develop a comprehensive strategy to grow the earnings and cash flows of each of our businesses.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Finally, it has been our experience, that our ability to acquire businesses without the cumbersome delays and conditions typical of third-party transactional financing is appealing to sellers of businesses who are interested in confidentiality, speed and certainty of close.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team’s strong relationships with industry executives, accountants, attorneys, business brokers, commercial and investment bankers, and other potential sources of acquisition opportunities offer us opportunities to assess small to middle market businesses available for acquisition. In addition, the flexibility, creativity, experience and expertise of our management team in structuring transactions allows us to consider non-traditional and complex transactions tailored to fit a specific acquisition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categorize the current businesses we own into two separate groups: (i) branded consumer businesses and (ii) industrial businesses. Branded consumer businesses are those businesses that we believe capitalize on a valuable brand name in their respective market sector. We believe that our branded consumer businesses are leaders in their product categories. Industrial businesses are those businesses that focus on manufacturing and selling products and/or industrial services within a specific market sector. We believe that our industrial businesses are leaders in their specific market sectors.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The following is a brief summary of the businesses in which we own a controlling interest at December 31, 2025:</w:t>
      </w:r>
    </w:p>
    <w:p>
      <w:pPr>
        <w:pStyle w:val="TextBody"/>
        <w:bidi w:val="0"/>
        <w:spacing w:lineRule="auto" w:line="288" w:before="240" w:after="283"/>
        <w:jc w:val="center"/>
        <w:rPr>
          <w:rFonts w:ascii="Arial;sans-serif" w:hAnsi="Arial;sans-serif"/>
          <w:b/>
          <w:color w:val="000000"/>
          <w:sz w:val="20"/>
          <w:u w:val="single"/>
        </w:rPr>
      </w:pPr>
      <w:r>
        <w:rPr>
          <w:rFonts w:ascii="Arial;sans-serif" w:hAnsi="Arial;sans-serif"/>
          <w:b/>
          <w:color w:val="000000"/>
          <w:sz w:val="20"/>
          <w:u w:val="single"/>
        </w:rPr>
        <w:t>Branded Consumer Businesses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5.11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5.11 ABR Corp. ("5.11") 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Headquartered in Costa Mesa, California, 5.11 operates sales offices and distribution centers globally, and 5.11 products are widely distributed in uniform stores, military exchanges, outdoor retail stores, its own retail stores and on 511tactical.com. We made loans to and purchased a controlling interest in 5.11 for approximately $408.2 million in August 2016. We currently own 97.8% of the outstanding stock of 5.11 on a primary basis and 87.6% on a fully diluted basis. </w:t>
      </w:r>
    </w:p>
    <w:p>
      <w:pPr>
        <w:pStyle w:val="TextBody"/>
        <w:bidi w:val="0"/>
        <w:spacing w:lineRule="auto" w:line="288" w:before="240" w:after="283"/>
        <w:jc w:val="both"/>
        <w:rPr/>
      </w:pPr>
      <w:r>
        <w:rPr>
          <w:rFonts w:ascii="Arial;sans-serif" w:hAnsi="Arial;sans-serif"/>
          <w:b/>
          <w:i/>
          <w:color w:val="000000"/>
          <w:sz w:val="20"/>
        </w:rPr>
        <w:t>BOA</w:t>
      </w:r>
      <w:r>
        <w:rPr>
          <w:color w:val="000000"/>
        </w:rPr>
        <w:t xml:space="preserve"> </w:t>
      </w:r>
    </w:p>
    <w:p>
      <w:pPr>
        <w:pStyle w:val="TextBody"/>
        <w:bidi w:val="0"/>
        <w:spacing w:lineRule="auto" w:line="288" w:before="120" w:after="283"/>
        <w:jc w:val="both"/>
        <w:rPr/>
      </w:pPr>
      <w:r>
        <w:rPr>
          <w:rFonts w:ascii="Arial;sans-serif" w:hAnsi="Arial;sans-serif"/>
          <w:b w:val="false"/>
          <w:color w:val="000000"/>
          <w:sz w:val="20"/>
        </w:rPr>
        <w:t>BOA Holdings Inc. ("BOA")</w:t>
      </w:r>
      <w:r>
        <w:rPr>
          <w:color w:val="000000"/>
          <w:shd w:fill="FFFFFF" w:val="clear"/>
        </w:rPr>
        <w:t xml:space="preserve"> </w:t>
      </w:r>
      <w:r>
        <w:rPr>
          <w:rFonts w:ascii="Arial;sans-serif" w:hAnsi="Arial;sans-serif"/>
          <w:b w:val="false"/>
          <w:color w:val="000000"/>
          <w:sz w:val="20"/>
          <w:shd w:fill="FFFFFF" w:val="clear"/>
        </w:rPr>
        <w:t>creator of the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Greater China, South Korea, Japan and Vietnam.</w:t>
      </w:r>
      <w:r>
        <w:rPr>
          <w:color w:val="000000"/>
        </w:rPr>
        <w:t xml:space="preserve"> </w:t>
      </w:r>
      <w:r>
        <w:rPr>
          <w:rFonts w:ascii="Arial;sans-serif" w:hAnsi="Arial;sans-serif"/>
          <w:b w:val="false"/>
          <w:color w:val="000000"/>
          <w:sz w:val="20"/>
        </w:rPr>
        <w:t xml:space="preserve">We made loans to, and acquired a controlling interest in, BOA on October 16, 2020 for approximately </w:t>
      </w:r>
      <w:r>
        <w:rPr>
          <w:rFonts w:ascii="Arial;sans-serif" w:hAnsi="Arial;sans-serif"/>
          <w:b w:val="false"/>
          <w:color w:val="000000"/>
          <w:sz w:val="20"/>
          <w:shd w:fill="FFFFFF" w:val="clear"/>
        </w:rPr>
        <w:t>$456.8 million</w:t>
      </w:r>
      <w:r>
        <w:rPr>
          <w:rFonts w:ascii="Arial;sans-serif" w:hAnsi="Arial;sans-serif"/>
          <w:b w:val="false"/>
          <w:color w:val="000000"/>
          <w:sz w:val="20"/>
        </w:rPr>
        <w:t xml:space="preserve">. We currently own 91.4% of the outstanding stock of BOA on a primary basis and 82.8% on a fully diluted basis.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PrimaLoft </w:t>
      </w:r>
    </w:p>
    <w:p>
      <w:pPr>
        <w:pStyle w:val="TextBody"/>
        <w:bidi w:val="0"/>
        <w:spacing w:lineRule="auto" w:line="288" w:before="120" w:after="283"/>
        <w:jc w:val="both"/>
        <w:rPr/>
      </w:pPr>
      <w:r>
        <w:rPr>
          <w:rFonts w:ascii="Arial;sans-serif" w:hAnsi="Arial;sans-serif"/>
          <w:b w:val="false"/>
          <w:color w:val="000000"/>
          <w:sz w:val="20"/>
        </w:rPr>
        <w:t>PrimaLoft Technologies Holdings, Inc. ("PrimaLoft")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We made loans to, and purchased a controlling interest in, PrimaLoft on July 12, 2022 for approximate</w:t>
      </w:r>
      <w:r>
        <w:rPr>
          <w:rFonts w:ascii="Arial;sans-serif" w:hAnsi="Arial;sans-serif"/>
          <w:b w:val="false"/>
          <w:color w:val="000000"/>
          <w:sz w:val="20"/>
          <w:shd w:fill="FFFFFF" w:val="clear"/>
        </w:rPr>
        <w:t>ly $541.1 million. PrimaLoft</w:t>
      </w:r>
      <w:r>
        <w:rPr>
          <w:color w:val="000000"/>
        </w:rPr>
        <w:t xml:space="preserve"> </w:t>
      </w:r>
      <w:r>
        <w:rPr>
          <w:rFonts w:ascii="Arial;sans-serif" w:hAnsi="Arial;sans-serif"/>
          <w:b w:val="false"/>
          <w:color w:val="000000"/>
          <w:sz w:val="20"/>
        </w:rPr>
        <w:t>is headquartered in Latham, New York. We currently own 90.7% of the outstanding stock of PrimaLoft on a primary basis and 84.7% on a fully diluted basis.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Honey Pot Co.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Honey Pot Co. 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Honey Pot Co.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stores across the U.S. through mass merchants, drug and grocery retail chains, and online. We made loans to, and purchased a controlling interest in, The Honey Pot Co. on January 31, 2024 for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Arial;sans-serif" w:hAnsi="Arial;sans-serif"/>
          <w:b w:val="false"/>
          <w:color w:val="000000"/>
          <w:sz w:val="20"/>
        </w:rPr>
        <w:t>$380 million</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The Honey Pot Co. is headquartered in Atlanta, Georgia. We currently own 85.0% of the outstanding stock of The Honey Pot Co. on a primary basis and 76.5% on a fully diluted basis.</w:t>
      </w:r>
    </w:p>
    <w:p>
      <w:pPr>
        <w:pStyle w:val="TextBody"/>
        <w:bidi w:val="0"/>
        <w:spacing w:lineRule="auto" w:line="288" w:before="240" w:after="283"/>
        <w:jc w:val="both"/>
        <w:rPr/>
      </w:pPr>
      <w:r>
        <w:rPr>
          <w:rFonts w:ascii="Arial;sans-serif" w:hAnsi="Arial;sans-serif"/>
          <w:b/>
          <w:i/>
          <w:color w:val="000000"/>
          <w:sz w:val="20"/>
        </w:rPr>
        <w:t>Velocity Outdoor</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Velocity Outdoor Inc. ("Velocity Outdoor" or "Velocity")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We made loans to, and purchased a controlling interest in, Velocity Outdoor on June 2, 2017 for approximately $150.4 million. Velocity Outdoor is headquartered in Rochester, New York. We currently own 99.4% of the outstanding stock of Velocity Outdoor on a primary basis and 93.2% on a fully diluted basis. </w:t>
      </w:r>
    </w:p>
    <w:p>
      <w:pPr>
        <w:pStyle w:val="TextBody"/>
        <w:bidi w:val="0"/>
        <w:spacing w:lineRule="auto" w:line="288" w:before="360" w:after="283"/>
        <w:jc w:val="center"/>
        <w:rPr>
          <w:rFonts w:ascii="Arial;sans-serif" w:hAnsi="Arial;sans-serif"/>
          <w:b/>
          <w:color w:val="000000"/>
          <w:sz w:val="20"/>
          <w:u w:val="single"/>
        </w:rPr>
      </w:pPr>
      <w:r>
        <w:rPr>
          <w:rFonts w:ascii="Arial;sans-serif" w:hAnsi="Arial;sans-serif"/>
          <w:b/>
          <w:color w:val="000000"/>
          <w:sz w:val="20"/>
          <w:u w:val="single"/>
        </w:rPr>
        <w:t>Industrial Businesses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Altor Solutions</w:t>
      </w:r>
    </w:p>
    <w:p>
      <w:pPr>
        <w:pStyle w:val="TextBody"/>
        <w:bidi w:val="0"/>
        <w:spacing w:lineRule="auto" w:line="288" w:before="120" w:after="283"/>
        <w:jc w:val="both"/>
        <w:rPr/>
      </w:pPr>
      <w:r>
        <w:rPr>
          <w:rFonts w:ascii="Arial;sans-serif" w:hAnsi="Arial;sans-serif"/>
          <w:b w:val="false"/>
          <w:color w:val="000000"/>
          <w:sz w:val="20"/>
        </w:rPr>
        <w:t>FFI Compass, Inc. ("Altor Solutions" or "Altor") (formerly "Foam Fabricators"), headquartered in St. Louis, MO,</w:t>
      </w:r>
      <w:r>
        <w:rPr>
          <w:color w:val="000000"/>
          <w:shd w:fill="FFFFFF" w:val="clear"/>
        </w:rPr>
        <w:t xml:space="preserve"> </w:t>
      </w:r>
      <w:r>
        <w:rPr>
          <w:rFonts w:ascii="Arial;sans-serif" w:hAnsi="Arial;sans-serif"/>
          <w:b w:val="false"/>
          <w:color w:val="000000"/>
          <w:sz w:val="20"/>
          <w:shd w:fill="FFFFFF" w:val="clear"/>
        </w:rPr>
        <w:t>is a designer and manufacturer of custom molded protective foam solutions and original equipment manufacturer ("OEM") components made from expanded polystyrene ("EPS") and other expanded polymers. Altor provides products to a variety of end-markets, including appliances and electronics, pharmaceuticals, health and w</w:t>
      </w:r>
      <w:r>
        <w:rPr>
          <w:rFonts w:ascii="Arial;sans-serif" w:hAnsi="Arial;sans-serif"/>
          <w:b w:val="false"/>
          <w:color w:val="000000"/>
          <w:sz w:val="20"/>
        </w:rPr>
        <w:t>ellness, automotive, building products and others. Altor’s molded foam solutions offer shock and vibration protection, surface protection, temperature control, resistance to water absorption and vapor transmission and other protective properties critical for shipping small, delicate items, heavy equipment or temperature-sensitive goods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Altor operates molding and fabricating facilities across North America, creating a geographic footprint of strategically located manufacturing plants to efficiently serve national customer accounts. We acquired Altor on February 15, 2018 for a purchase price of approximately $253.4 million. We currently own 99.3% of the outstanding stock of Altor on a primary basis and 90.5% on a fully diluted basis.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Arnold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AMT Acquisition Corp. ("Arnold") serves a variety of markets including aerospace and defense, general industrial, motorsport/ automotive, oil and gas, medical, energy, semiconductor and advertising specialties. Over the course of more than 100 years, Arnold has successfully evolved and adapted its products, technologies, and manufacturing presence to meet the demands of current and emerging markets.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Arnold has expanded globally and built strong relationships with its customers worldwide. Arnold is the largest and, we believe, the most technically advanced U.S. manufacturer of engineered magnetic systems. Arnold is headquartered in Rochester, New York. We made loans to, and purchased a controlling interest in, Arnold on March 5, 2012 for approximately $128.8 million. We currently own 98.0% of the outstanding stock of Arnold on a primary basis and 82.8% on a fully diluted basis.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Sterno </w:t>
      </w:r>
    </w:p>
    <w:p>
      <w:pPr>
        <w:pStyle w:val="TextBody"/>
        <w:bidi w:val="0"/>
        <w:spacing w:lineRule="auto" w:line="288" w:before="120" w:after="283"/>
        <w:jc w:val="both"/>
        <w:rPr/>
      </w:pPr>
      <w:r>
        <w:rPr>
          <w:rFonts w:ascii="Arial;sans-serif" w:hAnsi="Arial;sans-serif"/>
          <w:b w:val="false"/>
          <w:color w:val="000000"/>
          <w:sz w:val="20"/>
        </w:rPr>
        <w:t>SternoCandleLamp Holdings, Inc. ("Sterno"), headquartered in Texarkana, Texas, is the parent company of Sterno Products, LLC ("Sterno Produ</w:t>
      </w:r>
      <w:r>
        <w:rPr>
          <w:rFonts w:ascii="Arial;sans-serif" w:hAnsi="Arial;sans-serif"/>
          <w:b w:val="false"/>
          <w:color w:val="000000"/>
          <w:sz w:val="20"/>
          <w:shd w:fill="FFFFFF" w:val="clear"/>
        </w:rPr>
        <w:t>cts") and</w:t>
      </w:r>
      <w:r>
        <w:rPr>
          <w:color w:val="000000"/>
        </w:rPr>
        <w:t xml:space="preserve"> </w:t>
      </w:r>
      <w:r>
        <w:rPr>
          <w:rFonts w:ascii="Arial;sans-serif" w:hAnsi="Arial;sans-serif"/>
          <w:b w:val="false"/>
          <w:color w:val="000000"/>
          <w:sz w:val="20"/>
        </w:rPr>
        <w:t>Rimports, LLC ("Rimports"). Sterno 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We made loans to, and purchased all of the equity interests in, Sterno on October 10, 2014 for approximately $160.0 million. Sterno offers a broad range of wick and gel chafing fuels, butane stoves and accessories, liquid and traditional wax candles, catering equipment and lamps through their Sterno Products divisio</w:t>
      </w:r>
      <w:r>
        <w:rPr>
          <w:rFonts w:ascii="Arial;sans-serif" w:hAnsi="Arial;sans-serif"/>
          <w:b w:val="false"/>
          <w:color w:val="000000"/>
          <w:sz w:val="20"/>
          <w:shd w:fill="FFFFFF" w:val="clear"/>
        </w:rPr>
        <w:t>n. In Fe</w:t>
      </w:r>
      <w:r>
        <w:rPr>
          <w:rFonts w:ascii="Arial;sans-serif" w:hAnsi="Arial;sans-serif"/>
          <w:b w:val="false"/>
          <w:color w:val="000000"/>
          <w:sz w:val="20"/>
        </w:rPr>
        <w:t xml:space="preserve">bruary 2018, Sterno acquired Rimports, a manufacturer and distributor of branded and private label scented wax cubes and warmer products used for home decor and fragrance systems. We currently own 98.4% of the outstanding stock of Sterno on a primary basis and 92.2% on a fully diluted basis.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Arial;sans-serif" w:hAnsi="Arial;sans-serif"/>
          <w:b w:val="false"/>
          <w:color w:val="000000"/>
          <w:sz w:val="20"/>
        </w:rPr>
        <w:t>Our businesses also represent our operating segments. See “</w:t>
      </w:r>
      <w:hyperlink w:anchor="i1c8fbf41abdb4a90b1f02abaa0b14bbd_34">
        <w:r>
          <w:rPr>
            <w:rStyle w:val="InternetLink"/>
            <w:rFonts w:ascii="Arial;sans-serif" w:hAnsi="Arial;sans-serif"/>
            <w:b w:val="false"/>
            <w:color w:val="0000FF"/>
            <w:sz w:val="20"/>
            <w:u w:val="single"/>
          </w:rPr>
          <w:t>Our Businesses</w:t>
        </w:r>
      </w:hyperlink>
      <w:r>
        <w:rPr>
          <w:color w:val="000000"/>
        </w:rPr>
        <w:t xml:space="preserve">” </w:t>
      </w:r>
      <w:r>
        <w:rPr>
          <w:rFonts w:ascii="Arial;sans-serif" w:hAnsi="Arial;sans-serif"/>
          <w:b w:val="false"/>
          <w:color w:val="000000"/>
          <w:sz w:val="20"/>
        </w:rPr>
        <w:t>and “</w:t>
      </w:r>
      <w:hyperlink w:anchor="i1c8fbf41abdb4a90b1f02abaa0b14bbd_322">
        <w:r>
          <w:rPr>
            <w:rStyle w:val="InternetLink"/>
            <w:rFonts w:ascii="Arial;sans-serif" w:hAnsi="Arial;sans-serif"/>
            <w:b w:val="false"/>
            <w:color w:val="0000FF"/>
            <w:sz w:val="20"/>
            <w:u w:val="single"/>
          </w:rPr>
          <w:t>Note R – Operating Segment Data</w:t>
        </w:r>
      </w:hyperlink>
      <w:r>
        <w:rPr>
          <w:color w:val="000000"/>
        </w:rPr>
        <w:t xml:space="preserve">” </w:t>
      </w:r>
      <w:r>
        <w:rPr>
          <w:rFonts w:ascii="Arial;sans-serif" w:hAnsi="Arial;sans-serif"/>
          <w:b w:val="false"/>
          <w:color w:val="000000"/>
          <w:sz w:val="20"/>
        </w:rPr>
        <w:t xml:space="preserve">to our Consolidated Financial Statements for further discussion of our businesses as our operating segments, including information related to geographies.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Lugano</w:t>
      </w:r>
    </w:p>
    <w:p>
      <w:pPr>
        <w:pStyle w:val="TextBody"/>
        <w:bidi w:val="0"/>
        <w:spacing w:lineRule="auto" w:line="288" w:before="120" w:after="283"/>
        <w:jc w:val="both"/>
        <w:rPr/>
      </w:pPr>
      <w:r>
        <w:rPr>
          <w:rFonts w:ascii="Arial;sans-serif" w:hAnsi="Arial;sans-serif"/>
          <w:b w:val="false"/>
          <w:color w:val="000000"/>
          <w:sz w:val="20"/>
          <w:shd w:fill="FFFFFF" w:val="clear"/>
        </w:rPr>
        <w:t xml:space="preserve">Lugano was an operating segment of the Company until November 16, 2025 when Lugano </w:t>
      </w:r>
      <w:r>
        <w:rPr>
          <w:rFonts w:ascii="Arial;sans-serif" w:hAnsi="Arial;sans-serif"/>
          <w:b w:val="false"/>
          <w:color w:val="000000"/>
          <w:sz w:val="20"/>
        </w:rPr>
        <w:t xml:space="preserve">filed a voluntary Chapter 11 petition under the United States Bankruptcy Code in the United States Bankruptcy Court for the District of Delaware (the “Lugano Bankruptcy”) </w:t>
      </w:r>
      <w:r>
        <w:rPr>
          <w:rFonts w:ascii="Arial;sans-serif" w:hAnsi="Arial;sans-serif"/>
          <w:b w:val="false"/>
          <w:color w:val="000000"/>
          <w:sz w:val="20"/>
          <w:shd w:fill="FFFFFF" w:val="clear"/>
        </w:rPr>
        <w:t xml:space="preserve">and, as a result, was deconsolidated. </w:t>
      </w:r>
      <w:r>
        <w:rPr>
          <w:rFonts w:ascii="Arial;sans-serif" w:hAnsi="Arial;sans-serif"/>
          <w:b w:val="false"/>
          <w:color w:val="000000"/>
          <w:sz w:val="20"/>
        </w:rPr>
        <w:t>Lugano entered into an Agency Agreement with Enhanced Retail Funding, LLC (a Gordon Brothers affiliate – “Gordon Brothers”) in contemplation of a Chapter 11 filing on November 16, 2025 (the “Lugano Agency Agreement”). The bankruptcy court approved the Lugano Agency Agreement on an interim basis on November 20, 2025, with final approval granted on December 31, 2025. Pursuant to the agreement, Gordon Brothers acquired the right to sell specified Lugano assets, including merchandise. Under the Lugano Agency Agreement, Gordon Brothers effectively agreed to purchase the inventory of Lugano and operate the remaining retail stores through the bankruptcy period. Gordon Brothers issued a guarantee as to the amount that the bankruptcy estate would receive related to the inventory sale, with any upside to be apportioned pursuant to the terms of the Lugano Agency Agreement.</w:t>
      </w:r>
      <w:r>
        <w:rPr>
          <w:color w:val="000000"/>
          <w:shd w:fill="FFFFFF" w:val="clear"/>
        </w:rPr>
        <w:t xml:space="preserve"> </w:t>
      </w:r>
      <w:r>
        <w:rPr>
          <w:rFonts w:ascii="Arial;sans-serif" w:hAnsi="Arial;sans-serif"/>
          <w:b w:val="false"/>
          <w:color w:val="000000"/>
          <w:sz w:val="20"/>
          <w:shd w:fill="FFFFFF" w:val="clear"/>
        </w:rPr>
        <w:t xml:space="preserve">Lugano is a designer, manufacturer, and retailer of high-end jewelry. </w:t>
      </w:r>
      <w:r>
        <w:rPr>
          <w:rFonts w:ascii="Arial;sans-serif" w:hAnsi="Arial;sans-serif"/>
          <w:b w:val="false"/>
          <w:color w:val="000000"/>
          <w:sz w:val="20"/>
        </w:rPr>
        <w:t>Refer to “</w:t>
      </w:r>
      <w:hyperlink w:anchor="i1c8fbf41abdb4a90b1f02abaa0b14bbd_2779">
        <w:r>
          <w:rPr>
            <w:rStyle w:val="InternetLink"/>
            <w:rFonts w:ascii="Arial;sans-serif" w:hAnsi="Arial;sans-serif"/>
            <w:b w:val="false"/>
            <w:color w:val="0000FF"/>
            <w:sz w:val="20"/>
            <w:u w:val="single"/>
          </w:rPr>
          <w:t>Note C – Deconsolidation</w:t>
        </w:r>
      </w:hyperlink>
      <w:r>
        <w:rPr>
          <w:color w:val="000000"/>
        </w:rPr>
        <w:t xml:space="preserve">” </w:t>
      </w:r>
      <w:r>
        <w:rPr>
          <w:rFonts w:ascii="Arial;sans-serif" w:hAnsi="Arial;sans-serif"/>
          <w:b w:val="false"/>
          <w:color w:val="000000"/>
          <w:sz w:val="20"/>
        </w:rPr>
        <w:t>to our Consolidated Financial Statements for additional information concerning Lugano.</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 Distributions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Common shares - For the 2025 fiscal year we declared distributions to our common shareholders totaling $0.50 per share. On May 27, 2025, in light of the Lugano Investigation and related matters, the Company announced that it suspended the quarterly cash distribution historically paid to common shareholders. No common distributions were paid subsequent to April 24,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Preferred shares - For the 2025 fiscal year we declared distributions to our preferred shareholders totaling $1.8125 per share on our Series A Preferred Shares, $1.96875 per share on our Series B Preferred Shares and $1.96875 per share on our Series C Preferred Shares.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WHERE YOU CAN FIND ADDITIONAL INFORMATION</w:t>
      </w:r>
    </w:p>
    <w:p>
      <w:pPr>
        <w:pStyle w:val="TextBody"/>
        <w:bidi w:val="0"/>
        <w:spacing w:lineRule="auto" w:line="288" w:before="180" w:after="283"/>
        <w:jc w:val="both"/>
        <w:rPr/>
      </w:pPr>
      <w:r>
        <w:rPr>
          <w:rFonts w:ascii="Arial;sans-serif" w:hAnsi="Arial;sans-serif"/>
          <w:b w:val="false"/>
          <w:color w:val="000000"/>
          <w:sz w:val="20"/>
        </w:rPr>
        <w:t xml:space="preserve">We make filings with the Securities and Exchange Commission (the "SEC" or the "Commission"), including on Forms S-1 and S-3 under the Securities Act of 1933, as amended (the "Securities Act"), and on Forms 10-K, 10-Q, and 8-K under the Securities Exchange Act of 1934, as amended (the "Exchange Act"), which include exhibits, schedules and amendments to those reports, as well as other filings required by the SEC. The SEC maintains an internet site that contains reports, proxy and information statements, and other information regarding issuers that file electronically with the SEC at http://www.sec.gov. In addition, copies of such reports, and amendments thereto, are available free of charge through our website at </w:t>
      </w:r>
      <w:r>
        <w:rPr>
          <w:rFonts w:ascii="Arial;sans-serif" w:hAnsi="Arial;sans-serif"/>
          <w:b w:val="false"/>
          <w:color w:val="000000"/>
          <w:sz w:val="20"/>
          <w:u w:val="single"/>
        </w:rPr>
        <w:t>https://compassdiversified.com/</w:t>
      </w:r>
      <w:r>
        <w:rPr>
          <w:color w:val="000000"/>
        </w:rPr>
        <w:t xml:space="preserve"> </w:t>
      </w:r>
      <w:r>
        <w:rPr>
          <w:rFonts w:ascii="Arial;sans-serif" w:hAnsi="Arial;sans-serif"/>
          <w:b w:val="false"/>
          <w:color w:val="000000"/>
          <w:sz w:val="20"/>
        </w:rPr>
        <w:t xml:space="preserve">as soon as reasonably practicable after such documents are electronically filed with, or furnished to,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Organizational Structure</w:t>
      </w:r>
      <w:r>
        <w:rPr>
          <w:color w:val="000000"/>
        </w:rPr>
        <w:t xml:space="preserve"> </w:t>
      </w:r>
      <w:r>
        <w:rPr>
          <w:rFonts w:ascii="Arial;sans-serif" w:hAnsi="Arial;sans-serif"/>
          <w:b/>
          <w:color w:val="000000"/>
          <w:sz w:val="13"/>
        </w:rPr>
        <w:t>(1)</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5324475"/>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6515100" cy="5324475"/>
                    </a:xfrm>
                    <a:prstGeom prst="rect">
                      <a:avLst/>
                    </a:prstGeom>
                  </pic:spPr>
                </pic:pic>
              </a:graphicData>
            </a:graphic>
          </wp:inline>
        </w:drawing>
      </w:r>
      <w:bookmarkStart w:id="0" w:name="i-1"/>
      <w:bookmarkEnd w:id="0"/>
    </w:p>
    <w:tbl>
      <w:tblPr>
        <w:tblW w:w="10205" w:type="dxa"/>
        <w:jc w:val="left"/>
        <w:tblInd w:w="0" w:type="dxa"/>
        <w:tblLayout w:type="fixed"/>
        <w:tblCellMar>
          <w:top w:w="28" w:type="dxa"/>
          <w:left w:w="28" w:type="dxa"/>
          <w:bottom w:w="28" w:type="dxa"/>
          <w:right w:w="28" w:type="dxa"/>
        </w:tblCellMar>
      </w:tblPr>
      <w:tblGrid>
        <w:gridCol w:w="124"/>
        <w:gridCol w:w="109"/>
        <w:gridCol w:w="109"/>
        <w:gridCol w:w="3005"/>
        <w:gridCol w:w="2840"/>
        <w:gridCol w:w="40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40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 xml:space="preserve">The percentage holdings shown in respect to the Trust reflect the ownership of the Trust common shares as of December 31, 2025, and the subsidiaries owned by the Company are as of December 31, 2025.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 xml:space="preserve">At December 31, 2025, 89.1% of the outstanding Trust common stock is held by non-affiliates of the Company. The remaining amount of Trust common shares are held by affiliates of the Company, including CGI Maygar Holdings, LLC, which held 9.4% of the Trust common shares at December 31, 2025. Path Spirit Limited is the ultimate controlling person of CGI Holdings Maygar LLC. 1.6% of the Trust common shares are held by our directors and officers.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180" w:after="283"/>
              <w:jc w:val="both"/>
              <w:rPr>
                <w:rFonts w:ascii="Arial;sans-serif" w:hAnsi="Arial;sans-serif"/>
                <w:b w:val="false"/>
                <w:color w:val="000000"/>
                <w:sz w:val="17"/>
              </w:rPr>
            </w:pPr>
            <w:r>
              <w:rPr>
                <w:rFonts w:ascii="Arial;sans-serif" w:hAnsi="Arial;sans-serif"/>
                <w:b w:val="false"/>
                <w:color w:val="000000"/>
                <w:sz w:val="17"/>
              </w:rPr>
              <w:t>Beneficial ownership is held by certain employees, members and former employees of our Manager, the estate of a former director of the Company, and CGI Diversified Holdings, LP, an affiliate of CGI Maygar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Mr. Sabo is a partner of this entity. The Manager owns less than 1.0% of the common shares of the Trust.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 xml:space="preserve">5)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The Allocation Interests, which carry the right to receive a profit allocation, represent less than 0.1% equity interest in the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6)</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shd w:fill="FFFFFF" w:val="clear"/>
              </w:rPr>
            </w:pPr>
            <w:r>
              <w:rPr>
                <w:rFonts w:ascii="Arial;sans-serif" w:hAnsi="Arial;sans-serif"/>
                <w:b w:val="false"/>
                <w:color w:val="000000"/>
                <w:sz w:val="17"/>
                <w:shd w:fill="FFFFFF" w:val="clear"/>
              </w:rPr>
              <w:t>Lugano filed for bankruptcy on November 16, 2025 and was deconsolidated from the Company's financial statements as of that date. The Company retains an equity interest in Lugano at December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2"/>
        </w:rPr>
      </w:pPr>
      <w:r>
        <w:rPr>
          <w:rFonts w:ascii="Arial;sans-serif" w:hAnsi="Arial;sans-serif"/>
          <w:b/>
          <w:color w:val="000000"/>
          <w:sz w:val="22"/>
        </w:rPr>
        <w:t>Our Manager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Manager, CGM, has been engaged to manage the day-to-day operations and affairs of the Company and to execute our strategy, as discussed below. Collectively, our management team has extensive experience in acquiring and managing small and middle market businesses. We believe our Manager is unique in the marketplace in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of the success and experience of its employees in acquiring and managing diverse businesses of the size and general nature of our businesses. We believe this experience will provide us with an advantage in executing our overall strategy. Our management team devotes substantially all of its time to the affairs of the Company.</w:t>
      </w:r>
    </w:p>
    <w:p>
      <w:pPr>
        <w:pStyle w:val="TextBody"/>
        <w:bidi w:val="0"/>
        <w:spacing w:lineRule="auto" w:line="288" w:before="180" w:after="283"/>
        <w:jc w:val="both"/>
        <w:rPr/>
      </w:pPr>
      <w:r>
        <w:rPr>
          <w:rFonts w:ascii="Arial;sans-serif" w:hAnsi="Arial;sans-serif"/>
          <w:b w:val="false"/>
          <w:color w:val="000000"/>
          <w:sz w:val="20"/>
        </w:rPr>
        <w:t>We have entered into a management services agreement (the “Management Services Agreement” or “MSA”) pursuant to which our Manager manages the day-to-day operations and affairs of the Company and oversees the management and operations of our businesses. We pay our Manager a quarterly management fee for the services it performs on our behalf. In addition, certain persons who are employees and partners of our Manager receive a profit allocation with respect to the Allocation Interests. All of the Allocation Interests in us are owned by Sostratus LLC. Payment of profit allocations to Sostratus LLC can occur, if due pursuant to the profit allocation formula, for each of our subsidiaries during the 30-day period following the fifth anniversary of the date upon which we acquired a controlling interest in that business (a "Holding Event") and upon the sale of a subsidiary (a "Sale Event"). See Part III, Item 13. “</w:t>
      </w:r>
      <w:hyperlink w:anchor="i1c8fbf41abdb4a90b1f02abaa0b14bbd_34">
        <w:r>
          <w:rPr>
            <w:rStyle w:val="InternetLink"/>
            <w:rFonts w:ascii="Arial;sans-serif" w:hAnsi="Arial;sans-serif"/>
            <w:b w:val="false"/>
            <w:color w:val="0000FF"/>
            <w:sz w:val="20"/>
            <w:u w:val="single"/>
          </w:rPr>
          <w:t>Certain Relationships and Related Transactions, and Director Independence</w:t>
        </w:r>
      </w:hyperlink>
      <w:r>
        <w:rPr>
          <w:color w:val="000000"/>
        </w:rPr>
        <w:t xml:space="preserve">” </w:t>
      </w:r>
      <w:r>
        <w:rPr>
          <w:rFonts w:ascii="Arial;sans-serif" w:hAnsi="Arial;sans-serif"/>
          <w:b w:val="false"/>
          <w:color w:val="000000"/>
          <w:sz w:val="20"/>
        </w:rPr>
        <w:t>for further descriptions of the management fees and profit allocations.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Chief Executive Officer and Chief Financial Officer are employees of our Manager and have been seconded to us. Neither the Trust nor the LLC currently has any other employees. Although our Chief Executive Officer and Chief Financial Officer are employees of our Manager, they report directly to the Board. The management fee paid to our Manager covers all expenses related to the services performed by our Manager, including the compensation of our Chief Executive Officer and other personnel providing services to us. The LLC reimburses our Manager for the compensation and related costs and expenses of our Chief Financial Officer and his staff, who dedicate substantially all of their time to the affairs of the Company.</w:t>
      </w:r>
    </w:p>
    <w:p>
      <w:pPr>
        <w:pStyle w:val="TextBody"/>
        <w:bidi w:val="0"/>
        <w:spacing w:lineRule="auto" w:line="288" w:before="240" w:after="283"/>
        <w:jc w:val="both"/>
        <w:rPr/>
      </w:pPr>
      <w:r>
        <w:rPr>
          <w:rFonts w:ascii="Arial;sans-serif" w:hAnsi="Arial;sans-serif"/>
          <w:b w:val="false"/>
          <w:color w:val="000000"/>
          <w:sz w:val="20"/>
        </w:rPr>
        <w:t>See Part III, Item 13. “</w:t>
      </w:r>
      <w:hyperlink w:anchor="i1c8fbf41abdb4a90b1f02abaa0b14bbd_211">
        <w:r>
          <w:rPr>
            <w:rStyle w:val="InternetLink"/>
            <w:rFonts w:ascii="Arial;sans-serif" w:hAnsi="Arial;sans-serif"/>
            <w:b w:val="false"/>
            <w:color w:val="0000FF"/>
            <w:sz w:val="20"/>
            <w:u w:val="single"/>
          </w:rPr>
          <w:t>Certain Relationships and Related Party Transactions, and Director Independence</w:t>
        </w:r>
      </w:hyperlink>
      <w:r>
        <w:rPr>
          <w:color w:val="000000"/>
        </w:rPr>
        <w:t xml:space="preserve">” </w:t>
      </w:r>
      <w:r>
        <w:rPr>
          <w:rFonts w:ascii="Arial;sans-serif" w:hAnsi="Arial;sans-serif"/>
          <w:b w:val="false"/>
          <w:color w:val="000000"/>
          <w:sz w:val="20"/>
        </w:rPr>
        <w:t>of this Form 10-K and "</w:t>
      </w:r>
      <w:hyperlink w:anchor="i1c8fbf41abdb4a90b1f02abaa0b14bbd_316">
        <w:r>
          <w:rPr>
            <w:rStyle w:val="InternetLink"/>
            <w:rFonts w:ascii="Arial;sans-serif" w:hAnsi="Arial;sans-serif"/>
            <w:b w:val="false"/>
            <w:color w:val="0000FF"/>
            <w:sz w:val="20"/>
            <w:u w:val="single"/>
          </w:rPr>
          <w:t>Note T - Subsequent Events</w:t>
        </w:r>
      </w:hyperlink>
      <w:r>
        <w:rPr>
          <w:rFonts w:ascii="Arial;sans-serif" w:hAnsi="Arial;sans-serif"/>
          <w:b w:val="false"/>
          <w:color w:val="000000"/>
          <w:sz w:val="20"/>
        </w:rPr>
        <w:t>" included in the Notes to the Financial Statements in this Form 10-K for additional information concerning the MSA.</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Market Opportunity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acquire and actively manage small and middle market businesses. We characterize small to middle market businesses as those that generate annual cash flows of up to $100 million per year. We believe that the acquisition market for these businesses is highly fragmented and often provides opportunities to purchase at more attractive prices and achieve better outcomes for our shareholders. We believe this is driven by the following factors: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third-party financing for these acquisitions is often less available or terms are less favorable for the borrower;</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sellers of these businesses frequently consider non-economic factors, such as legacy or the effect of the sale on their employees;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these businesses are more likely to be sold outside of an auction process or as part of a limited process;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"add-on" acquisitions can often be completed at attractive multiples of cash flow.</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Frequently, opportunities exist to support and augment existing management at such businesses and improve the performance of these businesses upon their acquisition through active management. We are business builders rather than asset traders. In the past, our management team has acquired businesses that were owned by entrepreneurs or large corporate parents. In these cases, our management team has frequently found opportunities to profitably invest in areas of the acquired businesses beyond levels that existed at the time of acquisition. In addition, our management team has frequently found that processes such as financial reporting and management information systems of acquired businesses may be improved, leading to improvements in reporting and operations and ultimately earnings and cash flow. Finally, our management team often acts as a business development arm for our businesses to pursue organic or external growth strategies that may not have been pursued by their previous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2"/>
          <w:shd w:fill="FFFFFF" w:val="clear"/>
        </w:rPr>
      </w:pPr>
      <w:r>
        <w:rPr>
          <w:rFonts w:ascii="Arial;sans-serif" w:hAnsi="Arial;sans-serif"/>
          <w:b/>
          <w:color w:val="000000"/>
          <w:sz w:val="22"/>
          <w:shd w:fill="FFFFFF" w:val="clear"/>
        </w:rPr>
        <w:t xml:space="preserve">Our Strategy </w:t>
      </w:r>
    </w:p>
    <w:p>
      <w:pPr>
        <w:pStyle w:val="TextBody"/>
        <w:bidi w:val="0"/>
        <w:spacing w:lineRule="auto" w:line="288" w:before="120" w:after="283"/>
        <w:jc w:val="both"/>
        <w:rPr/>
      </w:pPr>
      <w:r>
        <w:rPr>
          <w:rFonts w:ascii="Arial;sans-serif" w:hAnsi="Arial;sans-serif"/>
          <w:b w:val="false"/>
          <w:color w:val="000000"/>
          <w:sz w:val="20"/>
        </w:rPr>
        <w:t>Our capital structure enables us to acquire, manage and grow attractive businesses that are leaders in their respective markets and to work closely with their management teams to drive operational improvements and long-term value creation. We actively invest in people, processes, and culture to strengthen our subsidiary companies and support growth initiatives, operational improvements and transformational change.</w:t>
      </w:r>
      <w:r>
        <w:rPr>
          <w:color w:val="000000"/>
        </w:rPr>
        <w:t xml:space="preserve"> </w:t>
      </w:r>
      <w:r>
        <w:rPr>
          <w:rFonts w:ascii="Arial;sans-serif" w:hAnsi="Arial;sans-serif"/>
          <w:b w:val="false"/>
          <w:color w:val="000000"/>
          <w:sz w:val="20"/>
        </w:rPr>
        <w:t xml:space="preserve">We allocate capital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support long-term value creation, and we periodically adjust our priorities based on market conditions and our balance sheet objectives. In the near term, we expect to prioritize balance sheet strength and debt reduction, including through disciplined capital allocation and continued enhancements to our risk management, governance and oversight practices. We execute our strategy through two pillars: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Subsidiary Value Creation</w:t>
      </w:r>
      <w:r>
        <w:rPr>
          <w:rFonts w:ascii="Arial;sans-serif" w:hAnsi="Arial;sans-serif"/>
          <w:b w:val="false"/>
          <w:color w:val="000000"/>
          <w:sz w:val="20"/>
        </w:rPr>
        <w:t>: We focus on growing earnings and cash flow across our subsidiaries and help them professionalize at scale. We do this by strengthening operating capabilities, supporting organic growth initiatives, and working with management teams to identify and execute selective add-on acquisitions aligned with each business’s long-term strategy.</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20"/>
        </w:rPr>
        <w:t>Disciplined Acquisition Strategy</w:t>
      </w:r>
      <w:r>
        <w:rPr>
          <w:rFonts w:ascii="Arial;sans-serif" w:hAnsi="Arial;sans-serif"/>
          <w:b w:val="false"/>
          <w:color w:val="000000"/>
          <w:sz w:val="20"/>
        </w:rPr>
        <w:t>: We apply a disciplined approach to capital allocation, prioritizing acquisitions that align with our core values and offer the potential for superior risk-adjusted returns and pursuing acquisitions selectively and consistent with our leverage and liquidity objectives.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Management Strategy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strategy involves proactive financial and operational management and oversight of our subsidiaries to increase cash flows and enhance long-term shareholder value. In executing this strategy, we seek to promote timely and relevant reporting, accountability, and effective escalation practices across our subsidiaries, and we continually evaluate and refine these practices as our businesses evolve. Our Manager supports the management teams of each of our subsidiaries by, among other things: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Recruiting and Retaining Talent</w:t>
      </w:r>
      <w:r>
        <w:rPr>
          <w:rFonts w:ascii="Arial;sans-serif" w:hAnsi="Arial;sans-serif"/>
          <w:b w:val="false"/>
          <w:color w:val="000000"/>
          <w:sz w:val="20"/>
        </w:rPr>
        <w:t>: Supporting strong leadership teams through structured incentive compensation programs, including non-controlling equity ownership, tailored to each business.</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 xml:space="preserve">Instilling Financial Discipline: </w:t>
      </w:r>
      <w:r>
        <w:rPr>
          <w:rFonts w:ascii="Arial;sans-serif" w:hAnsi="Arial;sans-serif"/>
          <w:b w:val="false"/>
          <w:color w:val="000000"/>
          <w:sz w:val="20"/>
        </w:rPr>
        <w:t>Regularly monitoring financial and operational performance and reinforcing accountability through clear metrics and monitoring practices.</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Strengthening Controls and Systems</w:t>
      </w:r>
      <w:r>
        <w:rPr>
          <w:rFonts w:ascii="Arial;sans-serif" w:hAnsi="Arial;sans-serif"/>
          <w:b w:val="false"/>
          <w:color w:val="000000"/>
          <w:sz w:val="20"/>
        </w:rPr>
        <w:t>: Working to support the development and implementation of information systems, processes, and controls to enhance reporting, accountability, and decision-making.</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Supporting Growth Initiatives</w:t>
      </w:r>
      <w:r>
        <w:rPr>
          <w:rFonts w:ascii="Arial;sans-serif" w:hAnsi="Arial;sans-serif"/>
          <w:b w:val="false"/>
          <w:color w:val="000000"/>
          <w:sz w:val="20"/>
        </w:rPr>
        <w:t>: Assisting management in their analysis and pursuit of prudent organic growth strategies and selective add-on acquisitions aligned with each business’s long-term goals.</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Improving Operating Efficiency</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Working with management teams to identify opportunities to manage costs, right-size overhead, and improve productivity.</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Professionalizing at Scale</w:t>
      </w:r>
      <w:r>
        <w:rPr>
          <w:rFonts w:ascii="Arial;sans-serif" w:hAnsi="Arial;sans-serif"/>
          <w:b w:val="false"/>
          <w:color w:val="000000"/>
          <w:sz w:val="20"/>
        </w:rPr>
        <w:t>: Supporting governance and operating practices that enable sustainable growth, including establishing subsidiary-level boards of directors and promoting transparency and periodic reporting and reviewing practices appropriate to each business.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While our businesses have different growth opportunities and potential rates of growth, our Manager works with the management teams of each of our businesses to pursue initiatives designed to enhance performance and increase cash flow, which may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Selective capital investments to expand geographic reach, increase capacity, or improve cost structures.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Investment in research and development for new products, services or processes to better serve customers.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Strengthening sales and marketing capabilities to improve commercial execution.</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Improving operational efficiency and managing overhead costs to support scalable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Ongoing Enhancements to Governance and Oversight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governance and oversight framework and financial reporting processes have supported our ability to manage a diverse group of subsidiary businesses over time. In light of the Lugano Investigation (as defined below) and the resulting restatement of our historical financial statements, we are implementing additional enhancements to our governance and oversight practices and, as appropriate, to financial reporting processes and internal controls. These enhancements are intended to further strengthen the quality and timeliness of information and to support earlier identification and escalation of issues across our subsidiaries. We cannot provide assurance that these enhancements will prevent all future issues. For more information regarding our controls and procedures see Part II, Item 9A. “Controls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Value-Driven Stewardship</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believe a values-driven approach to ownership and oversight supports long-term value creation. The Company seeks to be a responsible steward of the businesses we own, and we look to support subsidiary management teams in a manner consistent with our values.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practice, our stewardship focuses on practices that support sustainable performance, including monitoring of operating and financial results and an emphasis on transparency and accountability.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stewardship approach includes: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Ethical Conduct and Governance</w:t>
      </w:r>
      <w:r>
        <w:rPr>
          <w:rFonts w:ascii="Arial;sans-serif" w:hAnsi="Arial;sans-serif"/>
          <w:b w:val="false"/>
          <w:color w:val="000000"/>
          <w:sz w:val="20"/>
        </w:rPr>
        <w:t>: Promoting a culture of integrity, transparency, and accountability, supported by appropriate policies, processes, and practices.</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People and Safety</w:t>
      </w:r>
      <w:r>
        <w:rPr>
          <w:rFonts w:ascii="Arial;sans-serif" w:hAnsi="Arial;sans-serif"/>
          <w:b w:val="false"/>
          <w:color w:val="000000"/>
          <w:sz w:val="20"/>
        </w:rPr>
        <w:t>: Supporting practices that prioritize employee health and safety, development, and engagement.</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Environmental Responsibility</w:t>
      </w:r>
      <w:r>
        <w:rPr>
          <w:rFonts w:ascii="Arial;sans-serif" w:hAnsi="Arial;sans-serif"/>
          <w:b w:val="false"/>
          <w:color w:val="000000"/>
          <w:sz w:val="20"/>
        </w:rPr>
        <w:t>: Encouraging prudent environmental practices appropriate to each business’s operations and industry.</w:t>
      </w:r>
    </w:p>
    <w:p>
      <w:pPr>
        <w:pStyle w:val="TextBody"/>
        <w:bidi w:val="0"/>
        <w:spacing w:lineRule="auto" w:line="288" w:before="80" w:after="283"/>
        <w:ind w:left="0" w:right="0" w:hanging="360"/>
        <w:jc w:val="both"/>
        <w:rPr/>
      </w:pPr>
      <w:r>
        <w:rPr>
          <w:color w:val="000000"/>
        </w:rPr>
        <w:t>•</w:t>
      </w:r>
      <w:r>
        <w:rPr>
          <w:rFonts w:ascii="Arial;sans-serif" w:hAnsi="Arial;sans-serif"/>
          <w:b/>
          <w:color w:val="000000"/>
          <w:sz w:val="20"/>
        </w:rPr>
        <w:t>Stakeholder Focus</w:t>
      </w:r>
      <w:r>
        <w:rPr>
          <w:rFonts w:ascii="Arial;sans-serif" w:hAnsi="Arial;sans-serif"/>
          <w:b w:val="false"/>
          <w:color w:val="000000"/>
          <w:sz w:val="20"/>
        </w:rPr>
        <w:t>: Fostering responsible decision making that considers the long-term interests of our businesses, employees, communities, and shareholders.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Acquisition Strategy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acquisition strategy is to acquire middle-market companies that we believe have durable competitive advantages and opportunities to gain share in attractive markets. We seek to acquire businesses capable of generating stable and growing earnings and cash flow over the long term. We generally pursue segment-level acquisitions in industries other than those in which our subsidiaries currently operate. We believe that attractive opportunities will continue to present themselves as private sector owners seek liquidity in long-standing and privately-held businesses and corporate parents divest their “non-core”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ideal acquisition candidate has the following characteristics: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leading branded consumer, industrial, healthcare or critical outsourced service company headquartered in North America;</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defensible positions in the markets it serves and with its customers;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favorable long-term macroeconomic and industry trends;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a strong management team with meaningful incentives, either currently in place or previously identified;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low risk of technological and/or product obsolescence; and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a diversified customer and supplier base.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addition to segment-level acquisitions, our subsidiaries often acquire and integrate complementary add-on businesses. We believe add-on acquisitions may improve financial and operational performance by enabling our businesses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leverage manufacturing and distribution operations;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leverage branding and marketing programs and customer relationships;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add experienced management or management expertise;</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increase market share and enter new markets; and/or</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realize cost synergies through scale and improved management practices.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Sourcing and Execution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benefit from our Manager’s ability to identify acquisition opportunities across a variety of industries. The Manager assists in sourcing, evaluating and negotiating potential acquisitions, including by conducting customary diligence and analysis appropriate to the nature and complexity of the target business and the transaction.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diligence process may involve a combination of internal review and third-party workstreams and may include an assessment of the target’s management team, operations, financial profile and industry dynamics, as well as negotiation of transaction terms and conditions. However, no diligence process can identify all risks or ensure that acquired businesses will perform as expected.</w:t>
      </w:r>
    </w:p>
    <w:p>
      <w:pPr>
        <w:pStyle w:val="TextBody"/>
        <w:bidi w:val="0"/>
        <w:spacing w:lineRule="auto" w:line="288" w:before="180" w:after="283"/>
        <w:jc w:val="both"/>
        <w:rPr/>
      </w:pPr>
      <w:r>
        <w:rPr>
          <w:rFonts w:ascii="Arial;sans-serif" w:hAnsi="Arial;sans-serif"/>
          <w:b w:val="false"/>
          <w:color w:val="000000"/>
          <w:sz w:val="20"/>
        </w:rPr>
        <w:t xml:space="preserve">The process of acquiring new businesses is both time-consuming and complex and, historically, it has taken from </w:t>
      </w:r>
      <w:r>
        <w:rPr>
          <w:rFonts w:ascii="Arial;sans-serif" w:hAnsi="Arial;sans-serif"/>
          <w:b w:val="false"/>
          <w:color w:val="000000"/>
          <w:sz w:val="20"/>
          <w:shd w:fill="FFFFFF" w:val="clear"/>
        </w:rPr>
        <w:t>two</w:t>
      </w:r>
      <w:r>
        <w:rPr>
          <w:color w:val="000000"/>
        </w:rPr>
        <w:t xml:space="preserve"> </w:t>
      </w:r>
      <w:r>
        <w:rPr>
          <w:rFonts w:ascii="Arial;sans-serif" w:hAnsi="Arial;sans-serif"/>
          <w:b w:val="false"/>
          <w:color w:val="000000"/>
          <w:sz w:val="20"/>
        </w:rPr>
        <w:t>to twenty-four months to perform due diligence, negotiate and close acquisitions. The Manager may evaluate multiple transactions at different stages at any given time, and there may be periods during which the Manager does not recommend any new acquisitions. Any acquisition remains subject to review and approval by our Board, and our Board considers the Manager’s recommendations together with other information it deems relevant when evaluating such acquisitions.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Following an acquisition, we and the Manager work with the management team of the acquired business to develop and execute an operating plan aligned with our objectives.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Strategic Advantages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Based on the experience of our Manager and its ability to identify, evaluate, and negotiate acquisitions, we believe we have the capability to acquire and manage additional businesses that are consistent with our leverage and liquidity objectives and disciplined capital allocation. Our Manager maintains strong relationships with business brokers, investment and commercial bankers, accountants, attorneys, and other sources of acquisition opportunities, and has experience acquiring and managing small-to-middle-market businesses across industries, including in complex situations such as corporate spin-offs, transitions of family-owned businesses, management buyouts, and reorganizations.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our sourcing capabilities and our extensive network provide access to a pipeline of potential acquisition targets. We also have access to third-party consultants and advisors who may assist in due diligence, transaction execution, and post-acquisition planning, as appropriate.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Finally, we believe our ability to finance acquisitions using capital resources raised at the Company level can reduce delays and closing conditions often associated with transaction-specific financing (for more information regarding our financing sources see the section titled “Financing” below).</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Valuation and Due Diligence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Manager performs an evaluation process appropriate for the target business and the nature of the transaction, including an assessment of the target’s operations and the outlook for its industry. While valuation is an inherently subjective process, we evaluate potential acquisitions using a variety of analytical approaches, including: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discounted cash flow analyses;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evaluation of trading values of comparable companies;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expected value matrices; and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examination of comparable recent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part of this process, our Manager develops projections of the expected cash flows and assesses the levels of risk associated with those projections. To assist us in evaluating key assumptions and assessing risks, we may engage third-party experts to review areas, such as legal, tax, regulatory, accounting, insurance and environmental matters and may also engage technical, operational or industry consultants, as appropriate.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critical component of our evaluation of potential acquisitions is the assessment of the capability of the existing management team, including historical performance, expertise, experience, culture, and incentives. Where appropriate and consistent with our management strategy, we may seek to augment, supplement or replace existing members of management. We also consider the adequacy of a target’s information systems and reporting capabilities in light of the operating plan and integration strategy, and we may implement enhancements over time where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Financing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incur third-party debt financing almost entirely at the Company level, which we use, together with our equity capital, to provide debt financing to each of our businesses and to acquire additional businesses. We believe this financing structure can be more efficient than each business borrowing directly from third-party lenders.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intend to finance future acquisitions through cash on hand and, if necessary, additional equity and debt financings. We believe, and it has been our experience, that having the ability to finance our acquisitions with the capital resources raised by us, rather than relying on transaction specific third-party financing, can reduce delays and closing conditions. In certain circumstances, we may also pursue additional debt or equity financings, or offer equity, in order to fund multiple future acquisitions.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future acquisitions, we may provide a combination of equity capital and intercompany debt financing within the capital structure of the businesses we acquire, including debt funded at the Company level (for example, through our existing 2022 Credit Facility). This intercompany debt structure may allow us to distribute cash to the parent company through interest payments and scheduled principal amortization on these intercompany loans.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Debt Financing</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2022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July 12, 2022, the LLC entered into the Credit Agreement to amend and restate its prior credit facility. The 2022 Credit Facility provides for (i) the 2022 Revolving Credit Facility and (ii) the 2022 Term Loan. Amounts outstanding under the 2022 Revolving Credit Facility mature on July 12, 2027. Borrowings under the 2022 Credit Facility bear interest at either a base rate or a term secured overnight financing rate (“Term SOFR”), plus an applicable margin that varies based on the Company’s Consolidated Total Leverage Ratio (as defined in the 2022 Credit Facility). The 2022 Credit Facility is secured by substantially all assets of the Company, including equity interests in, and loans to, its consolidated subsidiaries. </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First Amendment of 2022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January 9, 2025, the LLC entered into a First Incremental Facility Amendment (the “First Amendment”) to the 2022 Credit Facility, which provided for (i) an additional $200.0 million advance under the term loan (the “Incremental Term Loan”) and (ii) delayed draw term loan commitments in an aggregate amount of $100.0 million (the “Incremental Delayed Draw Term Loan Commitments”). The proceeds were intended to be used for acquisitions, working capital, capital expenditures and other general corporate purposes. The Incremental Term Loan, together with the existing term loan, requires quarterly principal repayments commencing March 31, 2025, with the remaining principal and interest due on July 12, 2027. The Incremental Delayed Draw Term Loan Commitments were terminated prior to the end of the availability period in connection with Lugano-related events of default.</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Forbearance Agreements and Related Amendments and Fifth Amendment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2025, in connection with the Lugano matters and related events of default under the 2022 Credit Facility, the LLC entered into a series of forbearance agreements and related amendments with the Administrative Agent and the required Lenders (the “Forbearance Agreements”). The Forbearance Agreements provided the LLC with time to complete the Lugano Investigation and restatement process and, among other things, limited revolver availability and uses of borrowings, removed the ability to borrow under the delayed draw term loan facility mentioned above, imposed cash disbursement controls and cash forecasting requirements, and limited certain restricted payments and management fee payments. Certain of the Forbearance Agreements also reduced the revolving commitments to $100.0 million. The Fifth Amendment described below formally waived all outstanding Lugano-related events of default that were outstanding prior to the Fifth Amendment.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December 19, 2025, the LLC entered into a Fifth Amendment to the 2022 Credit Facility (the “Fifth Amendment”) and a related transaction letter (the “Transaction Letter”) with the Administrative Agent and the required Lenders. Among other things, the Fifth Amendment and Transaction Letter (i) waived certain Lugano-related events of default that were outstanding prior to the Fifth Amendment, (ii) set the aggregate revolving commitments at $100.0 million, (iii) revised pricing and certain financial and other covenant requirements, including revised financial covenant levels for periods after the quarter ended March 31, 2025, (iv) required repayment of 100% of net cash proceeds from certain dispositions and deleveraging transactions to repay indebtedness, and (v) imposed additional limitations on certain restricted payments and management fee payments, as well as enhanced reporting requirements,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periodic cash flow forecasting. The Transaction Letter also provides for milestone fees payable to the lenders if specified leverage thresholds are not achieved on certain dates.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December 31, 2025, outstanding letters of credit under the 2022 Credit Facility totaled approximately $3.2 million and borrowing availability under the 2022 Revolving Credit Facility, as amended, was approximately $96.8 million.</w:t>
      </w:r>
    </w:p>
    <w:p>
      <w:pPr>
        <w:pStyle w:val="TextBody"/>
        <w:bidi w:val="0"/>
        <w:spacing w:lineRule="auto" w:line="288" w:before="180" w:after="283"/>
        <w:jc w:val="left"/>
        <w:rPr>
          <w:rFonts w:ascii="Arial;sans-serif" w:hAnsi="Arial;sans-serif"/>
          <w:b w:val="false"/>
          <w:color w:val="000000"/>
          <w:sz w:val="20"/>
          <w:u w:val="single"/>
        </w:rPr>
      </w:pPr>
      <w:r>
        <w:rPr>
          <w:rFonts w:ascii="Arial;sans-serif" w:hAnsi="Arial;sans-serif"/>
          <w:b w:val="false"/>
          <w:color w:val="000000"/>
          <w:sz w:val="20"/>
          <w:u w:val="single"/>
        </w:rPr>
        <w:t>Senior Notes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$1.0 billion aggregate principal amount of 5.250% senior notes due 2029 (the “2029 Notes”) and $300.0 million aggregate principal amount of 5.000% senior notes due 2032 (the “2032 Notes” and, together with the 2029 Notes, the “Notes”). The Notes are general unsecured obligations of the Company and are not guaranteed by the Company’s subsidiaries.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Indenture Forbearance Agreement and PIK Payments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Lugano matters and related delayed periodic reporting during 2025, on August 29, 2025, the LLC entered into a forbearance agreement with certain holders of the Notes (the “Indenture Forbearance Agreement”), pursuant to which such holders agreed to forbear from exercising rights and remedies with respect to specified defaults relating to the Company’s failure to deliver certain financial statements within the time periods required under the senior note indentures. As consideration for the Indenture Forbearance Agreement, the Company agreed to pay (in kind) an upfront fee equal to 1.75% of the aggregate principal amount of Notes outstanding and additional interest at an incremental rate equivalent to 5.00% per annum for the period between August 1, 2025 and October 24, 2025 (together, the “PIK Payments”), which were effected through supplemental indentures dated September 9, 2025. The Company recognized $38.2 million in paid-in-kind interest related to the upfront fee and additional interest in connection with the Indenture Forbearance Agreement.</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Equity Financing</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Trust Common Shares</w:t>
      </w:r>
    </w:p>
    <w:p>
      <w:pPr>
        <w:pStyle w:val="TextBody"/>
        <w:bidi w:val="0"/>
        <w:spacing w:lineRule="auto" w:line="288" w:before="120" w:after="120"/>
        <w:jc w:val="both"/>
        <w:rPr/>
      </w:pPr>
      <w:r>
        <w:rPr>
          <w:rFonts w:ascii="Arial;sans-serif" w:hAnsi="Arial;sans-serif"/>
          <w:b w:val="false"/>
          <w:color w:val="000000"/>
          <w:sz w:val="20"/>
        </w:rPr>
        <w:t>The Trust is authorized to issue 500,000,000 Trust common shares and the Company is authorized to issue a corresponding number of LLC interests. The Company will, at all times have an equal amount of LLC interests outstanding as Trust shares. At December 31, 2025, there were approximately 75.2 million</w:t>
      </w:r>
      <w:r>
        <w:rPr>
          <w:color w:val="000000"/>
          <w:shd w:fill="FFFFFF" w:val="clear"/>
        </w:rPr>
        <w:t xml:space="preserve"> </w:t>
      </w:r>
      <w:r>
        <w:rPr>
          <w:rFonts w:ascii="Arial;sans-serif" w:hAnsi="Arial;sans-serif"/>
          <w:b w:val="false"/>
          <w:color w:val="000000"/>
          <w:sz w:val="20"/>
          <w:shd w:fill="FFFFFF" w:val="clear"/>
        </w:rPr>
        <w:t>Tr</w:t>
      </w:r>
      <w:r>
        <w:rPr>
          <w:rFonts w:ascii="Arial;sans-serif" w:hAnsi="Arial;sans-serif"/>
          <w:b w:val="false"/>
          <w:color w:val="000000"/>
          <w:sz w:val="20"/>
        </w:rPr>
        <w:t>ust common shares outstanding.</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At-the market program - common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September 5, 2024, the Company refreshed its at-the-market program for the common shares of the Trust, which was initially established on September 7, 2021, by filing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connection with refreshing the program, the Company entered into an Amended and Restated At Market Issuance Sales Agreement (the “Amended Common Sales Agreement”) with B. Riley Securities, Inc. ("B. Riley Securities"), Goldman Sachs &amp; Co. LLC ("Goldman") and TD Securities (USA) LLC (each a “Common Sales Agent” and, collectively, the “Common Sales Agents”). The Amended Common Sales Agreement provides that the Company may offer and sell Trust common shares from time to time through or to the Common Sales Agents, as sales agent or principal, up to $500 million, in amounts and at times to be determined by the Company. Pursuant to the Amended Common Sales Agreement, the shares may be offered and sold through each Common Sales Agent, acting separately, in ordinary brokers’ transactions, to or through a market maker, on or through the New York Stock Exchange ("NYSE")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year ended December 31, 2025, there were no sales of Trust common shares under the Amended Common Sales Agreement.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During the year ended December 31, 2024, the Company sold 381,957 Trust common shares under the Amended Common Sales Agreement. For the same period, the Company received total net proceeds of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$8.4 million from these sales, and incurred approximately $0.1 million in commissions payable to the Common Sales Agents.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year ended December 31, 2023, there were no sales of Trust common shares under the Amended Common Sales Agreement as the at-the-market program for common shares was not active when the share repurchase program was active.</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Trust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Trust is authorized to issue up to 50,000,000 Trust preferred shares and the Company is authorized to issue a corresponding number of Trust Interests. We issued 4,000,000 7.250% Series A Preferred Shares in 2017, 4,000,000 7.875% Series B Preferred Shares in 2018 and 4,600,000 7.875% Series C Preferred Shares in 2019.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At-the market program -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September 5, 2024, the Company refreshed its at-the-market program for certain preferred shares of the Trust, which was initially established in the first quarter of 2024, by filing a prospectus supplement pursuant to which the Company may, but has no obligation to, issue and sell up to $200 million of the Trust’s 7.250% Series A Preferred Shares (the “Series A Preferred Shares”), 7.875% Series B Preferred Shares (the “Series B Preferred Shares”), and 7.875% Series C Preferred Shares (the “Series C Preferred Shares” and together with the Series A Preferred Shares and the Series B Preferred Shares, the “Preferred Shares”), each representing beneficial interests in the Trust. The at-the-market program for Preferred Shares of the Trust was initially established on March 20, 2024 and allowed for the issuance and sale of up to $100 million of the Trust’s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connection with refreshing the program, the Company entered into an Amended and Restated At Market Issuance Sales Agreement (the “Amended Preferred Sales Agreement”) with B. Riley Securities, Inc. (the “Preferred Sales Agent”). The Amended Preferred Sales Agreement provides that the Company may offer and sell Trust Preferred Shares from time to time through or to the Preferred Sales Agent, as sales agent or principal, up to $200 million, in amounts and at times to be determined by the Company. Pursuant to the Amended Preferred Sales Agreement, the shares may be offered and sold through the Preferred Sales Agent in ordinary brokers’ transactions, to or through a market maker, on or through the NYSE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w:t>
      </w:r>
    </w:p>
    <w:p>
      <w:pPr>
        <w:pStyle w:val="TextBody"/>
        <w:bidi w:val="0"/>
        <w:spacing w:lineRule="auto" w:line="288" w:before="120" w:after="283"/>
        <w:jc w:val="both"/>
        <w:rPr/>
      </w:pPr>
      <w:r>
        <w:rPr>
          <w:rFonts w:ascii="Arial;sans-serif" w:hAnsi="Arial;sans-serif"/>
          <w:b w:val="false"/>
          <w:color w:val="000000"/>
          <w:sz w:val="20"/>
        </w:rPr>
        <w:t xml:space="preserve">The following table reflects the activity in the Preferred Share at-the-market program during the years ended </w:t>
      </w:r>
      <w:r>
        <w:rPr>
          <w:rFonts w:ascii="Arial;sans-serif" w:hAnsi="Arial;sans-serif"/>
          <w:b w:val="false"/>
          <w:color w:val="000000"/>
          <w:sz w:val="20"/>
          <w:shd w:fill="FFFFFF" w:val="clear"/>
        </w:rPr>
        <w:t xml:space="preserve">December 31, 2025 and </w:t>
      </w:r>
      <w:r>
        <w:rPr>
          <w:rFonts w:ascii="Arial;sans-serif" w:hAnsi="Arial;sans-serif"/>
          <w:b w:val="false"/>
          <w:color w:val="000000"/>
          <w:sz w:val="20"/>
        </w:rPr>
        <w:t xml:space="preserve">2024 </w:t>
      </w:r>
      <w:r>
        <w:rPr>
          <w:rFonts w:ascii="Arial;sans-serif" w:hAnsi="Arial;sans-serif"/>
          <w:b w:val="false"/>
          <w:i/>
          <w:color w:val="000000"/>
          <w:sz w:val="20"/>
        </w:rPr>
        <w:t>(in thousands, except share data)</w:t>
      </w:r>
      <w:r>
        <w:rPr>
          <w:rFonts w:ascii="Arial;sans-serif" w:hAnsi="Arial;sans-serif"/>
          <w:b w:val="false"/>
          <w:color w:val="000000"/>
          <w:sz w:val="20"/>
        </w:rPr>
        <w:t>:</w:t>
      </w:r>
    </w:p>
    <w:tbl>
      <w:tblPr>
        <w:tblW w:w="7761" w:type="dxa"/>
        <w:jc w:val="center"/>
        <w:tblInd w:w="0" w:type="dxa"/>
        <w:tblLayout w:type="fixed"/>
        <w:tblCellMar>
          <w:top w:w="28" w:type="dxa"/>
          <w:left w:w="28" w:type="dxa"/>
          <w:bottom w:w="28" w:type="dxa"/>
          <w:right w:w="28" w:type="dxa"/>
        </w:tblCellMar>
      </w:tblPr>
      <w:tblGrid>
        <w:gridCol w:w="745"/>
        <w:gridCol w:w="654"/>
        <w:gridCol w:w="656"/>
        <w:gridCol w:w="109"/>
        <w:gridCol w:w="109"/>
        <w:gridCol w:w="109"/>
        <w:gridCol w:w="644"/>
        <w:gridCol w:w="644"/>
        <w:gridCol w:w="647"/>
        <w:gridCol w:w="109"/>
        <w:gridCol w:w="109"/>
        <w:gridCol w:w="109"/>
        <w:gridCol w:w="238"/>
        <w:gridCol w:w="785"/>
        <w:gridCol w:w="132"/>
        <w:gridCol w:w="109"/>
        <w:gridCol w:w="109"/>
        <w:gridCol w:w="109"/>
        <w:gridCol w:w="353"/>
        <w:gridCol w:w="1003"/>
        <w:gridCol w:w="279"/>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 2025</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Number of Shares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Commissions Paid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127,078 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B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1,331,522 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1,152,584 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2,611,184 </w:t>
            </w:r>
          </w:p>
        </w:tc>
        <w:tc>
          <w:tcPr>
            <w:tcW w:w="6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59,008 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1,206 </w:t>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61" w:type="dxa"/>
        <w:jc w:val="center"/>
        <w:tblInd w:w="0" w:type="dxa"/>
        <w:tblLayout w:type="fixed"/>
        <w:tblCellMar>
          <w:top w:w="28" w:type="dxa"/>
          <w:left w:w="28" w:type="dxa"/>
          <w:bottom w:w="28" w:type="dxa"/>
          <w:right w:w="28" w:type="dxa"/>
        </w:tblCellMar>
      </w:tblPr>
      <w:tblGrid>
        <w:gridCol w:w="745"/>
        <w:gridCol w:w="654"/>
        <w:gridCol w:w="656"/>
        <w:gridCol w:w="109"/>
        <w:gridCol w:w="109"/>
        <w:gridCol w:w="109"/>
        <w:gridCol w:w="644"/>
        <w:gridCol w:w="644"/>
        <w:gridCol w:w="647"/>
        <w:gridCol w:w="109"/>
        <w:gridCol w:w="109"/>
        <w:gridCol w:w="109"/>
        <w:gridCol w:w="217"/>
        <w:gridCol w:w="817"/>
        <w:gridCol w:w="121"/>
        <w:gridCol w:w="109"/>
        <w:gridCol w:w="109"/>
        <w:gridCol w:w="109"/>
        <w:gridCol w:w="353"/>
        <w:gridCol w:w="1003"/>
        <w:gridCol w:w="279"/>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 2024</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Number of Shares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Proceeds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Commissions Paid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550,736 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B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2,192,267 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2,154,081 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50,821 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4,897,084 </w:t>
            </w:r>
          </w:p>
        </w:tc>
        <w:tc>
          <w:tcPr>
            <w:tcW w:w="6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115,134 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2,400 </w:t>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2025, the Company sold Trust preferred shares under the Amended Preferred Sales Agreement as reflected in the table above. Beginning in April 2025, in light of the Lugano Investigation and related events, the Company discontinued sales under the Amended Preferred Sales Agreement for the remainder of fiscal year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intend to finance future acquisitions through cash on hand and, if necessary and when we determine we can efficiently access the capital markets, additional equity and debt financings. We believe, and it has been our experience, that having the ability to finance our acquisitions with the capital resources raised by us, rather than negotiating separate third-party financing specifically related to the acquisition of individual businesses, provides us with an advantage in acquiring attractive businesses by minimizing delay and closing conditions that are often related to acquisition-specific financings. In this respect, we believe that in the future, we may need to pursue additional debt or equity financings, or offer equity in Holdings or target businesses to the sellers of such target businesses, in order to fund future acquisitions.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2"/>
        </w:rPr>
      </w:pPr>
      <w:r>
        <w:rPr>
          <w:rFonts w:ascii="Arial;sans-serif" w:hAnsi="Arial;sans-serif"/>
          <w:b/>
          <w:color w:val="000000"/>
          <w:sz w:val="22"/>
        </w:rPr>
        <w:t>Our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categorize the current operating subsidiaries we own into two separate groups of businesses (i) branded consumer businesses, and (ii) industrial businesses. Branded consumer businesses are characterized as those businesses that we believe capitalize on a valuable brand name in their respective market sector. We believe that our branded consumer businesses are leaders in their particular product category. Industrial businesses are characterized as those businesses that focus on manufacturing and selling particular products and industrial services within a specific market sector. We believe that our industrial businesses are leaders in their specific market sector.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represents the percentage of net revenue and operating income each of our businesses contributed to our consolidated results since the date of acquisition for the years ended December 31, 2025, 2024 and 2023, and the total assets of each of our businesses as a percentage of the consolidated total as of December 31, 2025 and 2024. The 2025 percentages for Net Revenue and Operating Income (loss) include Lugano through November 16, 2025, when Lugano filed for the Lugano Bankruptcy and was deconsolidated.</w:t>
      </w:r>
    </w:p>
    <w:tbl>
      <w:tblPr>
        <w:tblW w:w="10205" w:type="dxa"/>
        <w:jc w:val="center"/>
        <w:tblInd w:w="0" w:type="dxa"/>
        <w:tblLayout w:type="fixed"/>
        <w:tblCellMar>
          <w:top w:w="28" w:type="dxa"/>
          <w:left w:w="28" w:type="dxa"/>
          <w:bottom w:w="28" w:type="dxa"/>
          <w:right w:w="28" w:type="dxa"/>
        </w:tblCellMar>
      </w:tblPr>
      <w:tblGrid>
        <w:gridCol w:w="358"/>
        <w:gridCol w:w="315"/>
        <w:gridCol w:w="317"/>
        <w:gridCol w:w="109"/>
        <w:gridCol w:w="109"/>
        <w:gridCol w:w="109"/>
        <w:gridCol w:w="278"/>
        <w:gridCol w:w="278"/>
        <w:gridCol w:w="256"/>
        <w:gridCol w:w="109"/>
        <w:gridCol w:w="109"/>
        <w:gridCol w:w="109"/>
        <w:gridCol w:w="278"/>
        <w:gridCol w:w="278"/>
        <w:gridCol w:w="256"/>
        <w:gridCol w:w="109"/>
        <w:gridCol w:w="109"/>
        <w:gridCol w:w="109"/>
        <w:gridCol w:w="278"/>
        <w:gridCol w:w="278"/>
        <w:gridCol w:w="256"/>
        <w:gridCol w:w="109"/>
        <w:gridCol w:w="109"/>
        <w:gridCol w:w="109"/>
        <w:gridCol w:w="277"/>
        <w:gridCol w:w="279"/>
        <w:gridCol w:w="257"/>
        <w:gridCol w:w="109"/>
        <w:gridCol w:w="109"/>
        <w:gridCol w:w="109"/>
        <w:gridCol w:w="277"/>
        <w:gridCol w:w="279"/>
        <w:gridCol w:w="257"/>
        <w:gridCol w:w="109"/>
        <w:gridCol w:w="109"/>
        <w:gridCol w:w="109"/>
        <w:gridCol w:w="286"/>
        <w:gridCol w:w="287"/>
        <w:gridCol w:w="257"/>
        <w:gridCol w:w="109"/>
        <w:gridCol w:w="109"/>
        <w:gridCol w:w="109"/>
        <w:gridCol w:w="278"/>
        <w:gridCol w:w="278"/>
        <w:gridCol w:w="265"/>
        <w:gridCol w:w="112"/>
        <w:gridCol w:w="112"/>
        <w:gridCol w:w="112"/>
        <w:gridCol w:w="278"/>
        <w:gridCol w:w="278"/>
        <w:gridCol w:w="32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Operating Income (loss) </w:t>
            </w:r>
            <w:r>
              <w:rPr>
                <w:rFonts w:ascii="Arial;sans-serif" w:hAnsi="Arial;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Assets</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Branded 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434.1 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49.0 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253.7 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(76.1)</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(84.8)</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(505.3)</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(530.4)</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 Outdoor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(305.1)</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(653.0)</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321.3 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 Magnetics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200.7 </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Sterno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41.7 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231.0 </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753.0 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Corporate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180" w:after="283"/>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18"/>
        </w:rPr>
        <w:t>Operating income (loss) reflected are calculated using the sum of segment operating income (loss) across the operating segments listed (excluding corporate expense) as the denominator.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Branded Consumer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1"/>
        </w:rPr>
      </w:pPr>
      <w:r>
        <w:rPr>
          <w:rFonts w:ascii="Arial;sans-serif" w:hAnsi="Arial;sans-serif"/>
          <w:b/>
          <w:color w:val="000000"/>
          <w:sz w:val="21"/>
        </w:rPr>
        <w:t xml:space="preserve">5.11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5.11 is a global apparel, footwear, and gear company serving consumers who demand performance, durability, and versatility across work, training, and adventure. The brand was born in Yosemite on a climb rated 5.11. At the time,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 rated climb was an impossible route, but every once in a while, a person with the right courage and preparation made it possible. That spirit of grit, discipline, and redefining limits has defined 5.11 from the very beginning.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What started on granite walls was later forged under far harsher conditions. As the brand earned the trust of elite military, law enforcement, and first responder communities, its products were pressure-tested in environments where performance is non-negotiable and reliability is assumed. This sharpened the brand’s ethos and raised the standard for what its products are expected to deliver.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Headquartered in Costa Mesa, California, 5.11 operates globally through retail stores, direct-to-consumer digital commerce, and select wholesale partners. The Company’s products are sold in 123 5.11-owned retail locations and through digital platforms, as well as through wholesale distribution in domestic and international markets. This diversified model enables broad consumer access while maintaining control over brand presentation, pricing integrity, and product experience.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History of 5.11</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Born in Yosemite. Forged in Quantico. Built for Adventure.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5.11’s Yosemite roots established a standard that still guides the brand: 5.11 builds for the hard path - where preparation meets unpredictable conditions - and designs products that earn trust through sustained use. That standard, strengthened through co-creation and continuous improvement, lends professional validation to the brand’s credibility and raises expectations for quality, durability &amp; reliability. Together, they form the foundation of a brand built for people who choose growth, not comfort.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heritage gives 5.11 a level of authenticity that cannot be manufactured. That standard was later forged in Quantico and validated by adoption among military, law enforcement, and first responder communities. Working alongside demanding end users, 5.11 refined its product rigor through real-world testing, co-creation, and continuous improvement. This professional validation strengthened the brand’s credibility and raised expectations for quality, durability, and reliability.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Built for Adventure reflects the modern expression of the same mindset. Today’s consumers move fluidly across work, fitness, and self-chosen challenges. 5.11 is positioned as a premium brand for people who expect their gear to perform across the realities of their lives.</w:t>
      </w:r>
    </w:p>
    <w:p>
      <w:pPr>
        <w:pStyle w:val="TextBody"/>
        <w:bidi w:val="0"/>
        <w:spacing w:lineRule="auto" w:line="288" w:before="180" w:after="283"/>
        <w:jc w:val="both"/>
        <w:rPr/>
      </w:pPr>
      <w:r>
        <w:rPr>
          <w:rFonts w:ascii="Arial;sans-serif" w:hAnsi="Arial;sans-serif"/>
          <w:b w:val="false"/>
          <w:color w:val="000000"/>
          <w:sz w:val="20"/>
        </w:rPr>
        <w:t xml:space="preserve">5.11’s brand platform, </w:t>
      </w:r>
      <w:r>
        <w:rPr>
          <w:rFonts w:ascii="Arial;sans-serif" w:hAnsi="Arial;sans-serif"/>
          <w:b/>
          <w:color w:val="000000"/>
          <w:sz w:val="20"/>
        </w:rPr>
        <w:t>Challenge Possible</w:t>
      </w:r>
      <w:r>
        <w:rPr>
          <w:rFonts w:ascii="Arial;sans-serif" w:hAnsi="Arial;sans-serif"/>
          <w:b w:val="false"/>
          <w:color w:val="000000"/>
          <w:sz w:val="20"/>
        </w:rPr>
        <w:t>, is a belief system grounded in preparation, effort, and earned progress. It unifies the brand across multiple pursuits from the city to the tree line, without fragmenting identity.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acquired a majority interest in 5.11 on August 31, 2016.</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5.11 participates in the global professional and consumer soft goods market for tactical gear and apparel. 5.11 products are designed for use in a wide variety of activities, from professional to recreational and outdoor and indoor, and can be used all year long. As a result, the markets and consumers 5.11 serves are broad and deep.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Products, Customers and Distribution</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Products and Design Philosophy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5.11 designs apparel, footwear, and gear engineered to perform in demanding environments and endure sustained, real-world use. Products are developed through a disciplined process that is guided by the 5.11 FIVE. </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1.Functional – every feature earns its place</w:t>
      </w:r>
    </w:p>
    <w:p>
      <w:pPr>
        <w:pStyle w:val="TextBody"/>
        <w:bidi w:val="0"/>
        <w:spacing w:lineRule="auto" w:line="288"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2.Durable – built to last, tested to prove it. </w:t>
      </w:r>
    </w:p>
    <w:p>
      <w:pPr>
        <w:pStyle w:val="TextBody"/>
        <w:bidi w:val="0"/>
        <w:spacing w:lineRule="auto" w:line="288"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3.Comfortable – movement, breathability, ease of wear. </w:t>
      </w:r>
    </w:p>
    <w:p>
      <w:pPr>
        <w:pStyle w:val="TextBody"/>
        <w:bidi w:val="0"/>
        <w:spacing w:lineRule="auto" w:line="288"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 xml:space="preserve">4.Engineered Versatility - smarter materials, smarter construction, offers the capability for anything. </w:t>
      </w:r>
    </w:p>
    <w:p>
      <w:pPr>
        <w:pStyle w:val="TextBody"/>
        <w:bidi w:val="0"/>
        <w:spacing w:lineRule="auto" w:line="288" w:before="60" w:after="283"/>
        <w:ind w:left="0" w:right="0" w:hanging="360"/>
        <w:jc w:val="both"/>
        <w:rPr>
          <w:rFonts w:ascii="Arial;sans-serif" w:hAnsi="Arial;sans-serif"/>
          <w:b w:val="false"/>
          <w:color w:val="000000"/>
          <w:sz w:val="20"/>
        </w:rPr>
      </w:pPr>
      <w:r>
        <w:rPr>
          <w:rFonts w:ascii="Arial;sans-serif" w:hAnsi="Arial;sans-serif"/>
          <w:b w:val="false"/>
          <w:color w:val="000000"/>
          <w:sz w:val="20"/>
        </w:rPr>
        <w:t>5.Stylish – confident, authentic, unmistakably 5.11</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Across categories, the Company’s product standards emphasize quality and craftsmanship. Products are continually field tested, with feedback loops that sharpen performance and fit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5.11’s purpose-driven approach, combined with a refined, premium aesthetic, results in products that consistently earn trust through performance over time.</w:t>
      </w:r>
    </w:p>
    <w:p>
      <w:pPr>
        <w:pStyle w:val="TextBody"/>
        <w:bidi w:val="0"/>
        <w:spacing w:lineRule="auto" w:line="288" w:before="180" w:after="283"/>
        <w:jc w:val="both"/>
        <w:rPr/>
      </w:pPr>
      <w:r>
        <w:rPr>
          <w:rFonts w:ascii="Arial;sans-serif" w:hAnsi="Arial;sans-serif"/>
          <w:b/>
          <w:color w:val="000000"/>
          <w:sz w:val="20"/>
        </w:rPr>
        <w:t xml:space="preserve">Apparel - </w:t>
      </w:r>
      <w:r>
        <w:rPr>
          <w:rFonts w:ascii="Arial;sans-serif" w:hAnsi="Arial;sans-serif"/>
          <w:b w:val="false"/>
          <w:color w:val="000000"/>
          <w:sz w:val="20"/>
        </w:rPr>
        <w:t>Apparel represents 5.11’s largest product cat</w:t>
      </w:r>
      <w:r>
        <w:rPr>
          <w:rFonts w:ascii="Arial;sans-serif" w:hAnsi="Arial;sans-serif"/>
          <w:b w:val="false"/>
          <w:color w:val="000000"/>
          <w:sz w:val="20"/>
          <w:shd w:fill="FFFFFF" w:val="clear"/>
        </w:rPr>
        <w:t xml:space="preserve">egory at 72%, 71% and 70%, respectively, of net sales for the years ending December 31,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2023</w:t>
      </w:r>
      <w:r>
        <w:rPr>
          <w:rFonts w:ascii="Arial;sans-serif" w:hAnsi="Arial;sans-serif"/>
          <w:b w:val="false"/>
          <w:color w:val="000000"/>
          <w:sz w:val="20"/>
          <w:shd w:fill="FFFFFF" w:val="clear"/>
        </w:rPr>
        <w:t xml:space="preserve">. </w:t>
      </w:r>
      <w:r>
        <w:rPr>
          <w:rFonts w:ascii="Arial;sans-serif" w:hAnsi="Arial;sans-serif"/>
          <w:b w:val="false"/>
          <w:color w:val="000000"/>
          <w:sz w:val="20"/>
        </w:rPr>
        <w:t>Core categories include pants, outerwear, tops, uniforms, and technical layering systems designed to perform across work, training, and adventure environments. Apparel offerings reflect a premium brand position anchored in durability, material quality, and functional design.</w:t>
      </w:r>
    </w:p>
    <w:p>
      <w:pPr>
        <w:pStyle w:val="TextBody"/>
        <w:bidi w:val="0"/>
        <w:spacing w:lineRule="auto" w:line="288" w:before="180" w:after="283"/>
        <w:jc w:val="both"/>
        <w:rPr/>
      </w:pPr>
      <w:r>
        <w:rPr>
          <w:rFonts w:ascii="Arial;sans-serif" w:hAnsi="Arial;sans-serif"/>
          <w:b/>
          <w:color w:val="000000"/>
          <w:sz w:val="20"/>
          <w:shd w:fill="FFFFFF" w:val="clear"/>
        </w:rPr>
        <w:t xml:space="preserve">Gear - </w:t>
      </w:r>
      <w:r>
        <w:rPr>
          <w:rFonts w:ascii="Arial;sans-serif" w:hAnsi="Arial;sans-serif"/>
          <w:b w:val="false"/>
          <w:color w:val="000000"/>
          <w:sz w:val="20"/>
          <w:shd w:fill="FFFFFF" w:val="clear"/>
        </w:rPr>
        <w:t xml:space="preserve">Gear represented 18%, 19% and 19%, respectively, of 2025, 2024 and 2023 net sales, and includes packs, bags, load-bearing equipment, and accessories. Gear products are designed for modularity, durability, and long service life. </w:t>
      </w:r>
    </w:p>
    <w:p>
      <w:pPr>
        <w:pStyle w:val="TextBody"/>
        <w:bidi w:val="0"/>
        <w:spacing w:lineRule="auto" w:line="288" w:before="180" w:after="283"/>
        <w:jc w:val="both"/>
        <w:rPr/>
      </w:pPr>
      <w:r>
        <w:rPr>
          <w:rFonts w:ascii="Arial;sans-serif" w:hAnsi="Arial;sans-serif"/>
          <w:b/>
          <w:color w:val="000000"/>
          <w:sz w:val="20"/>
        </w:rPr>
        <w:t xml:space="preserve">Footwear - </w:t>
      </w:r>
      <w:r>
        <w:rPr>
          <w:rFonts w:ascii="Arial;sans-serif" w:hAnsi="Arial;sans-serif"/>
          <w:b w:val="false"/>
          <w:color w:val="000000"/>
          <w:sz w:val="20"/>
        </w:rPr>
        <w:t>Footwear represe</w:t>
      </w:r>
      <w:r>
        <w:rPr>
          <w:rFonts w:ascii="Arial;sans-serif" w:hAnsi="Arial;sans-serif"/>
          <w:b w:val="false"/>
          <w:color w:val="000000"/>
          <w:sz w:val="20"/>
          <w:shd w:fill="FFFFFF" w:val="clear"/>
        </w:rPr>
        <w:t>nted 10% of net sales</w:t>
      </w:r>
      <w:r>
        <w:rPr>
          <w:color w:val="000000"/>
        </w:rPr>
        <w:t xml:space="preserve"> </w:t>
      </w:r>
      <w:r>
        <w:rPr>
          <w:rFonts w:ascii="Arial;sans-serif" w:hAnsi="Arial;sans-serif"/>
          <w:b w:val="false"/>
          <w:color w:val="000000"/>
          <w:sz w:val="20"/>
        </w:rPr>
        <w:t>in each of the years ending 2025, 2024 and 2023 and includes duty footwear, training shoes, and adventure-oriented styles. Footwear products emphasize stability, comfort, durability, and traction across varied terrain and conditions.</w:t>
      </w:r>
      <w:r>
        <w:rPr>
          <w:color w:val="000000"/>
        </w:rPr>
        <w:t xml:space="preserve">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Customers and Distribution Channels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Operating Model and Capabilities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5.11’s operating model is designed to support profitable growth, premium positioning, and operational discipline. The Company leverages data-driven inventory planning, lifecycle value management, and continuous improvement initiatives to balance growth with capital efficiency.</w:t>
      </w:r>
    </w:p>
    <w:p>
      <w:pPr>
        <w:pStyle w:val="TextBody"/>
        <w:bidi w:val="0"/>
        <w:spacing w:lineRule="auto" w:line="288" w:before="180" w:after="283"/>
        <w:jc w:val="both"/>
        <w:rPr/>
      </w:pPr>
      <w:r>
        <w:rPr>
          <w:rFonts w:ascii="Arial;sans-serif" w:hAnsi="Arial;sans-serif"/>
          <w:b/>
          <w:color w:val="000000"/>
          <w:sz w:val="20"/>
        </w:rPr>
        <w:t xml:space="preserve">Professional Wholesale - </w:t>
      </w:r>
      <w:r>
        <w:rPr>
          <w:rFonts w:ascii="Arial;sans-serif" w:hAnsi="Arial;sans-serif"/>
          <w:b w:val="false"/>
          <w:color w:val="000000"/>
          <w:sz w:val="20"/>
        </w:rPr>
        <w:t>Professional wholesale serves uniformed and institutional customers through specialized distributors, uniform dealers and direct agency relationships. This channel emphasizes solution-based selling, long-term partnerships, and co-created product development. Professional w</w:t>
      </w:r>
      <w:r>
        <w:rPr>
          <w:rFonts w:ascii="Arial;sans-serif" w:hAnsi="Arial;sans-serif"/>
          <w:b w:val="false"/>
          <w:color w:val="000000"/>
          <w:sz w:val="20"/>
          <w:shd w:fill="FFFFFF" w:val="clear"/>
        </w:rPr>
        <w:t>holesale sales were 30%, 27% and 27% of net sales for the years ended December 31, 2025, 2024 and 2023, respectively.</w:t>
      </w:r>
    </w:p>
    <w:p>
      <w:pPr>
        <w:pStyle w:val="TextBody"/>
        <w:bidi w:val="0"/>
        <w:spacing w:lineRule="auto" w:line="288" w:before="180" w:after="283"/>
        <w:jc w:val="both"/>
        <w:rPr/>
      </w:pPr>
      <w:r>
        <w:rPr>
          <w:rFonts w:ascii="Arial;sans-serif" w:hAnsi="Arial;sans-serif"/>
          <w:b/>
          <w:color w:val="000000"/>
          <w:sz w:val="20"/>
        </w:rPr>
        <w:t xml:space="preserve">Consumer Wholesale - </w:t>
      </w:r>
      <w:r>
        <w:rPr>
          <w:rFonts w:ascii="Arial;sans-serif" w:hAnsi="Arial;sans-serif"/>
          <w:b w:val="false"/>
          <w:color w:val="000000"/>
          <w:sz w:val="20"/>
        </w:rPr>
        <w:t>Consumer wholesale expands brand reach through select partners aligned with 5.11’s premium positioning and performance standards.Consumer wholesale represente</w:t>
      </w:r>
      <w:r>
        <w:rPr>
          <w:rFonts w:ascii="Arial;sans-serif" w:hAnsi="Arial;sans-serif"/>
          <w:b w:val="false"/>
          <w:color w:val="000000"/>
          <w:sz w:val="20"/>
          <w:shd w:fill="FFFFFF" w:val="clear"/>
        </w:rPr>
        <w:t>d 5%, 6% and 6% of ne</w:t>
      </w:r>
      <w:r>
        <w:rPr>
          <w:rFonts w:ascii="Arial;sans-serif" w:hAnsi="Arial;sans-serif"/>
          <w:b w:val="false"/>
          <w:color w:val="000000"/>
          <w:sz w:val="20"/>
        </w:rPr>
        <w:t xml:space="preserve">t sales </w:t>
      </w:r>
      <w:r>
        <w:rPr>
          <w:rFonts w:ascii="Arial;sans-serif" w:hAnsi="Arial;sans-serif"/>
          <w:b w:val="false"/>
          <w:color w:val="000000"/>
          <w:sz w:val="20"/>
          <w:shd w:fill="FFFFFF" w:val="clear"/>
        </w:rPr>
        <w:t>for the years ended December 31, 2025, 2024 and 2023, respectively.</w:t>
      </w:r>
    </w:p>
    <w:p>
      <w:pPr>
        <w:pStyle w:val="TextBody"/>
        <w:bidi w:val="0"/>
        <w:spacing w:lineRule="auto" w:line="288" w:before="180" w:after="283"/>
        <w:jc w:val="both"/>
        <w:rPr/>
      </w:pPr>
      <w:r>
        <w:rPr>
          <w:rFonts w:ascii="Arial;sans-serif" w:hAnsi="Arial;sans-serif"/>
          <w:b/>
          <w:color w:val="000000"/>
          <w:sz w:val="20"/>
        </w:rPr>
        <w:t xml:space="preserve">International - </w:t>
      </w:r>
      <w:r>
        <w:rPr>
          <w:rFonts w:ascii="Arial;sans-serif" w:hAnsi="Arial;sans-serif"/>
          <w:b w:val="false"/>
          <w:color w:val="000000"/>
          <w:sz w:val="20"/>
        </w:rPr>
        <w:t>International distribution includes a combination of wholesale part</w:t>
      </w:r>
      <w:r>
        <w:rPr>
          <w:rFonts w:ascii="Arial;sans-serif" w:hAnsi="Arial;sans-serif"/>
          <w:b w:val="false"/>
          <w:color w:val="000000"/>
          <w:sz w:val="20"/>
          <w:shd w:fill="FFFFFF" w:val="clear"/>
        </w:rPr>
        <w:t>ners, distributors, and direct-to-consumer channels across approximately 100 countries.International sales represented 22%, 23% and 21%, for the years ended December 31, 2025, 2024 and 2023, respectively.</w:t>
      </w:r>
    </w:p>
    <w:p>
      <w:pPr>
        <w:pStyle w:val="TextBody"/>
        <w:bidi w:val="0"/>
        <w:spacing w:lineRule="auto" w:line="288" w:before="180" w:after="283"/>
        <w:jc w:val="both"/>
        <w:rPr/>
      </w:pPr>
      <w:r>
        <w:rPr>
          <w:rFonts w:ascii="Arial;sans-serif" w:hAnsi="Arial;sans-serif"/>
          <w:b/>
          <w:color w:val="000000"/>
          <w:sz w:val="20"/>
        </w:rPr>
        <w:t xml:space="preserve">Stores and Digital (Direct-to-Consumer) - </w:t>
      </w:r>
      <w:r>
        <w:rPr>
          <w:rFonts w:ascii="Arial;sans-serif" w:hAnsi="Arial;sans-serif"/>
          <w:b w:val="false"/>
          <w:color w:val="000000"/>
          <w:sz w:val="20"/>
        </w:rPr>
        <w:t>Direct-to-consumer includes company-owned retail stores, eCommerce and Amazon marketplace. Retail stores function as brand and community hubs, while digital channels enable scale, personalization, and direct engagement. 5.11 has significantly expanded its Direct-to-Consumer mix in the past five years, with DTC now co</w:t>
      </w:r>
      <w:r>
        <w:rPr>
          <w:rFonts w:ascii="Arial;sans-serif" w:hAnsi="Arial;sans-serif"/>
          <w:b w:val="false"/>
          <w:color w:val="000000"/>
          <w:sz w:val="20"/>
          <w:shd w:fill="FFFFFF" w:val="clear"/>
        </w:rPr>
        <w:t xml:space="preserve">mprising 42%, 43% and 45% of net sales for the years ended December 31, 2025, 2024 and 2023, respectively. </w:t>
      </w:r>
    </w:p>
    <w:p>
      <w:pPr>
        <w:pStyle w:val="TextBody"/>
        <w:bidi w:val="0"/>
        <w:spacing w:lineRule="auto" w:line="288" w:before="180" w:after="283"/>
        <w:jc w:val="both"/>
        <w:rPr/>
      </w:pPr>
      <w:r>
        <w:rPr>
          <w:rFonts w:ascii="Arial;sans-serif" w:hAnsi="Arial;sans-serif"/>
          <w:b w:val="false"/>
          <w:color w:val="000000"/>
          <w:sz w:val="20"/>
          <w:shd w:fill="FFFFFF" w:val="clear"/>
        </w:rPr>
        <w:t>No individual customer represented greater than 10% of 5.11’s net revenues in 2025. As of December 31, 2025 and 2024, 5.11 had approximately $15.1 million and $23.9 million, resp</w:t>
      </w:r>
      <w:r>
        <w:rPr>
          <w:rFonts w:ascii="Arial;sans-serif" w:hAnsi="Arial;sans-serif"/>
          <w:b w:val="false"/>
          <w:color w:val="000000"/>
          <w:sz w:val="20"/>
        </w:rPr>
        <w:t>ectively, in firm backlog.</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Strategies</w:t>
      </w:r>
    </w:p>
    <w:p>
      <w:pPr>
        <w:pStyle w:val="TextBody"/>
        <w:bidi w:val="0"/>
        <w:spacing w:lineRule="auto" w:line="26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Growth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5.11’s growth strategy is designed to expand relevance while strengthening brand equity and operating discipline. The Company’s go-forward priorities include:</w:t>
      </w:r>
    </w:p>
    <w:p>
      <w:pPr>
        <w:pStyle w:val="TextBody"/>
        <w:bidi w:val="0"/>
        <w:spacing w:lineRule="auto" w:line="288" w:before="120" w:after="283"/>
        <w:ind w:left="0" w:right="0" w:hanging="360"/>
        <w:jc w:val="left"/>
        <w:rPr/>
      </w:pPr>
      <w:r>
        <w:rPr>
          <w:rFonts w:ascii="Arial;sans-serif" w:hAnsi="Arial;sans-serif"/>
          <w:b w:val="false"/>
          <w:color w:val="000000"/>
          <w:sz w:val="20"/>
        </w:rPr>
        <w:t>1.</w:t>
      </w:r>
      <w:r>
        <w:rPr>
          <w:rFonts w:ascii="Arial;sans-serif" w:hAnsi="Arial;sans-serif"/>
          <w:b/>
          <w:color w:val="000000"/>
          <w:sz w:val="20"/>
        </w:rPr>
        <w:t xml:space="preserve">Deepen the Professional Business (Segment and Product Expansion) - </w:t>
      </w:r>
      <w:r>
        <w:rPr>
          <w:rFonts w:ascii="Arial;sans-serif" w:hAnsi="Arial;sans-serif"/>
          <w:b w:val="false"/>
          <w:color w:val="000000"/>
          <w:sz w:val="20"/>
        </w:rPr>
        <w:t>Expand solutions and categories in the professional market. Strengthen long-term partnerships and continue co-creating products with demanding end users.</w:t>
      </w:r>
    </w:p>
    <w:p>
      <w:pPr>
        <w:pStyle w:val="TextBody"/>
        <w:bidi w:val="0"/>
        <w:spacing w:lineRule="auto" w:line="288" w:before="120" w:after="283"/>
        <w:ind w:left="0" w:right="0" w:hanging="360"/>
        <w:jc w:val="left"/>
        <w:rPr/>
      </w:pPr>
      <w:r>
        <w:rPr>
          <w:rFonts w:ascii="Arial;sans-serif" w:hAnsi="Arial;sans-serif"/>
          <w:b w:val="false"/>
          <w:color w:val="000000"/>
          <w:sz w:val="20"/>
        </w:rPr>
        <w:t>2.</w:t>
      </w:r>
      <w:r>
        <w:rPr>
          <w:rFonts w:ascii="Arial;sans-serif" w:hAnsi="Arial;sans-serif"/>
          <w:b/>
          <w:color w:val="000000"/>
          <w:sz w:val="20"/>
        </w:rPr>
        <w:t xml:space="preserve">Expand Audience in High-Growth Lifestyle and Adventure Segments - </w:t>
      </w:r>
      <w:r>
        <w:rPr>
          <w:rFonts w:ascii="Arial;sans-serif" w:hAnsi="Arial;sans-serif"/>
          <w:b w:val="false"/>
          <w:color w:val="000000"/>
          <w:sz w:val="20"/>
        </w:rPr>
        <w:t>Broaden reach among consumers seeking premium performance products for training, outdoor and adventure pursuits, and everyday utility.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ind w:left="0" w:right="0" w:hanging="360"/>
        <w:jc w:val="left"/>
        <w:rPr/>
      </w:pPr>
      <w:r>
        <w:rPr>
          <w:rFonts w:ascii="Arial;sans-serif" w:hAnsi="Arial;sans-serif"/>
          <w:b w:val="false"/>
          <w:color w:val="000000"/>
          <w:sz w:val="20"/>
        </w:rPr>
        <w:t>3.</w:t>
      </w:r>
      <w:r>
        <w:rPr>
          <w:rFonts w:ascii="Arial;sans-serif" w:hAnsi="Arial;sans-serif"/>
          <w:b/>
          <w:color w:val="000000"/>
          <w:sz w:val="20"/>
        </w:rPr>
        <w:t xml:space="preserve">Build Brand Demand Through Community and Storytelling - </w:t>
      </w:r>
      <w:r>
        <w:rPr>
          <w:rFonts w:ascii="Arial;sans-serif" w:hAnsi="Arial;sans-serif"/>
          <w:b w:val="false"/>
          <w:color w:val="000000"/>
          <w:sz w:val="20"/>
        </w:rPr>
        <w:t>Increase brand awareness and consideration by embedding in Trailblazer communities and elevating brand storytelling grounded in authentic heritage.</w:t>
      </w:r>
    </w:p>
    <w:p>
      <w:pPr>
        <w:pStyle w:val="TextBody"/>
        <w:bidi w:val="0"/>
        <w:spacing w:lineRule="auto" w:line="288" w:before="120" w:after="283"/>
        <w:ind w:left="0" w:right="0" w:hanging="360"/>
        <w:jc w:val="left"/>
        <w:rPr/>
      </w:pPr>
      <w:r>
        <w:rPr>
          <w:rFonts w:ascii="Arial;sans-serif" w:hAnsi="Arial;sans-serif"/>
          <w:b w:val="false"/>
          <w:color w:val="000000"/>
          <w:sz w:val="20"/>
        </w:rPr>
        <w:t>4.</w:t>
      </w:r>
      <w:r>
        <w:rPr>
          <w:rFonts w:ascii="Arial;sans-serif" w:hAnsi="Arial;sans-serif"/>
          <w:b/>
          <w:color w:val="000000"/>
          <w:sz w:val="20"/>
        </w:rPr>
        <w:t xml:space="preserve">Scale Omnichannel With Discipline - </w:t>
      </w:r>
      <w:r>
        <w:rPr>
          <w:rFonts w:ascii="Arial;sans-serif" w:hAnsi="Arial;sans-serif"/>
          <w:b w:val="false"/>
          <w:color w:val="000000"/>
          <w:sz w:val="20"/>
        </w:rPr>
        <w:t>Optimize the channel mix to protect brand presentation and pricing integrity while expanding consumer access.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Growth initiatives are designed to build upon authentic heritage and proven product capability, ensuring expansion remains credible, durable, and defensible.</w:t>
      </w:r>
    </w:p>
    <w:p>
      <w:pPr>
        <w:pStyle w:val="TextBody"/>
        <w:bidi w:val="0"/>
        <w:spacing w:lineRule="auto" w:line="26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Competitive Strengths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 occupies a distinct position at the intersection of professional-grade performance and premium lifestyle relevance. Unlike brands built primarily on fashion cycles or marketing-driven narratives, 5.11’s differentiation is grounded in:</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Authentic heritage</w:t>
      </w:r>
      <w:r>
        <w:rPr>
          <w:color w:val="000000"/>
        </w:rPr>
        <w:t xml:space="preserve"> </w:t>
      </w:r>
      <w:r>
        <w:rPr>
          <w:rFonts w:ascii="Arial;sans-serif" w:hAnsi="Arial;sans-serif"/>
          <w:b w:val="false"/>
          <w:color w:val="000000"/>
          <w:sz w:val="20"/>
        </w:rPr>
        <w:t>rooted in Yosemite and challenging what's possible.</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Professional validation</w:t>
      </w:r>
      <w:r>
        <w:rPr>
          <w:color w:val="000000"/>
        </w:rPr>
        <w:t xml:space="preserve"> </w:t>
      </w:r>
      <w:r>
        <w:rPr>
          <w:rFonts w:ascii="Arial;sans-serif" w:hAnsi="Arial;sans-serif"/>
          <w:b w:val="false"/>
          <w:color w:val="000000"/>
          <w:sz w:val="20"/>
        </w:rPr>
        <w:t>earned through collaboration and adoption among demanding end users.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Product standards</w:t>
      </w:r>
      <w:r>
        <w:rPr>
          <w:color w:val="000000"/>
        </w:rPr>
        <w:t xml:space="preserve"> </w:t>
      </w:r>
      <w:r>
        <w:rPr>
          <w:rFonts w:ascii="Arial;sans-serif" w:hAnsi="Arial;sans-serif"/>
          <w:b w:val="false"/>
          <w:color w:val="000000"/>
          <w:sz w:val="20"/>
        </w:rPr>
        <w:t>centered on versatility, comfort, style, craftsmanship &amp; quality. Engineered for performance rather than short-term trends.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 </w:t>
      </w:r>
      <w:r>
        <w:rPr>
          <w:rFonts w:ascii="Arial;sans-serif" w:hAnsi="Arial;sans-serif"/>
          <w:b/>
          <w:color w:val="000000"/>
          <w:sz w:val="20"/>
        </w:rPr>
        <w:t>unified platform</w:t>
      </w:r>
      <w:r>
        <w:rPr>
          <w:color w:val="000000"/>
        </w:rPr>
        <w:t xml:space="preserve"> </w:t>
      </w:r>
      <w:r>
        <w:rPr>
          <w:rFonts w:ascii="Arial;sans-serif" w:hAnsi="Arial;sans-serif"/>
          <w:b w:val="false"/>
          <w:color w:val="000000"/>
          <w:sz w:val="20"/>
        </w:rPr>
        <w:t>designed to serve consumers across multiple pursuits.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This positioning allows the Company to participate in large and growing markets while maintaining a defensible brand foundation.</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Competition</w:t>
      </w:r>
    </w:p>
    <w:p>
      <w:pPr>
        <w:pStyle w:val="TextBody"/>
        <w:bidi w:val="0"/>
        <w:spacing w:lineRule="auto" w:line="288" w:before="120" w:after="283"/>
        <w:jc w:val="both"/>
        <w:rPr/>
      </w:pPr>
      <w:r>
        <w:rPr>
          <w:rFonts w:ascii="Arial;sans-serif" w:hAnsi="Arial;sans-serif"/>
          <w:b w:val="false"/>
          <w:color w:val="000000"/>
          <w:sz w:val="20"/>
          <w:shd w:fill="FFFFFF" w:val="clear"/>
        </w:rPr>
        <w:t>5.11 competes in th</w:t>
      </w:r>
      <w:r>
        <w:rPr>
          <w:rFonts w:ascii="Arial;sans-serif" w:hAnsi="Arial;sans-serif"/>
          <w:b w:val="false"/>
          <w:color w:val="000000"/>
          <w:sz w:val="20"/>
        </w:rPr>
        <w:t>e global marketplace for purpose-built technical apparel, footwear and gear. Management believes 5.11 has competitive advantages through its global omnichannel business model, which is comprised of a rapidly growing DTC channel and recurring Wholesale channel. 5.11 competes against activewear, outdoor and specialty apparel brands such as Nike, Under Armour, The North Face, Patagonia, Lululemon, Arc’teryx, Carhartt, Propper and Fecheimer Brothers. 5.11 competes with footwear brands such as Timberland, Bates and Danner, and with gear and bag brands such as Camelbak, Osprey and YETI. 5.11 also competes with specialty retailers such as REI, Dick’s Sporting Goods and Galls.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Suppliers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5.11 has built a supply chain that is optimized for its business, through which 5.11 controls the design, development and fulfillment of its products.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 xml:space="preserve">Sourcing and Supply Chain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 partners with a diversified global network of suppliers and manufacturers to produce its apparel, footwear, and gear. 5.11 regularly sources new suppliers and manufacturers to support its ongoing growth and carefully evaluates all new suppliers and manufacturers to ensure they share its standards for quality and integrity. To mitigate supplier concentration risk, 5.11 commercializes its top key items at multiple factories to ensure it can balance geographic risks as well as respond quickly to spikes in business. 5.11 also continuously seeks out additional suppliers and manufacturers to enable contingency plans that minimize disruptions, as well as support its future growth.</w:t>
      </w:r>
    </w:p>
    <w:p>
      <w:pPr>
        <w:pStyle w:val="TextBody"/>
        <w:bidi w:val="0"/>
        <w:spacing w:lineRule="auto" w:line="288" w:before="180" w:after="283"/>
        <w:jc w:val="both"/>
        <w:rPr/>
      </w:pPr>
      <w:r>
        <w:rPr>
          <w:rFonts w:ascii="Arial;sans-serif" w:hAnsi="Arial;sans-serif"/>
          <w:b w:val="false"/>
          <w:color w:val="000000"/>
          <w:sz w:val="20"/>
          <w:shd w:fill="FFFFFF" w:val="clear"/>
        </w:rPr>
        <w:t xml:space="preserve">All 5.11 products are manufactured by third-parties. 5.11 works with a group of 80+ vendors, 17 of which produced approximately 80% of its products in both 2025 and 2024. During the year ended December 31, 2025, approximately 35% of 5.11 products at cost were produced in Bangladesh, approximately 30% in Vietnam, and the remainder in </w:t>
      </w:r>
      <w:r>
        <w:rPr>
          <w:rFonts w:ascii="Arial;sans-serif" w:hAnsi="Arial;sans-serif"/>
          <w:b w:val="false"/>
          <w:color w:val="000000"/>
          <w:sz w:val="20"/>
        </w:rPr>
        <w:t xml:space="preserve">Cambodia, Indonesia, Laos, China, Madagascar, United States, Philippines, Honduras, Mexico, Taiwan, Sweden, and Thailand.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maintains a Vendor Code of Conduct that outlines expectations related to labor standards, workplace safety, environmental responsibility, and ethical business practices. Compliance is monitored through internal processes and continuous third-party audits and assessments. 5.11 operates under an ISO 9001-certified quality management system.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pPr>
      <w:r>
        <w:rPr>
          <w:rFonts w:ascii="Arial;sans-serif" w:hAnsi="Arial;sans-serif"/>
          <w:b w:val="false"/>
          <w:i/>
          <w:color w:val="000000"/>
          <w:sz w:val="20"/>
          <w:u w:val="single"/>
        </w:rPr>
        <w:t>Distribution</w:t>
      </w:r>
      <w:r>
        <w:rPr>
          <w:color w:val="000000"/>
          <w:u w:val="single"/>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 operates a distribution network designed to support omnichannel fulfillment and international growth. Distribution capabilities include centralized and regional facilities that support retail, wholesale, and direct-to-consumer channels.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Intellectual Property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5.11 protects its brand, product innovations, and proprietary designs through a combination of trademarks, patents, trade dress, and copyrights. 5.11 considers the 5.11 name and logo, as well as the Beyond Clothing name and logo, trademarks, together with 114 issued and pending patents and 726 registered and pending trademarks, both in the United States and internationally, to be among its most valuable intellectual property assets. The Company actively manages its intellectual property portfolio to protect brand integrity and competitive differentiation.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operates in a regulatory environment that includes product safety standards, import and export regulations, including applicable tariffs, labor laws, and environmental compliance requirements across the jurisdictions in which it operates. In the United States and the other jurisdictions in which 5.11 operates, it is subject to labor and employment laws, laws governing advertising, environmental and safety regulations, including those pertaining to perfluoroalkyl and polyfluoroalkyl substances (collectively known as “PFAS”), and other laws, including consumer protection regulations that apply to the promotion and sale of merchandise and the operation of fulfillment centers, anti-corruption laws and privacy, data security and data protection laws and regulations.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5.11 products sold outside of the United States may be subject to tariffs, treaties, export compliance regulations and various trade agreements, as well as laws affecting the importation of consumer goods. 5.11 monitors changes in these laws and management believes that 5.11 is in material compliance with applicable laws. Failure to comply with these laws, where applicable, can result in the imposition of significant civil and/or criminal penalties and private litigation. A portion of sales generated by its International business is derived from sales to foreign government agencies, and management believes 5.11 is in material compliance with related applicable laws.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Human Capital</w:t>
      </w:r>
    </w:p>
    <w:p>
      <w:pPr>
        <w:pStyle w:val="TextBody"/>
        <w:bidi w:val="0"/>
        <w:spacing w:lineRule="auto" w:line="288" w:before="120" w:after="283"/>
        <w:jc w:val="both"/>
        <w:rPr/>
      </w:pPr>
      <w:r>
        <w:rPr>
          <w:rFonts w:ascii="Arial;sans-serif" w:hAnsi="Arial;sans-serif"/>
          <w:b w:val="false"/>
          <w:color w:val="000000"/>
          <w:sz w:val="20"/>
        </w:rPr>
        <w:t xml:space="preserve">At December 31, 2025, 5.11 </w:t>
      </w:r>
      <w:r>
        <w:rPr>
          <w:rFonts w:ascii="Arial;sans-serif" w:hAnsi="Arial;sans-serif"/>
          <w:b w:val="false"/>
          <w:color w:val="000000"/>
          <w:sz w:val="20"/>
          <w:shd w:fill="FFFFFF" w:val="clear"/>
        </w:rPr>
        <w:t xml:space="preserve">had 1,288 employees globally. </w:t>
      </w:r>
      <w:r>
        <w:rPr>
          <w:rFonts w:ascii="Arial;sans-serif" w:hAnsi="Arial;sans-serif"/>
          <w:b w:val="false"/>
          <w:color w:val="000000"/>
          <w:sz w:val="20"/>
        </w:rPr>
        <w:t xml:space="preserve">5.11’s teams embrace its Challenge Possible mindset, and its core values allow 5.11 to attract passionate and motivated employees who are driven to succeed.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BOA</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BOA, creator of the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History of BOA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BOA was founded in 2001 by Gary Hammerslag, a snowboarder, surfer, and entrepreneur. Gary moved to Steamboat Springs, Colorado in the mid-90’s after successfully selling his previous company, which created innovative catheter solutions that improved angioplasty procedure speed and effectiveness. After arriving in Steamboat Springs and frequently snowboarding, Gary envisioned a possibility to dramatically improve the fit and performance of snowboard boots by applying elements of his learnings in the medical device field. Gary developed a fit system as an alternative to traditional laces for snowboard boots and partnered with K2 and Vans to launch the first BOA-equipped snowboard boots to consumers in the winter of 2001. After a successful launch, BOA became widely adopted on snowboard boots.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Arial;sans-serif" w:hAnsi="Arial;sans-serif"/>
          <w:b w:val="false"/>
          <w:color w:val="000000"/>
          <w:sz w:val="20"/>
        </w:rPr>
        <w:t>BOA’s next phase of growth was largely in the outdoor sporting and recreation markets. In 2005, BOA expanded its focus to hiking and trail-related footwear, followed by cycling and golf in 2006 and hunting and fishing in 2007, at which point BOA surpassed 1 million users worldwide. From 2008 to 2011, having gained credibility in consumer markets, BOA introduced products for the workwear footwear market as well as products for the medical bracing market. In 2013, the company entered the running market, followed by court sports and training in 2019.</w:t>
      </w:r>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2019, BOA launched its state-of-the-art Performance Fit Lab ("PFL") to quantitatively measure the impact of BOA-equipped performance footwear with elite athletes. The PFL’s purpose is to push the limits of athlete performance through superior fit, performance and user experience by testing, refining and improving products in collaboration with BOA’s brand partners. BOA has conducted thousands of individual performance tests since the lab opening, proving and informing future innovation.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2023, BOA successfully launched alpine downhill ski boots. The expansion into new industries and geographies coupled with the scientifically proven performance improvements has resulted in BOA surpassing 26 million systems sold worldwide in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purchased a majority interest in BOA on October 16, 2020.</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BOA participates in the global performance footwear, helmet and bracing markets representing an addressable market of 750+ million units sold annually in over 40 countries. The addressable market includes Snowsports (Alpine Ski, Snowboarding, and Cross-Country boots plus Helmets), Athletic (Golf, Court Sports, Running, and Training footwear), Outdoor (Trail, Hiking, Trekking, and Mountaineering boots/shoes), Cycling (Footwear and Helmets), Workwear (Footwear and Helmets), and Performance Bracing. BOA partners with the leading premier brands to integrate their system into their best gear.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Products, Customers and Distribution Channels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BOA Fit System consists of a durable lace, which is guided by low-friction guides and attached to a dial that is typically mounted on the footwear heel, tongue, or eye-stay for micro-adjustability to enhance performance fit. BOA’s current product portfolio has seven platforms, H+, H, M+, M, L+, L and S-Series, which vary in cost, weight, tension, and use case. Each dial design can be customized with numerous color choices allowing the product to fit cohesively with each brand partners’ specific designs and colorways.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All platforms share the distinctive characteristics that differentiate BOA from competing offerings: micro-adjustability to achieve the perfect fit, measurable performance benefits validated by Boa's Performance Fit Lab "(PFL"), durability and quality proven in extensive field testing, a lifetime guarantee on the end-product’s dial and laces, and the distinctive BOA sound heard when turning the dial.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Each platform is designed and engineered to address the specific performance fit needs of the end user by use case. Factors such as size and shape of dial, level of torque, internal mechanics, and weight vary amongst platforms, and each platform is further segmented into product collections that differ in aesthetic, optimal placement on the shoe, and cost. Within each product collection, dial designs and materials differ to accommodate preferences of the end user and retail price points of the end product.</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Customers and Distribution Channels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BOA has approximately 300 global brand partners, including leading footwear companies such as Adidas, ASICS, Yonex, New Balance, Marucci, Descente, Ecco, Fila, FootJoy, Specialized, Shimano, Scott, Fizik, Trek, Fox, Burton, K2, Vans, Salomon, Atomic, Fischer, Nordica, Tecnica, Kailas, La Sportiva, Scarpa, Black Yak, Sievi, Red Wing, Timberland, Ariat, Strauss, ELTEN and Jalas who feature BOA Fit Systems across key industries and geographies. BOA typically sells directly to the manufacturing partner responsible for final assembly of the brand partner’s product. BOA works with 500+ brand partner factories with limited revenue concentration. Most brand partner factories are located in Asia, primarily in China and Vietnam, and are in relatively close proximity to BOA’s supply chain.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BOA actively collaborates with its brand partners to create innovative, performance-driven footwear, helmets and bracing. BOA contributes substantial design and testing resources to ensure its system is used in a way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pPr>
      <w:r>
        <w:rPr>
          <w:rFonts w:ascii="Arial;sans-serif" w:hAnsi="Arial;sans-serif"/>
          <w:b w:val="false"/>
          <w:color w:val="000000"/>
          <w:sz w:val="20"/>
        </w:rPr>
        <w:t xml:space="preserve">maximizes performance based on dial placement and configuration. The BOA Fit System is not simply a “lace replacement” or plug and play option, but rather a solution that must be integrated into each product model through a 6-18 month development cycle to create an application that works specifically with a product’s unique structural design. This process </w:t>
      </w:r>
      <w:r>
        <w:rPr>
          <w:rFonts w:ascii="Arial;sans-serif" w:hAnsi="Arial;sans-serif"/>
          <w:b w:val="false"/>
          <w:color w:val="000000"/>
          <w:sz w:val="20"/>
          <w:shd w:fill="FFFFFF" w:val="clear"/>
        </w:rPr>
        <w:t xml:space="preserve">allows BOA to ensure brand image consistency, end product quality and the best performance fit. </w:t>
      </w:r>
    </w:p>
    <w:p>
      <w:pPr>
        <w:pStyle w:val="TextBody"/>
        <w:bidi w:val="0"/>
        <w:spacing w:lineRule="auto" w:line="288" w:before="180" w:after="283"/>
        <w:jc w:val="both"/>
        <w:rPr/>
      </w:pPr>
      <w:r>
        <w:rPr>
          <w:rFonts w:ascii="Arial;sans-serif" w:hAnsi="Arial;sans-serif"/>
          <w:b w:val="false"/>
          <w:color w:val="000000"/>
          <w:sz w:val="20"/>
          <w:shd w:fill="FFFFFF" w:val="clear"/>
        </w:rPr>
        <w:t xml:space="preserve">Footwear and headwear products featuring BOA systems are primarily sold through brick-and-mortar sporting goods retailers, specialty sport retailers, online retailers, or brand partners’ owned retail and online channels. Management estimates that end consumption of BOA products is geographically diverse, with approximately </w:t>
      </w:r>
      <w:r>
        <w:rPr>
          <w:rFonts w:ascii="Arial;sans-serif" w:hAnsi="Arial;sans-serif"/>
          <w:b w:val="false"/>
          <w:color w:val="000000"/>
          <w:sz w:val="20"/>
        </w:rPr>
        <w:t xml:space="preserve">17% of products consumed in North America, 38% in Europe, and 45% in Asia. </w:t>
      </w:r>
    </w:p>
    <w:p>
      <w:pPr>
        <w:pStyle w:val="TextBody"/>
        <w:bidi w:val="0"/>
        <w:spacing w:lineRule="auto" w:line="288" w:before="180" w:after="283"/>
        <w:jc w:val="both"/>
        <w:rPr/>
      </w:pPr>
      <w:r>
        <w:rPr>
          <w:rFonts w:ascii="Arial;sans-serif" w:hAnsi="Arial;sans-serif"/>
          <w:b w:val="false"/>
          <w:color w:val="000000"/>
          <w:sz w:val="20"/>
          <w:shd w:fill="FFFFFF" w:val="clear"/>
        </w:rPr>
        <w:t xml:space="preserve">No individual customer or brand partner factory represented greater than 10% of BOA’s net revenues in 2025. One individual customer represented approximately 10% and 11% of BOA's net revenues in 2024 and 2023. At December 31, 2025 and 2024, BOA had </w:t>
      </w:r>
      <w:r>
        <w:rPr>
          <w:rFonts w:ascii="Arial;sans-serif" w:hAnsi="Arial;sans-serif"/>
          <w:b w:val="false"/>
          <w:color w:val="000000"/>
          <w:sz w:val="20"/>
        </w:rPr>
        <w:t xml:space="preserve">approximately $25.5 million and </w:t>
      </w:r>
      <w:r>
        <w:rPr>
          <w:rFonts w:ascii="Arial;sans-serif" w:hAnsi="Arial;sans-serif"/>
          <w:b w:val="false"/>
          <w:color w:val="000000"/>
          <w:sz w:val="20"/>
          <w:shd w:fill="FFFFFF" w:val="clear"/>
        </w:rPr>
        <w:t>$23.0 million in order backlog, respectively.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Strategies and Competitive Strengths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Business Strategies</w:t>
      </w:r>
    </w:p>
    <w:p>
      <w:pPr>
        <w:pStyle w:val="TextBody"/>
        <w:bidi w:val="0"/>
        <w:spacing w:lineRule="auto" w:line="288" w:before="120" w:after="283"/>
        <w:jc w:val="both"/>
        <w:rPr/>
      </w:pPr>
      <w:r>
        <w:rPr>
          <w:rFonts w:ascii="Arial;sans-serif" w:hAnsi="Arial;sans-serif"/>
          <w:b/>
          <w:color w:val="000000"/>
          <w:sz w:val="20"/>
        </w:rPr>
        <w:t>Continued Share Growth in Established Industries</w:t>
      </w:r>
      <w:r>
        <w:rPr>
          <w:color w:val="000000"/>
        </w:rPr>
        <w:t xml:space="preserve"> </w:t>
      </w:r>
      <w:r>
        <w:rPr>
          <w:rFonts w:ascii="Arial;sans-serif" w:hAnsi="Arial;sans-serif"/>
          <w:b w:val="false"/>
          <w:color w:val="000000"/>
          <w:sz w:val="20"/>
        </w:rPr>
        <w:t>- BOA has and will continue to build its brand, innovative product solutions that deliver superior fit and performance for athletes and workers, operational excellence and partner relationships to expand penetration and capture additional share in key industries, including Workwear,</w:t>
      </w:r>
      <w:r>
        <w:rPr>
          <w:color w:val="000000"/>
        </w:rPr>
        <w:t xml:space="preserve"> </w:t>
      </w:r>
      <w:r>
        <w:rPr>
          <w:rFonts w:ascii="Arial;sans-serif" w:hAnsi="Arial;sans-serif"/>
          <w:b w:val="false"/>
          <w:color w:val="000000"/>
          <w:sz w:val="20"/>
        </w:rPr>
        <w:t xml:space="preserve">Snowsports, Cycling, Outdoor, Athletic and Performance Bracing.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Competitive Strengths</w:t>
      </w:r>
    </w:p>
    <w:p>
      <w:pPr>
        <w:pStyle w:val="TextBody"/>
        <w:bidi w:val="0"/>
        <w:spacing w:lineRule="auto" w:line="288" w:before="120" w:after="283"/>
        <w:jc w:val="both"/>
        <w:rPr/>
      </w:pPr>
      <w:r>
        <w:rPr>
          <w:rFonts w:ascii="Arial;sans-serif" w:hAnsi="Arial;sans-serif"/>
          <w:b/>
          <w:color w:val="000000"/>
          <w:sz w:val="20"/>
        </w:rPr>
        <w:t xml:space="preserve">Culture of Innovation and New Product Development </w:t>
      </w:r>
      <w:r>
        <w:rPr>
          <w:rFonts w:ascii="Arial;sans-serif" w:hAnsi="Arial;sans-serif"/>
          <w:b w:val="false"/>
          <w:color w:val="000000"/>
          <w:sz w:val="20"/>
        </w:rPr>
        <w:t>- Management believes that there is a significant opportunity to continue advancing product offerings through its commitment to innovation. Product development and innovation are divided amongst (i) BOA’s internal innovation and evolution of its fit systems and platforms, refining and improving on the aesthetics, durability, user experience, and price/value, (ii) the design and engineering collaboration that BOA engages in with its brand partners for project and application-specific needs, and (iii) BOA’s advanced research through its PFL, which is transforming markets through innovative performance fit solutions that are scientifically tested and validated.</w:t>
      </w:r>
    </w:p>
    <w:p>
      <w:pPr>
        <w:pStyle w:val="TextBody"/>
        <w:bidi w:val="0"/>
        <w:spacing w:lineRule="auto" w:line="288" w:before="180" w:after="283"/>
        <w:jc w:val="both"/>
        <w:rPr/>
      </w:pPr>
      <w:r>
        <w:rPr>
          <w:rFonts w:ascii="Arial;sans-serif" w:hAnsi="Arial;sans-serif"/>
          <w:b/>
          <w:color w:val="000000"/>
          <w:sz w:val="20"/>
        </w:rPr>
        <w:t xml:space="preserve">Deep Collaborative Partnerships – </w:t>
      </w:r>
      <w:r>
        <w:rPr>
          <w:rFonts w:ascii="Arial;sans-serif" w:hAnsi="Arial;sans-serif"/>
          <w:b w:val="false"/>
          <w:color w:val="000000"/>
          <w:sz w:val="20"/>
        </w:rPr>
        <w:t>BOA has deep partnerships with the premier brands in every industry they compete within. They collaborate throughout the entire product lifecycle process, including product strategy, design and development, factory operational/service support, retail education, consumer warranty support, and marketing/demand creation. BOA has a high partner retention rate due to the depth and value of the relationships.</w:t>
      </w:r>
    </w:p>
    <w:p>
      <w:pPr>
        <w:pStyle w:val="TextBody"/>
        <w:bidi w:val="0"/>
        <w:spacing w:lineRule="auto" w:line="288" w:before="180" w:after="283"/>
        <w:jc w:val="both"/>
        <w:rPr/>
      </w:pPr>
      <w:r>
        <w:rPr>
          <w:rFonts w:ascii="Arial;sans-serif" w:hAnsi="Arial;sans-serif"/>
          <w:b/>
          <w:color w:val="000000"/>
          <w:sz w:val="20"/>
        </w:rPr>
        <w:t>Premium Brand Position -</w:t>
      </w:r>
      <w:r>
        <w:rPr>
          <w:color w:val="000000"/>
        </w:rPr>
        <w:t xml:space="preserve"> </w:t>
      </w:r>
      <w:r>
        <w:rPr>
          <w:rFonts w:ascii="Arial;sans-serif" w:hAnsi="Arial;sans-serif"/>
          <w:b w:val="false"/>
          <w:color w:val="000000"/>
          <w:sz w:val="20"/>
        </w:rPr>
        <w:t xml:space="preserve">BOA is focused on continuing to build awareness around its aspirational, global brand through content leadership, athlete endorsements, paid media, brand partner affiliations, retail engagement/ education and other business. BOA primarily increases awareness through direct-to-consumer marketing and co-marketing with its established brand partner relationships. BOA leverages athlete endorsements to further establish its positioning as a performance fit leader as well as drive cross-segment brand awareness. The company's tag line and positioning “Dialed in Precision Fit" showcases athletes performing at their peak both physically and mentally. BOA also relies on its trusted brand partners to increase BOA brand awareness. The company focuses its efforts on collaborating with brand partners who are innovative market leaders that meet BOA’s brand standards and align with BOA’s positioning as a high-performance, premium brand. </w:t>
      </w:r>
    </w:p>
    <w:p>
      <w:pPr>
        <w:pStyle w:val="TextBody"/>
        <w:bidi w:val="0"/>
        <w:spacing w:lineRule="auto" w:line="288" w:before="180" w:after="283"/>
        <w:jc w:val="both"/>
        <w:rPr/>
      </w:pPr>
      <w:r>
        <w:rPr>
          <w:rFonts w:ascii="Arial;sans-serif" w:hAnsi="Arial;sans-serif"/>
          <w:b/>
          <w:color w:val="000000"/>
          <w:sz w:val="20"/>
        </w:rPr>
        <w:t xml:space="preserve">Technology Leader with Robust Patent Portfolio – </w:t>
      </w:r>
      <w:r>
        <w:rPr>
          <w:rFonts w:ascii="Arial;sans-serif" w:hAnsi="Arial;sans-serif"/>
          <w:b w:val="false"/>
          <w:color w:val="000000"/>
          <w:sz w:val="20"/>
        </w:rPr>
        <w:t xml:space="preserve">BOA is a leader in performance fit innovation and has built a diverse global portfolio of issued and pending utility and design patents. Throughout BOA’s history, it has continually innovated on dial attributes including quick release, durability, manufacturing ease, and micro adjustability, in addition to integrated lace and lace guide designs and configurations critical to imparting precision fit and reduced friction. BOA’s engineering and technical expertise enables the development and production of performance fit solutions, allowing their brand partners to offer performance enhancing technology and product differentiation.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BOA’s competition in the premium market can be segmented into three primary categories: (i) traditional laces (ii) non-mechanical lace alternatives (bungies, buckles, plastic lace locks, Velcro, and webbing) and (iii) competitive dial based systems. BOA estimates their share is less than 5% of the total addressable market and greater than 90% of the premium performance dial based fit system market.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BOA’s approach to new product development is a multi-stage, cross-functional process. For each new product introduction, BOA works closely with brand partners to identify or develop the best suited BOA solution, its optimal placement on the shoe (or other application), color and design specifications, and cost targets. On existing products, BOA is committed to continuous innovation, including key improvements such as lower installation costs for brand partner factories, thinner and sleeker product profiles for improved aesthetics, in field warranty rate reduction to approximately 0.5%, improved user experience, and the broadening of the platform suite to address key opportunities in alpine skiing, outdoor and helmets. </w:t>
      </w:r>
    </w:p>
    <w:p>
      <w:pPr>
        <w:pStyle w:val="TextBody"/>
        <w:bidi w:val="0"/>
        <w:spacing w:lineRule="auto" w:line="288" w:before="180" w:after="283"/>
        <w:jc w:val="both"/>
        <w:rPr/>
      </w:pPr>
      <w:r>
        <w:rPr>
          <w:rFonts w:ascii="Arial;sans-serif" w:hAnsi="Arial;sans-serif"/>
          <w:b w:val="false"/>
          <w:color w:val="000000"/>
          <w:sz w:val="20"/>
          <w:shd w:fill="FFFFFF" w:val="clear"/>
        </w:rPr>
        <w:t>A</w:t>
      </w:r>
      <w:r>
        <w:rPr>
          <w:rFonts w:ascii="Arial;sans-serif" w:hAnsi="Arial;sans-serif"/>
          <w:b w:val="false"/>
          <w:color w:val="000000"/>
          <w:sz w:val="20"/>
        </w:rPr>
        <w:t>s part of BOA’s innovation strategy around improving fit, the company has invested in a state-of-the-art PFL to quantitatively measure the impact of the BOA system on end products. The PFL is testing a significant number of products to evaluate Stability and Control, Power Transfer and Energy Efficiency. By addressing these global performance attributes rather than segment-by-segment specific needs, PFL findings will be relevant and applicable across BOA’s product lines. The results of these studies help further validate BOA’s value proposition, strengthening the company’s position as a fit and performance leader. Moreover, the PFL serves as a platform to test and refine new product offerings ahead of launch.</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Suppliers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BOA maintains a longstanding deep relationship with a sole supplier for plastic injected parts (dial units and lace guides), representing approximately 70% of total purchases. The vendor is based in China with multiple facilities and established a new facility in Vietnam, diversifying its geographical footprint in 2024. Furthermore, the vendor has supplied the company since 2001 and has continuously invested in its tools and infrastructure to maintain quality standards and keep up with demand. BOA owns all its injection molds. Lastly, the vendor is also a minority shareholder in BOA and is committed to supporting its growth. The remainder of BOA’s purchases are for steel and steel coated lace, textile laces and guides, monofilament lace and webbing, which are sourced from China, South Korea, Europe, Thailand, and the Philippines. Management believes its manufacturing partners have sufficient capacity to accommodate future growth.</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Intellectual Property</w:t>
      </w:r>
    </w:p>
    <w:p>
      <w:pPr>
        <w:pStyle w:val="TextBody"/>
        <w:bidi w:val="0"/>
        <w:spacing w:lineRule="auto" w:line="288" w:before="120" w:after="283"/>
        <w:jc w:val="both"/>
        <w:rPr/>
      </w:pPr>
      <w:r>
        <w:rPr>
          <w:rFonts w:ascii="Arial;sans-serif" w:hAnsi="Arial;sans-serif"/>
          <w:b w:val="false"/>
          <w:color w:val="000000"/>
          <w:sz w:val="20"/>
        </w:rPr>
        <w:t xml:space="preserve">BOA has built a diverse global patent portfolio of 335 issued and pending utility patents and 173 issued and pending designs. The company currently has </w:t>
      </w:r>
      <w:r>
        <w:rPr>
          <w:rFonts w:ascii="Arial;sans-serif" w:hAnsi="Arial;sans-serif"/>
          <w:b w:val="false"/>
          <w:color w:val="000000"/>
          <w:sz w:val="24"/>
        </w:rPr>
        <w:t>49</w:t>
      </w:r>
      <w:r>
        <w:rPr>
          <w:color w:val="000000"/>
        </w:rPr>
        <w:t xml:space="preserve"> </w:t>
      </w:r>
      <w:r>
        <w:rPr>
          <w:rFonts w:ascii="Arial;sans-serif" w:hAnsi="Arial;sans-serif"/>
          <w:b w:val="false"/>
          <w:color w:val="000000"/>
          <w:sz w:val="20"/>
        </w:rPr>
        <w:t xml:space="preserve">active patent “families” as well as </w:t>
      </w:r>
      <w:r>
        <w:rPr>
          <w:rFonts w:ascii="Arial;sans-serif" w:hAnsi="Arial;sans-serif"/>
          <w:b w:val="false"/>
          <w:color w:val="000000"/>
          <w:sz w:val="24"/>
        </w:rPr>
        <w:t>35</w:t>
      </w:r>
      <w:r>
        <w:rPr>
          <w:color w:val="000000"/>
        </w:rPr>
        <w:t xml:space="preserve"> </w:t>
      </w:r>
      <w:r>
        <w:rPr>
          <w:rFonts w:ascii="Arial;sans-serif" w:hAnsi="Arial;sans-serif"/>
          <w:b w:val="false"/>
          <w:color w:val="000000"/>
          <w:sz w:val="20"/>
        </w:rPr>
        <w:t xml:space="preserve">active design “families” with intellectual property covering its core technology (dials, guides, laces), as well as strategic configurations and component installation methods. BOA maintains </w:t>
      </w:r>
      <w:r>
        <w:rPr>
          <w:rFonts w:ascii="Arial;sans-serif" w:hAnsi="Arial;sans-serif"/>
          <w:b w:val="false"/>
          <w:color w:val="000000"/>
          <w:sz w:val="24"/>
        </w:rPr>
        <w:t>196</w:t>
      </w:r>
      <w:r>
        <w:rPr>
          <w:color w:val="000000"/>
        </w:rPr>
        <w:t xml:space="preserve"> </w:t>
      </w:r>
      <w:r>
        <w:rPr>
          <w:rFonts w:ascii="Arial;sans-serif" w:hAnsi="Arial;sans-serif"/>
          <w:b w:val="false"/>
          <w:color w:val="000000"/>
          <w:sz w:val="20"/>
        </w:rPr>
        <w:t xml:space="preserve">registered and pending trademarks protecting </w:t>
      </w:r>
      <w:r>
        <w:rPr>
          <w:rFonts w:ascii="Arial;sans-serif" w:hAnsi="Arial;sans-serif"/>
          <w:b w:val="false"/>
          <w:color w:val="000000"/>
          <w:sz w:val="24"/>
        </w:rPr>
        <w:t>15</w:t>
      </w:r>
      <w:r>
        <w:rPr>
          <w:color w:val="000000"/>
        </w:rPr>
        <w:t xml:space="preserve"> </w:t>
      </w:r>
      <w:r>
        <w:rPr>
          <w:rFonts w:ascii="Arial;sans-serif" w:hAnsi="Arial;sans-serif"/>
          <w:b w:val="false"/>
          <w:color w:val="000000"/>
          <w:sz w:val="20"/>
        </w:rPr>
        <w:t>unique marks, with core marks filed in 40+ countries.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Due to the diversity of industries and geographies BOA participates in, there is no significant seasonality to the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Sustainability and Responsible Business Practices</w:t>
      </w:r>
    </w:p>
    <w:p>
      <w:pPr>
        <w:pStyle w:val="TextBody"/>
        <w:bidi w:val="0"/>
        <w:spacing w:lineRule="auto" w:line="288" w:before="120" w:after="283"/>
        <w:jc w:val="both"/>
        <w:rPr/>
      </w:pPr>
      <w:r>
        <w:rPr>
          <w:rFonts w:ascii="Arial;sans-serif" w:hAnsi="Arial;sans-serif"/>
          <w:b w:val="false"/>
          <w:color w:val="000000"/>
          <w:sz w:val="20"/>
        </w:rPr>
        <w:t>As a forward-looking company, BOA sustainability efforts include minimizing impact on the environment, elevating the experience of staff throughout our supply chain, and working with community partners to diversify and promote access throughout Outdoor and STEM industries. BOA is working to reduce the use of virgin fossil fuel-based plastics, reduce overall manufacturing waste, and materially decrease our use of fossil-based energy. The company has made tangible progress in all three areas. BOA has formed partnerships with organizations across each region of operation focused on providing more access and opportunities to under-represented populations and protecting the environment. Through these programs BOA is working to create purposeful connections to their employees, partners, and consumers – bringing their mission, values, and products to the hearts and minds of their audience.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Human Capital</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BOA is an inclusive global team that trusts and cares for each other, their partners, the community, and the environment. Since their launch in Steamboat Springs, Colorado in 2001, BOA has maintained a strong and healthy company culture that is rooted in a passion for pioneering, and for making the best gear even better. As the team has expanded over the last 25 years, BOA has placed an emphasis on attracting, developing, and retaining a diverse and talented team. BOA employees are located in five countries and the United States. As of December 31, 2025, BOA had 277 full-time employees and 6 part-time employees. 142 employees are located in the United States and 141 work outside of the United States in Austria, China, Japan, South Korea, and Vietnam.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BOA is focused on providing greater access to careers and the outdoors, and providing BOA talent with opportunities to grow within the organization - providing career exposure programs, learning and development opportunities, targeted individual career plans, and building leadership development across all levels of the organization. BOA maintains a high employee retention rate and the leadership team strives to role model our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PrimaLoft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Headquartered in Latham, New York, PrimaLoft is a leading provider of branded, high-performance synthetic insulation used primarily in consumer outerwear and accessories. PrimaLoft was developed in 1983 as a division of Albany International Corporation (NYSE: AIN) in response to a U.S. Army request to develop a synthetic insulation for soldiers that replicated the warmth and weight characteristics of traditional goose down, but also remained warm when wet. Today, PrimaLoft’s products span a wide variety of highly engineered insulation fibers and gels that are used as ingredients for premium priced outdoor apparel (e.g., jackets, vests, pants, gloves, footwear, and hats) and home furnishings (e.g., comforters and pillows). PrimaLoft is differentiated based on its (i) leadership in synthetic insulation technology and sustainability, (ii) respected brand, (iii) robust product development and service model critical to brand partners, and (iv) respected legacy and high esteem with product design teams of aspirational brands. Most brand partners do not possess the same depth of internal expertise in synthetic insulation design and view PrimaLoft as an innovation and sustainability partner that enhances the parent brand in a manner consistent with increasingly eco-focused brand missions.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History of PrimaLoft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PrimaLoft was originally founded in 1983 after being approached by the U.S. Army Research Laboratory in Natick, Massachusetts. The U.S. Army was primarily interested in a synthetic insulation that would be comparable to goose down in weight, compressibility, and warmth, while also retaining heat in the presence of moisture. PrimaLoft was awarded its first patent for a “synthetic down” originally branded as PrimaLoft ONE in 1986. After initial success with military applications including sleeping bags and clothing systems, PrimaLoft entered the commercial market through partnerships with name brands like L.L. Bean, Land’s End, and Ralph Lauren. PrimaLoft quickly established its credibility for performance and quality and today continues to drive innovation within the synthetic insulation industry. A summary of key milestones in the company’s history is below: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1984: Patented the first synthetic microfiber for apparel</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 xml:space="preserve">1989: L.L. Bean and Ralph Lauren become the first brand partners </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 xml:space="preserve">1990: PrimaLoft was used in the layering system for the Mount Everest Peace Climb </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1997: Developed first design using post-consumer recycled material</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2012: Separation from Albany International into a standalone company through a management buyout</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2017: Release of i) ThermoPlume, the most advanced, 100% recycled, down-like synthetic insulation alternative and ii) Aerogel technology, a lightweight, compression-resistant insulation composed of more than 95% air</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2018: Developed PrimaLoft® Bio™ technology, the first-ever biodegradable, 100% recycled synthetic insulation and fabric cross-product capabilities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2019: Breakthrough development of P.U.R.E. manufacturing technology, a proprietary process of synthetic insulation that reduces carbon emissions by up to 50% or greater</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2020: Launch of Patagonia Nano-Puff with PrimaLoft P.U.R.E.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2021: Launch of Aerogel Footwear with Canada Goose</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2024: 70% of PrimaLoft® insulation products are made using 100% recycled content</w:t>
      </w:r>
    </w:p>
    <w:p>
      <w:pPr>
        <w:pStyle w:val="TextBody"/>
        <w:bidi w:val="0"/>
        <w:spacing w:lineRule="auto" w:line="288" w:before="80" w:after="283"/>
        <w:ind w:left="0" w:right="0" w:hanging="360"/>
        <w:jc w:val="left"/>
        <w:rPr/>
      </w:pPr>
      <w:r>
        <w:rPr>
          <w:color w:val="000000"/>
        </w:rPr>
        <w:t>•</w:t>
      </w:r>
      <w:r>
        <w:rPr>
          <w:rFonts w:ascii="Arial;sans-serif" w:hAnsi="Arial;sans-serif"/>
          <w:b w:val="false"/>
          <w:color w:val="000000"/>
          <w:sz w:val="20"/>
        </w:rPr>
        <w:t xml:space="preserve">2025: Converted I-1001 Gold to P.U.R.E reduced emissions manufacturing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acquired a majority interest in PrimaLoft on July 12, 2022.</w:t>
      </w:r>
    </w:p>
    <w:p>
      <w:pPr>
        <w:pStyle w:val="TextBody"/>
        <w:bidi w:val="0"/>
        <w:spacing w:lineRule="auto" w:line="288" w:before="240" w:after="283"/>
        <w:jc w:val="left"/>
        <w:rPr/>
      </w:pPr>
      <w:r>
        <w:rPr>
          <w:rFonts w:ascii="Arial;sans-serif" w:hAnsi="Arial;sans-serif"/>
          <w:b/>
          <w:i/>
          <w:color w:val="000000"/>
          <w:sz w:val="21"/>
        </w:rPr>
        <w:t>I</w:t>
      </w:r>
      <w:r>
        <w:rPr>
          <w:rFonts w:ascii="Arial;sans-serif" w:hAnsi="Arial;sans-serif"/>
          <w:b/>
          <w:i/>
          <w:color w:val="000000"/>
          <w:sz w:val="20"/>
        </w:rPr>
        <w:t>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PrimaLoft participates in the global insulation market for both apparel and bedding, which is estimated to encompass over $30 billion of annual spending. Within the overall insulation market, PrimaLoft competes primarily in premium positioned products where consumers value performance and sustainability.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Products, Customers and Distribution Channels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PrimaLoft’s core product offering includes a wide range of insulation product types that are optimized to keep end consumers at a comfortable temperature, regardless of weather conditions. At the top end of the product range, PrimaLoft’s technically focused brand partners design each new outwear garment with specific performance goals or use cases in mind and aim to deliver the highest levels of warmth while also reducing product weight and maximizing product flexibility. PrimaLoft also delivers a broader menu of solutions to its brand partners that can address any product designer’s aesthetic vision (e.g., quilted/non-quilted, high/low loft, loose fill/batted rolls, etc.). PrimaLoft has been an early advocate of apparel sustainability, becoming the exclusive partner to some of the largest and most pioneering sustainability focused outdoor brands when they first undertook meaningful sustainability initiatives. Additionally, under its “Relentlessly Responsible” mantra, PrimaLoft has innovated low-emission manufacturing processes, incorporated high levels of recycled content into its product lineup, and continues to push the boundaries of apparel circularity via biodegradation and carbon-negative technologies. The ability of PrimaLoft’s product suite to address any and all brand partner goals, whether performance, aesthetic, or sustainability related, is a critical reason for PrimaLoft’s consistent market leadership in synthetic insulation over the past four decades.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Customers and Distribution Channels</w:t>
      </w:r>
    </w:p>
    <w:p>
      <w:pPr>
        <w:pStyle w:val="TextBody"/>
        <w:bidi w:val="0"/>
        <w:spacing w:lineRule="auto" w:line="288" w:before="120" w:after="283"/>
        <w:jc w:val="both"/>
        <w:rPr/>
      </w:pPr>
      <w:r>
        <w:rPr>
          <w:rFonts w:ascii="Arial;sans-serif" w:hAnsi="Arial;sans-serif"/>
          <w:b w:val="false"/>
          <w:color w:val="000000"/>
          <w:sz w:val="20"/>
        </w:rPr>
        <w:t>PrimaLoft primarily works directly with over 900 active brand partners across North America, Europe, and Asia. PrimaLoft maintains highly collaborative relationships with its brand partners, visiting most several times per year to introduce new innovations, generate new product ideas, and assist with integrating the latest PrimaLoft technologies into their outerwear lineups. The process of designing a jacket usually begins about 18 months before the jacket is intended to be sold at retail. PrimaLoft sales team members and engineers engage early in the process, assisting with garment design, construction, and analysis of key insulation performance attributes. After several rounds of sampling and iterating with PrimaLoft, the brand partner will finalize product bill of materials and quantities for its lineup. Outerwear featuring PrimaLoft is primarily sold through brick-and-mortar sporting goods retailers, specialty sport retailers, online retailers, or brand partners</w:t>
      </w:r>
      <w:r>
        <w:rPr>
          <w:color w:val="000000"/>
        </w:rPr>
        <w:t xml:space="preserve">’ </w:t>
      </w:r>
      <w:r>
        <w:rPr>
          <w:rFonts w:ascii="sans-serif" w:hAnsi="sans-serif"/>
          <w:b w:val="false"/>
          <w:color w:val="000000"/>
          <w:sz w:val="22"/>
        </w:rPr>
        <w:t xml:space="preserve">owned retail and online channels. </w:t>
      </w:r>
    </w:p>
    <w:p>
      <w:pPr>
        <w:pStyle w:val="TextBody"/>
        <w:bidi w:val="0"/>
        <w:spacing w:lineRule="auto" w:line="288" w:before="180" w:after="283"/>
        <w:jc w:val="both"/>
        <w:rPr/>
      </w:pPr>
      <w:r>
        <w:rPr>
          <w:rFonts w:ascii="Arial;sans-serif" w:hAnsi="Arial;sans-serif"/>
          <w:b w:val="false"/>
          <w:color w:val="000000"/>
          <w:sz w:val="20"/>
        </w:rPr>
        <w:t>PrimaLoft had approxi</w:t>
      </w:r>
      <w:r>
        <w:rPr>
          <w:rFonts w:ascii="Arial;sans-serif" w:hAnsi="Arial;sans-serif"/>
          <w:b w:val="false"/>
          <w:color w:val="000000"/>
          <w:sz w:val="20"/>
          <w:shd w:fill="FFFFFF" w:val="clear"/>
        </w:rPr>
        <w:t xml:space="preserve">mately $14.7 million and $13.8 million, respectively, </w:t>
      </w:r>
      <w:r>
        <w:rPr>
          <w:rFonts w:ascii="Arial;sans-serif" w:hAnsi="Arial;sans-serif"/>
          <w:b w:val="false"/>
          <w:color w:val="000000"/>
          <w:sz w:val="20"/>
        </w:rPr>
        <w:t>in firm backlog orders at December 31, 2025 and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Strategies and Competitive Conditions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Business Strategies</w:t>
      </w:r>
    </w:p>
    <w:p>
      <w:pPr>
        <w:pStyle w:val="TextBody"/>
        <w:bidi w:val="0"/>
        <w:spacing w:lineRule="auto" w:line="288" w:before="120" w:after="283"/>
        <w:jc w:val="both"/>
        <w:rPr/>
      </w:pPr>
      <w:r>
        <w:rPr>
          <w:rFonts w:ascii="Arial;sans-serif" w:hAnsi="Arial;sans-serif"/>
          <w:b/>
          <w:color w:val="000000"/>
          <w:sz w:val="20"/>
        </w:rPr>
        <w:t>Accelerate the Market Trends Away from Down Insulation -</w:t>
      </w:r>
      <w:r>
        <w:rPr>
          <w:color w:val="000000"/>
        </w:rPr>
        <w:t xml:space="preserve"> </w:t>
      </w:r>
      <w:r>
        <w:rPr>
          <w:rFonts w:ascii="Arial;sans-serif" w:hAnsi="Arial;sans-serif"/>
          <w:b w:val="false"/>
          <w:color w:val="000000"/>
          <w:sz w:val="20"/>
        </w:rPr>
        <w:t>With the introduction of ThermoPlume and other down-like synthetic insulation solutions, PrimaLoft is well positioned to continue gaining market share as customers shift away from down insulation. This change is being driven by the following factors: (i) consumer pushback on traditional down products due to the widespread and well-publicized inhumane down harvesting practices; (ii) narrowing performance gap between synthetic and down; (iii) volatility and notably higher pricing for down insulation tied to commodity pricing of goose and duck meat; and (iv) limited design flexibility and loss of efficacy in wet conditions for down insulation makes synthetic more attractive to product designers.</w:t>
      </w:r>
    </w:p>
    <w:p>
      <w:pPr>
        <w:pStyle w:val="TextBody"/>
        <w:bidi w:val="0"/>
        <w:spacing w:lineRule="auto" w:line="288" w:before="180" w:after="283"/>
        <w:jc w:val="both"/>
        <w:rPr/>
      </w:pPr>
      <w:r>
        <w:rPr>
          <w:rFonts w:ascii="Arial;sans-serif" w:hAnsi="Arial;sans-serif"/>
          <w:b/>
          <w:color w:val="000000"/>
          <w:sz w:val="20"/>
        </w:rPr>
        <w:t>Continued Development of Cutting Edge Insulation Technology -</w:t>
      </w:r>
      <w:r>
        <w:rPr>
          <w:color w:val="000000"/>
        </w:rPr>
        <w:t xml:space="preserve"> </w:t>
      </w:r>
      <w:r>
        <w:rPr>
          <w:rFonts w:ascii="Arial;sans-serif" w:hAnsi="Arial;sans-serif"/>
          <w:b w:val="false"/>
          <w:color w:val="000000"/>
          <w:sz w:val="20"/>
        </w:rPr>
        <w:t xml:space="preserve">Over the past four decades, PrimaLoft has continuously improved its product offering to retain a leading position with regards to synthetic insulation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technology. . With strong continued investment in new product development, we expect PrimaLoft innovations to push the boundaries of material science and expand the value provided to end consumers.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Competitive Strengths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PrimaLoft’s competitive advantages include: (i) four decades of brand equity built on technology leadership, that allows brand partners to command premium pricing and tell their sustainability story; (ii) deep insulation-specific material science expertise ranging from polymer innovation to manufacturing innovation to design integration; (iii) protected intellectual property and a proprietary supply chain; (iv) trusted long standing brand partner relationships for a critical but relatively small cost component of the overall product; and (v) scale (demand aggregation) to gain efficiencies at both the fiber and toll manufacturing stages of the supply chain.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PrimaLoft’s competition falls into two categories: (i) brand partner house insulation brands; and (ii) other third-party insulation manufacturers that service more than one outerwear brand. PrimaLoft is believed to be the largest third-party branded synthetic insulation provider to the apparel industry.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PrimaLoft adheres to a “Stage Gate” approach for developing new products, beginning with market needs and potential product solutions. PrimaLoft gathers market intelligence from published market research, industry contacts, R&amp;D alliances and its internal product strategy and technical team to identify and develop innovative ideas to address market needs. Once defined, the team progresses through a series of “Stage Gates” that begin with innovation readiness and ultimately end with commercialized PrimaLoft branded products. In between, the “Stage Gates” address product testing and quality validation against internal and external requirements, supply chain sourcing and manufacturing, pricing constructs, marketing assets and selling strategy to address global market needs.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Suppliers </w:t>
      </w:r>
    </w:p>
    <w:p>
      <w:pPr>
        <w:pStyle w:val="TextBody"/>
        <w:bidi w:val="0"/>
        <w:spacing w:lineRule="auto" w:line="288" w:before="120" w:after="283"/>
        <w:jc w:val="both"/>
        <w:rPr/>
      </w:pPr>
      <w:r>
        <w:rPr>
          <w:rFonts w:ascii="Arial;sans-serif" w:hAnsi="Arial;sans-serif"/>
          <w:b w:val="false"/>
          <w:color w:val="000000"/>
          <w:sz w:val="20"/>
        </w:rPr>
        <w:t xml:space="preserve">PrimaLoft leverages an asset-lite production model, relying on a global network of third-party chemical suppliers, extruders, and fiber mills strategically located near brand partner production facilities throughout Asia, Europe, and North America. PrimaLoft’s vertically integrated supply chain is a competitive advantage, allowing for customized solutions to brand partners. Beginning at the polymer level, PrimaLoft possesses expertise in optimizing enhanced performance polymers. At the fiber extrusion level, PrimaLoft has the ability to innovate and create novel fibers, which are then used as inputs to the textile process. PrimaLoft provides fiber requirements and formulations to its network of exclusive manufacturing partners, who then directly receive raw materials ordered by PrimaLoft. PrimaLoft oversees the manufacturing partner insulation production process, often with visits to facilities and continuous testing to ensure all insulation produced meets the performance and sustainability standards. Once </w:t>
      </w:r>
      <w:r>
        <w:rPr>
          <w:rFonts w:ascii="Arial;sans-serif" w:hAnsi="Arial;sans-serif"/>
          <w:b w:val="false"/>
          <w:color w:val="000000"/>
          <w:sz w:val="20"/>
          <w:shd w:fill="FFFFFF" w:val="clear"/>
        </w:rPr>
        <w:t>produced, the manufacturing partners ship insulation to brand partner manufacturing facilities, often located near the toll manufacturer in Europ</w:t>
      </w:r>
      <w:r>
        <w:rPr>
          <w:rFonts w:ascii="Arial;sans-serif" w:hAnsi="Arial;sans-serif"/>
          <w:b w:val="false"/>
          <w:color w:val="000000"/>
          <w:sz w:val="20"/>
        </w:rPr>
        <w:t>e or Asia. The brand partner manufacturer then produces the final product before it is shipped back to the brand partner, to a retailer, or direct to a consumer.</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Intellectual Property</w:t>
      </w:r>
    </w:p>
    <w:p>
      <w:pPr>
        <w:pStyle w:val="TextBody"/>
        <w:bidi w:val="0"/>
        <w:spacing w:lineRule="auto" w:line="288" w:before="120" w:after="283"/>
        <w:jc w:val="both"/>
        <w:rPr/>
      </w:pPr>
      <w:r>
        <w:rPr>
          <w:rFonts w:ascii="Arial;sans-serif" w:hAnsi="Arial;sans-serif"/>
          <w:b w:val="false"/>
          <w:color w:val="000000"/>
          <w:sz w:val="20"/>
        </w:rPr>
        <w:t>In addition to its brand, customer relationships and scale, PrimaLoft also makes use of product patents and process trade secrets as additional barriers to entry and competitive moats. With a leading position in synthetic insulation, PrimaLoft has built a patent portfolio of more</w:t>
      </w:r>
      <w:r>
        <w:rPr>
          <w:color w:val="000000"/>
          <w:shd w:fill="FFFFFF" w:val="clear"/>
        </w:rPr>
        <w:t xml:space="preserve"> </w:t>
      </w:r>
      <w:r>
        <w:rPr>
          <w:rFonts w:ascii="Arial;sans-serif" w:hAnsi="Arial;sans-serif"/>
          <w:b w:val="false"/>
          <w:color w:val="000000"/>
          <w:sz w:val="20"/>
          <w:shd w:fill="FFFFFF" w:val="clear"/>
        </w:rPr>
        <w:t>than 12 issued and pending patents in the United States and more than 70 pat</w:t>
      </w:r>
      <w:r>
        <w:rPr>
          <w:rFonts w:ascii="Arial;sans-serif" w:hAnsi="Arial;sans-serif"/>
          <w:b w:val="false"/>
          <w:color w:val="000000"/>
          <w:sz w:val="20"/>
        </w:rPr>
        <w:t xml:space="preserve">ents issued internationally. In addition, PrimaLoft uses a variety of trade secrets typically covering specific insulation manufacturing processes. Lastly, PrimaLoft has more than 50 registered trademark applications and pending trademarks globally.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Due to the nature of insulated outerwear and the concentration of spending in the northern hemisphere, PrimaLoft typically sees approximately 65% of sales in the first half of the calendar year, which is when brand partners order components to be used in cold weather apparel that will be sold to end consumers in the subsequent fall/winter.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Human Capital</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PrimaLoft had 76 employees on December 31, 2025, 72 full-time employees and 4 part-time employees, with 35 employees located within the United States, 30 in China and the remainder in Europe and Vietnam. PrimaLoft's labor force is non-union. Management believes that PrimaLoft has a good relationship with its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The Honey Pot Co.</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pPr>
      <w:r>
        <w:rPr>
          <w:rFonts w:ascii="Arial;sans-serif" w:hAnsi="Arial;sans-serif"/>
          <w:b w:val="false"/>
          <w:color w:val="000000"/>
          <w:sz w:val="20"/>
          <w:shd w:fill="FFFFFF" w:val="clear"/>
        </w:rPr>
        <w:t>The Honey Pot Co. is The Holistic Wellness Partner for Humans with Vaginas, with products powered by plant-derived ingredients and clinically tested formulas. The Hone</w:t>
      </w:r>
      <w:r>
        <w:rPr>
          <w:rFonts w:ascii="Arial;sans-serif" w:hAnsi="Arial;sans-serif"/>
          <w:b w:val="false"/>
          <w:color w:val="000000"/>
          <w:sz w:val="20"/>
        </w:rPr>
        <w:t xml:space="preserve">y Pot Co. is rooted in the belief that all products should be made with healthy and efficacious ingredients that are kind to and safe for skin. The company offers an extensive range of holistic wellness products across the menstrual, personal care, and consumer health and sexual wellness categories. The Honey Pot Co.’s mission is to educate, support, and provide consumers around the world with tools and resources that promote menstrual health and feminine wellness.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History of The Honey Pot Co.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Honey Pot Co. was founded in 2012 and is headquartered in Atlanta, Georgia. The Honey Pot Co.’s Co-Founder and CEO, Beatrice Dixon, faced persistent vaginal health issues and struggled to find safe but effective solutions, motivating her to create home remedies in her kitchen. Over the next few years, Beatrice and her Co-Founder, Simon Gray, bootstrapped their way into a small business by selling her homemade solutions at local trade shows, and in 2017, they were noticed by the feminine care buyer at a leading mass retailer who put the brand on the map. By 2020, The Honey Pot Co. had secured full distribution with that mass retailer across multiple product categories and had begun selectively entering other retailers and channels, including grocery and drug. Since then, the business has built scale and a passionate customer base by “normalizing the normal” through its authentic brand voice and educational content. Today, The Honey Pot Co.’s products can be found in more than 33,000 retail stores across the U.S. and Canada, as well as online.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purchased a majority interest in The Honey Pot Co. on January 31, 2024.</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Honey Pot Co. participates in the large and growing feminine care market, which is estimated to be approximately $9 billion in the U.S. at retail and has grown at a mid-single digits compound annual growth rate over the past 5 years. In 2024, The Honey Pot Co. launched its hydrating body washes, further expanding its addressable market by entering the multi-billion-dollar body care segment. The company’s wide array of wellness products appeal to women of all ages, and its markets enjoy little cyclicality given the highly consumable and non-discretionary nature of menstrual products and other personal care “essentials.” As a result, the markets and consumers The Honey Pot Co. serves are both resilient and broad-based.</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Feminine care has long been a stagnant category rooted in shame, underpinned by a lack of education, and dominated by large, legacy brands. These legacy brands have historically focused on low-cost, low-quality conventional products typically containing rayon, bleached cotton, titanium dioxide, and “harsh” chemicals such as sulfates, parabens, and synthetic fragrances. In recent years, upstart brands providing clean-label products (largely using organic cotton, “free from” harsh chemicals) have gained traction, demonstrating a shift in consumer preferences towards more natural, “better-for-you" products. The industry has also seen an increased emphasis on education and awareness regarding menstrual health, breaking societal taboos and promoting open conversations. Younger Millennial and Gen Z consumers demand more from brands than prior generations did, and we believe legacy brands have struggled to genuinely connect with these younger, socially minded consumers. Across all segments of the feminine care category, “better-for-you” players have been growing at faster rates than the category. The Honey Pot Co., we believe, is well positioned to benefit from the continued adoption of “better-for-you” feminine care products given their large distribution footprint and growing brand awareness.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Products, Customers and Distribution Channels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Products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Honey Pot Co. has an industry-leading portfolio of efficacious, clinically supported products that make consumers feel comfortable and confident in their bodies. The company sells through three primary product categories: Menstrual, Personal Care and Consumer Health &amp; Sexual Wellness.</w:t>
      </w:r>
    </w:p>
    <w:p>
      <w:pPr>
        <w:pStyle w:val="TextBody"/>
        <w:bidi w:val="0"/>
        <w:spacing w:lineRule="auto" w:line="288" w:before="180" w:after="283"/>
        <w:jc w:val="both"/>
        <w:rPr/>
      </w:pPr>
      <w:r>
        <w:rPr>
          <w:rFonts w:ascii="Arial;sans-serif" w:hAnsi="Arial;sans-serif"/>
          <w:b/>
          <w:color w:val="000000"/>
          <w:sz w:val="20"/>
        </w:rPr>
        <w:t xml:space="preserve">Menstrual </w:t>
      </w:r>
      <w:r>
        <w:rPr>
          <w:color w:val="000000"/>
        </w:rPr>
        <w:t xml:space="preserve">– </w:t>
      </w:r>
      <w:r>
        <w:rPr>
          <w:rFonts w:ascii="Arial;sans-serif" w:hAnsi="Arial;sans-serif"/>
          <w:b w:val="false"/>
          <w:color w:val="000000"/>
          <w:sz w:val="20"/>
        </w:rPr>
        <w:t xml:space="preserve">The Honey Pot Co.’s largest product category, menstrual represented </w:t>
      </w:r>
      <w:r>
        <w:rPr>
          <w:rFonts w:ascii="Arial;sans-serif" w:hAnsi="Arial;sans-serif"/>
          <w:b w:val="false"/>
          <w:color w:val="000000"/>
          <w:sz w:val="20"/>
          <w:shd w:fill="FFFFFF" w:val="clear"/>
        </w:rPr>
        <w:t>63%, 5</w:t>
      </w:r>
      <w:r>
        <w:rPr>
          <w:rFonts w:ascii="Arial;sans-serif" w:hAnsi="Arial;sans-serif"/>
          <w:b w:val="false"/>
          <w:color w:val="000000"/>
          <w:sz w:val="20"/>
        </w:rPr>
        <w:t>6% and 49% of gross sales for the years ending December 31, 2025, 2024, and 2023, respectively. Launched in 2017, the company’s menstrual necessities portfolio includes Organic Cotton Standard (“OCS”) menstrual pad covers and liners, BPA-free OCS cotton tampons, and silicone menstrual cups. The Honey Pot Co. is most well-known for its innovative “herbal” pads, which are infused with a proprietary blend of essential oils and plant extracts - such as lavender, mint, and aloe vera - to moisturize, soothe, and provide a gentle, "cooling" sensation that helps users have a more comfortable period experience. The Honey Pot Co. also offers non-herbal pads and liners which also use a super soft OCS certified organic cotton cover and ultra-absorbent pulp core which ensures maximum comfort and minimal leakage.</w:t>
      </w:r>
    </w:p>
    <w:p>
      <w:pPr>
        <w:pStyle w:val="TextBody"/>
        <w:bidi w:val="0"/>
        <w:spacing w:lineRule="auto" w:line="288" w:before="180" w:after="283"/>
        <w:jc w:val="both"/>
        <w:rPr/>
      </w:pPr>
      <w:r>
        <w:rPr>
          <w:rFonts w:ascii="Arial;sans-serif" w:hAnsi="Arial;sans-serif"/>
          <w:b/>
          <w:color w:val="000000"/>
          <w:sz w:val="20"/>
        </w:rPr>
        <w:t>Personal Care</w:t>
      </w:r>
      <w:r>
        <w:rPr>
          <w:color w:val="000000"/>
        </w:rPr>
        <w:t xml:space="preserve"> – </w:t>
      </w:r>
      <w:r>
        <w:rPr>
          <w:rFonts w:ascii="Arial;sans-serif" w:hAnsi="Arial;sans-serif"/>
          <w:b w:val="false"/>
          <w:color w:val="000000"/>
          <w:sz w:val="20"/>
        </w:rPr>
        <w:t>Personal care represen</w:t>
      </w:r>
      <w:r>
        <w:rPr>
          <w:rFonts w:ascii="Arial;sans-serif" w:hAnsi="Arial;sans-serif"/>
          <w:b w:val="false"/>
          <w:color w:val="000000"/>
          <w:sz w:val="20"/>
          <w:shd w:fill="FFFFFF" w:val="clear"/>
        </w:rPr>
        <w:t xml:space="preserve">ted 32%, 36% </w:t>
      </w:r>
      <w:r>
        <w:rPr>
          <w:rFonts w:ascii="Arial;sans-serif" w:hAnsi="Arial;sans-serif"/>
          <w:b w:val="false"/>
          <w:color w:val="000000"/>
          <w:sz w:val="20"/>
        </w:rPr>
        <w:t xml:space="preserve">and 39% of gross sales for the years ending December 31, 2025, </w:t>
      </w:r>
      <w:r>
        <w:rPr>
          <w:rFonts w:ascii="Times New Roman;serif" w:hAnsi="Times New Roman;serif"/>
          <w:b w:val="false"/>
          <w:color w:val="000000"/>
          <w:sz w:val="20"/>
        </w:rPr>
        <w:t>2024</w:t>
      </w:r>
      <w:r>
        <w:rPr>
          <w:rFonts w:ascii="Arial;sans-serif" w:hAnsi="Arial;sans-serif"/>
          <w:b w:val="false"/>
          <w:color w:val="000000"/>
          <w:sz w:val="20"/>
        </w:rPr>
        <w:t xml:space="preserve">, and 2023, respectively. Within this category, The Honey Pot Co. offers an assortment of feminine hygiene products and full-body wellness products. Launched in 2014, the company’s feminine hygiene portfolio includes feminine washes and wipes that are gynecologist-tested, hypoallergenic, kind to and safe for skin. The company’s daily sensitive intimate wash, for example, is formulated with plant-derived ingredients as well as lactic acid (which is naturally occurring in the vaginal environment), to help maintain a balanced pH range of 3.5-4.5, while also boosting moisture and soothing the skin while gently cleansing intimate areas. The company launched its full-body wellness portfolio in 2024 with three herbal-infused body cleansers formulated to match the skin’s natural pH range and provide superior skin hydration. </w:t>
      </w:r>
    </w:p>
    <w:p>
      <w:pPr>
        <w:pStyle w:val="TextBody"/>
        <w:bidi w:val="0"/>
        <w:spacing w:lineRule="auto" w:line="288" w:before="180" w:after="283"/>
        <w:jc w:val="both"/>
        <w:rPr/>
      </w:pPr>
      <w:r>
        <w:rPr>
          <w:rFonts w:ascii="Arial;sans-serif" w:hAnsi="Arial;sans-serif"/>
          <w:b/>
          <w:color w:val="000000"/>
          <w:sz w:val="20"/>
        </w:rPr>
        <w:t>Consumer Health, Sexual Wellness, and Other</w:t>
      </w:r>
      <w:r>
        <w:rPr>
          <w:color w:val="000000"/>
        </w:rPr>
        <w:t xml:space="preserve"> – </w:t>
      </w:r>
      <w:r>
        <w:rPr>
          <w:rFonts w:ascii="Arial;sans-serif" w:hAnsi="Arial;sans-serif"/>
          <w:b w:val="false"/>
          <w:color w:val="000000"/>
          <w:sz w:val="20"/>
        </w:rPr>
        <w:t>Consumer health and sexual wellness represente</w:t>
      </w:r>
      <w:r>
        <w:rPr>
          <w:rFonts w:ascii="Arial;sans-serif" w:hAnsi="Arial;sans-serif"/>
          <w:b w:val="false"/>
          <w:color w:val="000000"/>
          <w:sz w:val="20"/>
          <w:shd w:fill="FFFFFF" w:val="clear"/>
        </w:rPr>
        <w:t>d 5%, 8%</w:t>
      </w:r>
      <w:r>
        <w:rPr>
          <w:color w:val="000000"/>
        </w:rPr>
        <w:t xml:space="preserve"> </w:t>
      </w:r>
      <w:r>
        <w:rPr>
          <w:rFonts w:ascii="Arial;sans-serif" w:hAnsi="Arial;sans-serif"/>
          <w:b w:val="false"/>
          <w:color w:val="000000"/>
          <w:sz w:val="20"/>
        </w:rPr>
        <w:t xml:space="preserve">and 12% of gross sales for the years ending December 31, 2025, 2024, and 2023, respectively. Launched in 2020 and 2021, respectively, The Honey Pot Co.’s consumer health and sexual wellness portfolio includes anti-itch and soothing creams, suppositories, lubricants, and other intimacy products.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Consumers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Honey Pot Co.’s differentiated approach to marketing, consumer education, and community-building efforts have earned the brand a loyal, passionate consumer base. Although the company’s products speak to all women, The Honey Pot Co.’s consumers are predominantly younger, ethnically diverse, highly educated, and higher income. The company’s consumers derive joy from caring for their skin and are curious about integrating more natural products into their daily regimen. They are typically well informed about trends in personal care and holistic wellness, are engaged and vocal, and seek brands that cultivate a deep sense of trust and purpose.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Distribution Channels</w:t>
      </w:r>
    </w:p>
    <w:p>
      <w:pPr>
        <w:pStyle w:val="TextBody"/>
        <w:bidi w:val="0"/>
        <w:spacing w:lineRule="auto" w:line="288" w:before="120" w:after="283"/>
        <w:jc w:val="both"/>
        <w:rPr/>
      </w:pPr>
      <w:r>
        <w:rPr>
          <w:rFonts w:ascii="Arial;sans-serif" w:hAnsi="Arial;sans-serif"/>
          <w:b w:val="false"/>
          <w:color w:val="000000"/>
          <w:sz w:val="20"/>
        </w:rPr>
        <w:t xml:space="preserve">As a digitally native brand with a retail-first strategy, The Honey Pot Co. uses an omnichannel distribution model across a network of nationwide retailers (84%, 89% and 95% of gross sales for the years ending December 31, 2025, 2024 and 2023, respectively) and eCommerce </w:t>
      </w:r>
      <w:r>
        <w:rPr>
          <w:rFonts w:ascii="Arial;sans-serif" w:hAnsi="Arial;sans-serif"/>
          <w:b w:val="false"/>
          <w:color w:val="000000"/>
          <w:sz w:val="20"/>
          <w:shd w:fill="FFFFFF" w:val="clear"/>
        </w:rPr>
        <w:t xml:space="preserve">(16%, 11% and </w:t>
      </w:r>
      <w:r>
        <w:rPr>
          <w:rFonts w:ascii="Arial;sans-serif" w:hAnsi="Arial;sans-serif"/>
          <w:b w:val="false"/>
          <w:color w:val="000000"/>
          <w:sz w:val="20"/>
        </w:rPr>
        <w:t xml:space="preserve">5% of gross sales for the years ending December 31, 2025, 2024 and 2023, respectively).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Honey Pot Co.’s products are sold across national retailers in the mass, drug, grocery, and specialty beauty channels. The Honey Pot Co. is an established brand in the mass channel with nationwide distribution for its most popular products. The company is a newer entrant into the drug, grocery, and specialty beauty channels with meaningful runway for growth via new door and SKU expansions. The Honey Pot Co. launched in Canada in 2024 and expects to leverage its strong domestic retailer relationships to further expand internationally.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eCommerce channel includes sales through the company’s owned website, Amazon, and other dotcom partners. Given the high cost of driving customers to its website, the company has historically leveraged its own website as a tool for customer education and new product testing rather than a purchasing destination. The company launched its Amazon storefront in June 2023 as a way to increase the availability and convenience of shopping this category for its consumers.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Strategies and Competitive Conditions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Business Strategies</w:t>
      </w:r>
    </w:p>
    <w:p>
      <w:pPr>
        <w:pStyle w:val="TextBody"/>
        <w:bidi w:val="0"/>
        <w:spacing w:lineRule="auto" w:line="288" w:before="120" w:after="283"/>
        <w:jc w:val="both"/>
        <w:rPr/>
      </w:pPr>
      <w:r>
        <w:rPr>
          <w:rFonts w:ascii="Arial;sans-serif" w:hAnsi="Arial;sans-serif"/>
          <w:b/>
          <w:color w:val="000000"/>
          <w:sz w:val="20"/>
        </w:rPr>
        <w:t>Increase Brand Awareness and Grow the Loyal Honey Pot Community</w:t>
      </w:r>
      <w:r>
        <w:rPr>
          <w:color w:val="000000"/>
        </w:rPr>
        <w:t xml:space="preserve"> – </w:t>
      </w:r>
      <w:r>
        <w:rPr>
          <w:rFonts w:ascii="Arial;sans-serif" w:hAnsi="Arial;sans-serif"/>
          <w:b w:val="false"/>
          <w:color w:val="000000"/>
          <w:sz w:val="20"/>
        </w:rPr>
        <w:t xml:space="preserve">the company has the proven ability to build a loyal and passionate consumer base through its authentic brand voice, educational content, and safe and efficacious products. Although the company is a leader in the “better-for-you” category, it continues to meaningfully trail legacy players’ awareness levels. The coupling of low awareness with a loyal and passionate customer base presents a significant opportunity for accelerated growth through strategic increases in marketing spend targeted at bringing new consumers into the category and at increasing conversion of consumers from legacy brands. </w:t>
      </w:r>
    </w:p>
    <w:p>
      <w:pPr>
        <w:pStyle w:val="TextBody"/>
        <w:bidi w:val="0"/>
        <w:spacing w:lineRule="auto" w:line="288" w:before="180" w:after="283"/>
        <w:jc w:val="both"/>
        <w:rPr/>
      </w:pPr>
      <w:r>
        <w:rPr>
          <w:rFonts w:ascii="Arial;sans-serif" w:hAnsi="Arial;sans-serif"/>
          <w:b/>
          <w:color w:val="000000"/>
          <w:sz w:val="20"/>
        </w:rPr>
        <w:t>Capitalize on Increasing Consumer Preference for “Better-for-You” Products</w:t>
      </w:r>
      <w:r>
        <w:rPr>
          <w:color w:val="000000"/>
        </w:rPr>
        <w:t xml:space="preserve"> – </w:t>
      </w:r>
      <w:r>
        <w:rPr>
          <w:rFonts w:ascii="Arial;sans-serif" w:hAnsi="Arial;sans-serif"/>
          <w:b w:val="false"/>
          <w:color w:val="000000"/>
          <w:sz w:val="20"/>
        </w:rPr>
        <w:t xml:space="preserve">As a leading “better-for-you” feminine care brand, we believe that The Honey Pot Co. will enjoy an outsized benefit from consumers switching from legacy feminine care products to “better-for-you” alternatives. Younger consumers are increasingly searching for “clean-label” alternatives to products that typically contain “harsh” ingredients. This trend has been seen in the feminine care industry in the past years and may continue to accelerate as older generations age out of the category and younger consumers, who demand more transparency from their brands, enter the category. The Honey Pot Co. is, we believe, well positioned to be at the front of the “better-for-you” pack given their highly efficacious products and their unique value proposition of providing a complete, cross-category offering. </w:t>
      </w:r>
    </w:p>
    <w:p>
      <w:pPr>
        <w:pStyle w:val="TextBody"/>
        <w:bidi w:val="0"/>
        <w:spacing w:lineRule="auto" w:line="288" w:before="180" w:after="283"/>
        <w:jc w:val="both"/>
        <w:rPr/>
      </w:pPr>
      <w:r>
        <w:rPr>
          <w:rFonts w:ascii="Arial;sans-serif" w:hAnsi="Arial;sans-serif"/>
          <w:b/>
          <w:color w:val="000000"/>
          <w:sz w:val="20"/>
        </w:rPr>
        <w:t>Expand Distribution Network to Drive Growth, Awareness, and Adoption</w:t>
      </w:r>
      <w:r>
        <w:rPr>
          <w:color w:val="000000"/>
        </w:rPr>
        <w:t xml:space="preserve"> – </w:t>
      </w:r>
      <w:r>
        <w:rPr>
          <w:rFonts w:ascii="Arial;sans-serif" w:hAnsi="Arial;sans-serif"/>
          <w:b w:val="false"/>
          <w:color w:val="000000"/>
          <w:sz w:val="20"/>
        </w:rPr>
        <w:t xml:space="preserve">Meaningful opportunity exists for The Honey Pot Co. to expand its distribution footprint in existing channels where it remains under-penetrated and to enter entirely new channels and geographies with significant volume opportunities. The company has a successful track record of profitably expanding into new channels and significant opportunity exists both domestically and internationally. Accessibility remains a top hurdle for acquiring new customers, so expansion of the company’s distribution network presents an opportunity to further accelerate brand awareness and product adoption. </w:t>
      </w:r>
    </w:p>
    <w:p>
      <w:pPr>
        <w:pStyle w:val="TextBody"/>
        <w:bidi w:val="0"/>
        <w:spacing w:lineRule="auto" w:line="288" w:before="180" w:after="283"/>
        <w:jc w:val="both"/>
        <w:rPr/>
      </w:pPr>
      <w:r>
        <w:rPr>
          <w:rFonts w:ascii="Arial;sans-serif" w:hAnsi="Arial;sans-serif"/>
          <w:b/>
          <w:color w:val="000000"/>
          <w:sz w:val="20"/>
        </w:rPr>
        <w:t>Leverage Brand Equity to Continue Developing New Products and Strategically Enter Large Adjacent Product Categories</w:t>
      </w:r>
      <w:r>
        <w:rPr>
          <w:color w:val="000000"/>
        </w:rPr>
        <w:t xml:space="preserve"> – </w:t>
      </w:r>
      <w:r>
        <w:rPr>
          <w:rFonts w:ascii="Arial;sans-serif" w:hAnsi="Arial;sans-serif"/>
          <w:b w:val="false"/>
          <w:color w:val="000000"/>
          <w:sz w:val="20"/>
        </w:rPr>
        <w:t>The Honey Pot Co. aims to continue to strategically grow the product portfolio and bring newness to the category through meaningful innovation in core segments, supported by selective new product development in adjacent segments to grow The Honey Pot Co.’s addressable market. Opportunity exists for The Honey Pot Co. to expand its continuum of care to serve women at all life stages, ensuring consumers join the brand at a younger age and stay with the brand longer, thereby increasing consumer lifetime value.</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Competitive Strengths</w:t>
      </w:r>
    </w:p>
    <w:p>
      <w:pPr>
        <w:pStyle w:val="TextBody"/>
        <w:bidi w:val="0"/>
        <w:spacing w:lineRule="auto" w:line="288" w:before="120" w:after="283"/>
        <w:jc w:val="both"/>
        <w:rPr/>
      </w:pPr>
      <w:r>
        <w:rPr>
          <w:rFonts w:ascii="Arial;sans-serif" w:hAnsi="Arial;sans-serif"/>
          <w:b/>
          <w:color w:val="000000"/>
          <w:sz w:val="20"/>
        </w:rPr>
        <w:t>Authentic Brand with Distinct Marketing Strategy</w:t>
      </w:r>
      <w:r>
        <w:rPr>
          <w:color w:val="000000"/>
        </w:rPr>
        <w:t xml:space="preserve"> – </w:t>
      </w:r>
      <w:r>
        <w:rPr>
          <w:rFonts w:ascii="Arial;sans-serif" w:hAnsi="Arial;sans-serif"/>
          <w:b w:val="false"/>
          <w:color w:val="000000"/>
          <w:sz w:val="20"/>
        </w:rPr>
        <w:t>The Honey Pot Co.’s differentiated marketing strategy is built upon three pillars: (i) education as a product, (ii) community as a connection, and (iii) storytelling as an approach. Educating the consumer is at the core of the marketing strategy because it helps break down the stigmas that have made feminine wellness historically difficult to discuss. The company’s humorous and cheeky brand voice lightens and normalizes topics left unaddressed by legacy education channels (e.g., doctors, schooling, etc.). Their bold, honest, and relatable digital content fosters community learning and especially connects with younger consumers, who are much less inhibited in discussing personal topics with friends and family and who expect more authenticity from brands than prior generations did.</w:t>
      </w:r>
    </w:p>
    <w:p>
      <w:pPr>
        <w:pStyle w:val="TextBody"/>
        <w:bidi w:val="0"/>
        <w:spacing w:lineRule="auto" w:line="288" w:before="180" w:after="283"/>
        <w:jc w:val="both"/>
        <w:rPr/>
      </w:pPr>
      <w:r>
        <w:rPr>
          <w:rFonts w:ascii="Arial;sans-serif" w:hAnsi="Arial;sans-serif"/>
          <w:b/>
          <w:color w:val="000000"/>
          <w:sz w:val="20"/>
        </w:rPr>
        <w:t>Safe, Efficacious, and Clinically-Tested Products</w:t>
      </w:r>
      <w:r>
        <w:rPr>
          <w:color w:val="000000"/>
        </w:rPr>
        <w:t xml:space="preserve"> – </w:t>
      </w:r>
      <w:r>
        <w:rPr>
          <w:rFonts w:ascii="Arial;sans-serif" w:hAnsi="Arial;sans-serif"/>
          <w:b w:val="false"/>
          <w:color w:val="000000"/>
          <w:sz w:val="20"/>
        </w:rPr>
        <w:t>Creating safe and trusted products is core to The Honey Pot Co.’s brand and is one of the key drivers of the company’s leading retention and preference metrics. The company enables consumers to enjoy better-for-you ingredients without sacrificing product performance and provides consumers with differentiated functional benefits (pH balanced, microbiome friendly, safe for sensitive skin, etc.). Furthermore, the company has rigorous processes in place to ensure product efficacy and safety, including conducting consumer perception tests on the majority of its products.</w:t>
      </w:r>
    </w:p>
    <w:p>
      <w:pPr>
        <w:pStyle w:val="TextBody"/>
        <w:bidi w:val="0"/>
        <w:spacing w:lineRule="auto" w:line="288" w:before="180" w:after="283"/>
        <w:jc w:val="both"/>
        <w:rPr/>
      </w:pPr>
      <w:r>
        <w:rPr>
          <w:rFonts w:ascii="Arial;sans-serif" w:hAnsi="Arial;sans-serif"/>
          <w:b/>
          <w:color w:val="000000"/>
          <w:sz w:val="20"/>
        </w:rPr>
        <w:t>Focus on Holistic Wellness</w:t>
      </w:r>
      <w:r>
        <w:rPr>
          <w:color w:val="000000"/>
        </w:rPr>
        <w:t xml:space="preserve"> – </w:t>
      </w:r>
      <w:r>
        <w:rPr>
          <w:rFonts w:ascii="Arial;sans-serif" w:hAnsi="Arial;sans-serif"/>
          <w:b w:val="false"/>
          <w:color w:val="000000"/>
          <w:sz w:val="20"/>
        </w:rPr>
        <w:t>The Honey Pot Co. is the first feminine care brand to cross the aisle and provide consumers with a complete feminine care system (e.g., washes, wipes, and menstrual products, etc.), differentiating it from legacy brands who focus strictly on one category; the company provides consumers with a one-stop-shop for all feminine care needs, thereby increasing consumer loyalty. The Honey Pot Co. focuses on launching products that work together to create a holistic wellness routine, increasing cross-sell opportunities and providing a competitive edge when competing to own consumers’ entire personal care journey.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 xml:space="preserve">Competition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Honey Pot Co. primarily competes in the United States feminine care marketplace, which is comprised of large established brands that account for more than half of the category and a long tail of smaller “better-for-you” players that have been growing rapidly. Within the feminine care market, several distinct segments exist (each with their own set of established players), including (i) menstrual products; (ii) feminine hygiene products, and (iii) consumer health and sexual wellness products. The primary legacy competitors include Always, Tampax, Kotex, and Playtex (menstrual); Summer’s Eve and Vagisil (feminine hygiene); and Monistat and KY (consumer health and sexual wellness), among others. In recent years, upstart brands providing “better-for-you” products have gained traction, including Cora, Lola, and This is L., among others. The Honey Pot Co.’s full body wellness products compete against many established and upstart personal care brands such as Dove, Olay, Aveeno, Native and Lume, among others.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Suppliers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Honey Pot Co. utilizes an end-to-end, asset-light global supply chain leveraging multiple co-manufacturers, raw material vendors, and packaging suppliers.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Sourcing and Manufacturing</w:t>
      </w:r>
    </w:p>
    <w:p>
      <w:pPr>
        <w:pStyle w:val="TextBody"/>
        <w:bidi w:val="0"/>
        <w:spacing w:lineRule="auto" w:line="288" w:before="60" w:after="283"/>
        <w:jc w:val="both"/>
        <w:rPr/>
      </w:pPr>
      <w:r>
        <w:rPr>
          <w:rFonts w:ascii="Arial;sans-serif" w:hAnsi="Arial;sans-serif"/>
          <w:b w:val="false"/>
          <w:color w:val="000000"/>
          <w:sz w:val="20"/>
        </w:rPr>
        <w:t>The Honey Pot Co. has a current network of eight co-manufacturers across the globe. The company has purposefully chosen suppliers with small, medium, and large lines and facilities, allowing the company to quickly scale with the same partner. The Honey Pot Co. has supply agreements in place and renegotiates rates, lead-times, and</w:t>
      </w:r>
      <w:r>
        <w:rPr>
          <w:color w:val="000000"/>
          <w:shd w:fill="FFFFFF" w:val="clear"/>
        </w:rPr>
        <w:t xml:space="preserve"> </w:t>
      </w:r>
      <w:r>
        <w:rPr>
          <w:rFonts w:ascii="Arial;sans-serif" w:hAnsi="Arial;sans-serif"/>
          <w:b w:val="false"/>
          <w:color w:val="000000"/>
          <w:sz w:val="20"/>
          <w:shd w:fill="FFFFFF" w:val="clear"/>
        </w:rPr>
        <w:t>minimum order quantities w</w:t>
      </w:r>
      <w:r>
        <w:rPr>
          <w:rFonts w:ascii="Arial;sans-serif" w:hAnsi="Arial;sans-serif"/>
          <w:b w:val="false"/>
          <w:color w:val="000000"/>
          <w:sz w:val="20"/>
        </w:rPr>
        <w:t xml:space="preserve">ith partners based on volumes to continually optimize its stock model parameters.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Distribution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Honey Pot Co. contracts with a leading logistical provider to operate a dedicated distribution center in Memphis, Tennessee to support its fulfillment needs across North America.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Product Development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Honey Pot Co. has a robust new product development process that is stage gated to ensure product viability in both market fit and economic terms. The company’s ideation process is driven by the needs of their consumer community, incorporates extensive 360-degree consumer research (including whitespace consumer studies), and most importantly, focuses on bringing products to market that address the long-term holistic health of all humans. The company formulates products in collaboration with industry experts and suppliers to ensure that the products strictly adhere to their brand standards of high quality and efficacy and with their retail partners to ensure that the products will resonate with shoppers. The company then clinically tests their formulations (to ensure compliance with regulatory standards) to confirm that the products are safe and efficacious. Lastly, the company validates their supply chain to ensure they can properly manufacture each product in the short and long term without disruption or quality compromises.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New product development is underpinned by the company’s mission to create products that work together to create a holistic wellness routine and that address previously unmet and unacknowledged human needs. The company continues to develop innovations in its core categories as well as adjacent categories where their brand equity gives them permission to play.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Honey Pot Co. markets and distributes various feminine hygiene and consumer care products in the United States and Canada, including nonprescription medical devices, over the counter (“OTC”) drug products, dietary supplements, and cosmetics, which are subject to regulation by the U.S. Food and Drug Administration (“FDA”) as well as the Federal Trade Commission (“FTC”). As such, the company is governed by various laws and acts, including the Federal Food, Drug and Cosmetic Act (“FDCA”), the Fair Packaging and Labeling Act (“FPLA”), and The Modernization of Cosmetics Regulation Act (“MoCRA”).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Honey Pot Co.’s products fall into five different FDA classifications. Menstrual pads and liners are classified as class I medical devices; lubricants, tampons and cups are classified as class II medical devices; anti-itch spray, anti-itch and hemorrhoidal wipes are classified as OTC drug products, supplements are classified as dietary supplements, and feminine washes and wipes (excluding OTC wipes), deodorant sprays, suppositories, and body washes are classified as cosmetics.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Under the FDCA and its implementing regulations, The Honey Pot Co. is subject to requirements related to, among other things, facility registration, drug and device current good manufacturing practices, product ingredients review, nonclinical and clinical testing, complaint handling and adverse event reporting, product recalls, product labeling, marketing, and promotion. Advertising and promotion are also regulated by the FTC under the FPLA and 15 U.S.C. § 52.</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MoCRA, which went into effect in December 2023, imposes a wide range of new requirements on cosmetic industry stakeholders, including requirements for cosmetic product manufacturers and processors, subject to certain exemptions, to register their facilities with the FDA and list each marketed cosmetic product and all product ingredients with the FDA. MoCRA also imposes several other new requirements, including with respect to adverse event reporting, safety substantiation for cosmetic products, and labeling.</w:t>
      </w:r>
    </w:p>
    <w:p>
      <w:pPr>
        <w:pStyle w:val="TextBody"/>
        <w:bidi w:val="0"/>
        <w:spacing w:lineRule="auto" w:line="288" w:before="180" w:after="283"/>
        <w:jc w:val="both"/>
        <w:rPr/>
      </w:pPr>
      <w:r>
        <w:rPr>
          <w:rFonts w:ascii="Arial;sans-serif" w:hAnsi="Arial;sans-serif"/>
          <w:b w:val="false"/>
          <w:color w:val="000000"/>
          <w:sz w:val="20"/>
          <w:shd w:fill="FFFFFF" w:val="clear"/>
        </w:rPr>
        <w:t>The Honey Pot Co.’s outside general counsel and regulatory counsel work with the company’s in-house product development and compliance teams to ensure products and the associated product claims and marketing are compliant with the standards set by relevant regulatory bodies,</w:t>
      </w:r>
      <w:r>
        <w:rPr>
          <w:color w:val="000000"/>
        </w:rPr>
        <w:t xml:space="preserve"> </w:t>
      </w:r>
      <w:r>
        <w:rPr>
          <w:rFonts w:ascii="Arial;sans-serif" w:hAnsi="Arial;sans-serif"/>
          <w:b w:val="false"/>
          <w:color w:val="000000"/>
          <w:sz w:val="20"/>
        </w:rPr>
        <w:t>including FDA, MoCRA, and FTC</w:t>
      </w:r>
      <w:r>
        <w:rPr>
          <w:rFonts w:ascii="Arial;sans-serif" w:hAnsi="Arial;sans-serif"/>
          <w:b w:val="false"/>
          <w:color w:val="000000"/>
          <w:sz w:val="20"/>
          <w:shd w:fill="FFFFFF" w:val="clear"/>
        </w:rPr>
        <w:t>. The company leverages their contract manufacturing partners for products that require 510(k) FDA notification, and the co-manufacturers are responsible for confirming that products are covered by the filings.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Community Engagement and Social Impact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Inclusion and social impact are key values of the company’s brand and community. Notably, The Honey Pot Co. donates 2% of their owned website sales annually to charitable organizations that share their mission of democratizing wellness by providing access to the educational content, resources, community, and products women need to be the healthiest and most confident versions of themselves. To further support equitable access to feminine care, The Honey Pot Co. has implemented a policy of reimbursing consumers (upon proof of purchase) for sales tax on their menstrual products (sometimes called a “tampon tax”) given that other “essential” consumer products, such as aspirin and antacids, are sold tax-free. </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Human Capital</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Honey Pot Co. employs a non-union labor force of 72 employees who primarily work remotely across the United States. The company has an office in Atlanta, Georgia where a small group of employees work on a day-to-day basis, but this space is primarily used as a gathering place to host customers and team meetings. Over the past three years, The Honey Pot Co. has meaningfully invested in the infrastructure of the business to support its growth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Velocity Outdoor</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pPr>
      <w:r>
        <w:rPr>
          <w:rFonts w:ascii="Arial;sans-serif" w:hAnsi="Arial;sans-serif"/>
          <w:b w:val="false"/>
          <w:color w:val="000000"/>
          <w:sz w:val="20"/>
        </w:rPr>
        <w:t>Velocity Outdoor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 in</w:t>
      </w:r>
      <w:r>
        <w:rPr>
          <w:color w:val="000000"/>
          <w:shd w:fill="FFFFFF" w:val="clear"/>
        </w:rPr>
        <w:t xml:space="preserve"> </w:t>
      </w:r>
      <w:r>
        <w:rPr>
          <w:rFonts w:ascii="Arial;sans-serif" w:hAnsi="Arial;sans-serif"/>
          <w:b w:val="false"/>
          <w:color w:val="000000"/>
          <w:sz w:val="20"/>
          <w:shd w:fill="FFFFFF" w:val="clear"/>
        </w:rPr>
        <w:t>Rochester, New York.</w:t>
      </w:r>
      <w:r>
        <w:rPr>
          <w:color w:val="000000"/>
        </w:rPr>
        <w:t xml:space="preserv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History of Velocity Outdoor</w:t>
      </w:r>
    </w:p>
    <w:p>
      <w:pPr>
        <w:pStyle w:val="TextBody"/>
        <w:bidi w:val="0"/>
        <w:spacing w:lineRule="auto" w:line="288" w:before="120" w:after="283"/>
        <w:jc w:val="both"/>
        <w:rPr/>
      </w:pPr>
      <w:r>
        <w:rPr>
          <w:rFonts w:ascii="Arial;sans-serif" w:hAnsi="Arial;sans-serif"/>
          <w:b w:val="false"/>
          <w:color w:val="000000"/>
          <w:sz w:val="20"/>
        </w:rPr>
        <w:t>Velocity was founded in 1923 as Crosman Rifle Company and was one of the first manufacturers of recreational airguns in the United States. In 2008, Velocity diversified their product offerings by adding Crosman Archery to its list of branded products and introduced two new hunting crossbows in addition to youth archery products.</w:t>
      </w:r>
      <w:r>
        <w:rPr>
          <w:color w:val="000000"/>
        </w:rPr>
        <w:t xml:space="preserve"> </w:t>
      </w:r>
      <w:r>
        <w:rPr>
          <w:rFonts w:ascii="Arial;sans-serif" w:hAnsi="Arial;sans-serif"/>
          <w:b w:val="false"/>
          <w:color w:val="000000"/>
          <w:sz w:val="20"/>
        </w:rPr>
        <w:t xml:space="preserve">In 2016, Velocity debuted its CenterPoint line of crossbows and with the 2018 acquisition of Ravin Crossbows, Velocity expanded their archery product line into the higher-end segment of the crossbow market. In July 2022, Velocity acquired Kings Camo LLC which designs and sells high-performance, feature rich hunting and casual apparel of uncompromised quality, utilizing King’s own proprietary camouflage patterns. King’s target consumers are men, women and youth who are avid in their outdoor pursuits. In April 2024, Velocity Outdoor sold Crosman Corporation ("Crosman"), its airgun product division. </w:t>
      </w:r>
    </w:p>
    <w:p>
      <w:pPr>
        <w:pStyle w:val="TextBody"/>
        <w:bidi w:val="0"/>
        <w:spacing w:lineRule="auto" w:line="288" w:before="180" w:after="283"/>
        <w:jc w:val="both"/>
        <w:rPr/>
      </w:pPr>
      <w:r>
        <w:rPr>
          <w:rFonts w:ascii="Arial;sans-serif" w:hAnsi="Arial;sans-serif"/>
          <w:b w:val="false"/>
          <w:color w:val="000000"/>
          <w:sz w:val="20"/>
        </w:rPr>
        <w:t>Today, Velocity Outdoor is an international designer, manufacturer, and marketer of archery products including the Ravin and CenterPoint crossbows and King's Camo hunting apparel.</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pPr>
      <w:r>
        <w:rPr>
          <w:rFonts w:ascii="Arial;sans-serif" w:hAnsi="Arial;sans-serif"/>
          <w:b w:val="false"/>
          <w:color w:val="000000"/>
          <w:sz w:val="20"/>
        </w:rPr>
        <w:t>We acquired a majority interest in Velocity Outdoor on June 2, 2017.</w:t>
      </w:r>
      <w:r>
        <w:rPr>
          <w:color w:val="000000"/>
        </w:rPr>
        <w:t xml:space="preserv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Industry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Velocity Outdoor primarily competes within sub-segments of the broader outdoor recreational products industry, The archery equipment market is estimated by management to constitute approximately $770 million of annual manufacturers' sales, of which $500-$550 million is attributable to bows and $200-$250 million is attributable to related archery consumables. Vertical and compound bows, and crossbows each comprise about half of the category sales, with crossbows gaining share in recent years. Independent archery dealers account for 38% of Velocity's sales and big box specialty sporting goods retailers account for approximately 30% of consumer purchases from Velocity. Distributors, mass merchants, and online retailers make up the remainder of consumer sales.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hunting apparel market is estimated by management to constitute $500 million of annual sales. Online retailers' sales account for approximately 54% of consumer purchases from Velocity, dealers and distributors account for 20% from velocity and big box specialty sporting goods retailers make up the remainder of consumer purchases from Velocity.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Products, Customers and Distribution Channels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Products</w:t>
      </w:r>
    </w:p>
    <w:p>
      <w:pPr>
        <w:pStyle w:val="TextBody"/>
        <w:bidi w:val="0"/>
        <w:spacing w:lineRule="auto" w:line="288" w:before="120" w:after="283"/>
        <w:jc w:val="both"/>
        <w:rPr/>
      </w:pPr>
      <w:r>
        <w:rPr>
          <w:rFonts w:ascii="Arial;sans-serif" w:hAnsi="Arial;sans-serif"/>
          <w:b w:val="false"/>
          <w:color w:val="000000"/>
          <w:sz w:val="20"/>
        </w:rPr>
        <w:t>Velocity's product strategy encompasses producing high quality, feature-rich products recognized by consumers for their craftsmanship, value and building on a rich history to introduce innovative new products.</w:t>
      </w:r>
      <w:r>
        <w:rPr>
          <w:color w:val="000000"/>
        </w:rPr>
        <w:t xml:space="preserve"> </w:t>
      </w:r>
    </w:p>
    <w:p>
      <w:pPr>
        <w:pStyle w:val="TextBody"/>
        <w:bidi w:val="0"/>
        <w:spacing w:lineRule="auto" w:line="288" w:before="180" w:after="283"/>
        <w:jc w:val="both"/>
        <w:rPr/>
      </w:pPr>
      <w:r>
        <w:rPr>
          <w:rFonts w:ascii="Arial;sans-serif" w:hAnsi="Arial;sans-serif"/>
          <w:b/>
          <w:color w:val="000000"/>
          <w:sz w:val="20"/>
        </w:rPr>
        <w:t xml:space="preserve">Archery Products - </w:t>
      </w:r>
      <w:r>
        <w:rPr>
          <w:rFonts w:ascii="Arial;sans-serif" w:hAnsi="Arial;sans-serif"/>
          <w:b w:val="false"/>
          <w:color w:val="000000"/>
          <w:sz w:val="20"/>
        </w:rPr>
        <w:t>Velocity re-entered the archery market in 2016 with a product line anchored by the CenterPoint crossbow. CenterPoint has grown rapidly since it was launched to become a leading player in the crossbow category.</w:t>
      </w:r>
      <w:r>
        <w:rPr>
          <w:color w:val="000000"/>
        </w:rPr>
        <w:t xml:space="preserve"> </w:t>
      </w:r>
      <w:r>
        <w:rPr>
          <w:rFonts w:ascii="Arial;sans-serif" w:hAnsi="Arial;sans-serif"/>
          <w:b w:val="false"/>
          <w:color w:val="000000"/>
          <w:sz w:val="20"/>
        </w:rPr>
        <w:t>CenterPoint acquired market share by offering features like an aluminum frame, higher shooting velocity, integrated string stops, a 4x32mm scope and shoulder sling at very competitive retail prices.</w:t>
      </w:r>
    </w:p>
    <w:p>
      <w:pPr>
        <w:pStyle w:val="TextBody"/>
        <w:bidi w:val="0"/>
        <w:spacing w:lineRule="auto" w:line="288" w:before="180" w:after="283"/>
        <w:jc w:val="both"/>
        <w:rPr/>
      </w:pPr>
      <w:r>
        <w:rPr>
          <w:rFonts w:ascii="Arial;sans-serif" w:hAnsi="Arial;sans-serif"/>
          <w:b w:val="false"/>
          <w:color w:val="000000"/>
          <w:sz w:val="20"/>
        </w:rPr>
        <w:t>Velocity acquired Ravin Crossbows in 2018, further expanding its product line in the archery market. Ravin Crossbows is a leading designer, manufacturer and innovator of crossbows and accessories. Ravin primarily focuses on the higher-end segment of the crossbow market and has developed significant intellectual property related to the advancement of crossbow technology</w:t>
      </w:r>
      <w:r>
        <w:rPr>
          <w:rFonts w:ascii="Times New Roman;serif" w:hAnsi="Times New Roman;serif"/>
          <w:b w:val="false"/>
          <w:color w:val="000000"/>
          <w:sz w:val="20"/>
        </w:rPr>
        <w:t xml:space="preserve">. </w:t>
      </w:r>
      <w:r>
        <w:rPr>
          <w:rFonts w:ascii="Arial;sans-serif" w:hAnsi="Arial;sans-serif"/>
          <w:b w:val="false"/>
          <w:color w:val="000000"/>
          <w:sz w:val="20"/>
        </w:rPr>
        <w:t>In 2022 Ravin introduced a new compact, fast, powerful, and accurate crossbow, shooting arrows at speeds over 500 feet per second and featuring an exclusive, and industry first, compact electronic cocking/de-cocking mechanism</w:t>
      </w:r>
      <w:r>
        <w:rPr>
          <w:rFonts w:ascii="Times New Roman;serif" w:hAnsi="Times New Roman;serif"/>
          <w:b w:val="false"/>
          <w:color w:val="000000"/>
          <w:sz w:val="20"/>
        </w:rPr>
        <w:t xml:space="preserve">. </w:t>
      </w:r>
    </w:p>
    <w:p>
      <w:pPr>
        <w:pStyle w:val="TextBody"/>
        <w:bidi w:val="0"/>
        <w:spacing w:lineRule="auto" w:line="288" w:before="180" w:after="283"/>
        <w:jc w:val="both"/>
        <w:rPr/>
      </w:pPr>
      <w:r>
        <w:rPr>
          <w:rFonts w:ascii="Arial;sans-serif" w:hAnsi="Arial;sans-serif"/>
          <w:b/>
          <w:color w:val="000000"/>
          <w:sz w:val="20"/>
        </w:rPr>
        <w:t xml:space="preserve">Hunting Apparel - </w:t>
      </w:r>
      <w:r>
        <w:rPr>
          <w:rFonts w:ascii="Arial;sans-serif" w:hAnsi="Arial;sans-serif"/>
          <w:b w:val="false"/>
          <w:color w:val="000000"/>
          <w:sz w:val="20"/>
        </w:rPr>
        <w:t xml:space="preserve">Hunting apparel is designed specific to the activity and varies by region and type of hunting. Hunting apparel includes, but is not limited to jackets, vests, pants, bibs, shirts, boots, base layers, socks, and gloves for men, women, and youth. Hunting apparel is typically: more durable and weather-resistant than regular clothing; designed with special features for the field and fitted to provide more flexibility and less restricted movement.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Customers and Distribution Channels</w:t>
      </w:r>
    </w:p>
    <w:p>
      <w:pPr>
        <w:pStyle w:val="TextBody"/>
        <w:bidi w:val="0"/>
        <w:spacing w:lineRule="auto" w:line="288" w:before="120" w:after="283"/>
        <w:jc w:val="both"/>
        <w:rPr/>
      </w:pPr>
      <w:r>
        <w:rPr>
          <w:rFonts w:ascii="Arial;sans-serif" w:hAnsi="Arial;sans-serif"/>
          <w:b w:val="false"/>
          <w:color w:val="000000"/>
          <w:sz w:val="20"/>
        </w:rPr>
        <w:t xml:space="preserve">Velocity's products are sold across a mix of sales channels, including national retailers, distributors/dealers/regional chains, international distributors, and e-commerce. Over the last several years, management has successfully diversified both its sales channel composition and customer mix. Velocity's three largest customers represented </w:t>
      </w:r>
      <w:r>
        <w:rPr>
          <w:rFonts w:ascii="Arial;sans-serif" w:hAnsi="Arial;sans-serif"/>
          <w:b w:val="false"/>
          <w:color w:val="000000"/>
          <w:sz w:val="20"/>
          <w:shd w:fill="FFFFFF" w:val="clear"/>
        </w:rPr>
        <w:t xml:space="preserve">16%, 8% and 8%, respectively, </w:t>
      </w:r>
      <w:r>
        <w:rPr>
          <w:rFonts w:ascii="Arial;sans-serif" w:hAnsi="Arial;sans-serif"/>
          <w:b w:val="false"/>
          <w:color w:val="000000"/>
          <w:sz w:val="20"/>
        </w:rPr>
        <w:t>of gross sales in 2025 represent Velocity's major sales channels; mass merchant, regional retail, and e-commerce.</w:t>
      </w:r>
    </w:p>
    <w:p>
      <w:pPr>
        <w:pStyle w:val="TextBody"/>
        <w:bidi w:val="0"/>
        <w:spacing w:lineRule="auto" w:line="288" w:before="180" w:after="283"/>
        <w:jc w:val="both"/>
        <w:rPr/>
      </w:pPr>
      <w:r>
        <w:rPr>
          <w:rFonts w:ascii="Arial;sans-serif" w:hAnsi="Arial;sans-serif"/>
          <w:b w:val="false"/>
          <w:color w:val="000000"/>
          <w:sz w:val="20"/>
        </w:rPr>
        <w:t>Velocity had</w:t>
      </w:r>
      <w:r>
        <w:rPr>
          <w:color w:val="000000"/>
          <w:shd w:fill="FFFFFF" w:val="clear"/>
        </w:rPr>
        <w:t xml:space="preserve"> </w:t>
      </w:r>
      <w:r>
        <w:rPr>
          <w:rFonts w:ascii="Arial;sans-serif" w:hAnsi="Arial;sans-serif"/>
          <w:b w:val="false"/>
          <w:color w:val="000000"/>
          <w:sz w:val="20"/>
          <w:shd w:fill="FFFFFF" w:val="clear"/>
        </w:rPr>
        <w:t>approximately $2.2 million and $1.0</w:t>
      </w:r>
      <w:r>
        <w:rPr>
          <w:color w:val="000000"/>
        </w:rPr>
        <w:t xml:space="preserve"> </w:t>
      </w:r>
      <w:r>
        <w:rPr>
          <w:rFonts w:ascii="Arial;sans-serif" w:hAnsi="Arial;sans-serif"/>
          <w:b w:val="false"/>
          <w:color w:val="000000"/>
          <w:sz w:val="20"/>
        </w:rPr>
        <w:t>million in firm backlog orders at December 31, 2025 and 2024, respectively.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Business Strategies and Competitive Conditions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Business Strategies</w:t>
      </w:r>
    </w:p>
    <w:p>
      <w:pPr>
        <w:pStyle w:val="TextBody"/>
        <w:bidi w:val="0"/>
        <w:spacing w:lineRule="auto" w:line="288" w:before="180" w:after="283"/>
        <w:jc w:val="both"/>
        <w:rPr/>
      </w:pPr>
      <w:r>
        <w:rPr>
          <w:rFonts w:ascii="Arial;sans-serif" w:hAnsi="Arial;sans-serif"/>
          <w:b/>
          <w:color w:val="000000"/>
          <w:sz w:val="20"/>
        </w:rPr>
        <w:t>Continued Innovation in Existing Product Categories</w:t>
      </w:r>
      <w:r>
        <w:rPr>
          <w:color w:val="000000"/>
        </w:rPr>
        <w:t xml:space="preserve"> </w:t>
      </w:r>
      <w:r>
        <w:rPr>
          <w:rFonts w:ascii="Arial;sans-serif" w:hAnsi="Arial;sans-serif"/>
          <w:b w:val="false"/>
          <w:color w:val="000000"/>
          <w:sz w:val="20"/>
        </w:rPr>
        <w:t xml:space="preserve">- Velocity plans to continue to build on its successful history of bringing new, technically superior products to market through leveraging its stringent product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process and a flexible supply chain. The company has near-term new product launches and existing product updates planned across all categories, including the highlights below.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20"/>
          <w:shd w:fill="FFFFFF" w:val="clear"/>
        </w:rPr>
        <w:t>Archery - Innovation will continue to lead the way with new offerings in both the CenterPoint and Ravin product lines. Unequaled, game changing performance and accuracy is the industry leading ground Ravin owns and will continue to own well into the future with new product introductions scheduled for 2026 and 2027.</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20"/>
          <w:shd w:fill="FFFFFF" w:val="clear"/>
        </w:rPr>
        <w:t>Hunting Apparel - Technically advanced and thoughtfully designed clothing is what makes Kings a fast growing brand in its space. 2024 saw an expansion of offerings in historical categories along with new categories. 2026 and 2027 will see many more offerings including lifestyle, men’s, women’s, children’s, season specific, animal specific and new categories.</w:t>
      </w:r>
    </w:p>
    <w:p>
      <w:pPr>
        <w:pStyle w:val="TextBody"/>
        <w:bidi w:val="0"/>
        <w:spacing w:lineRule="auto" w:line="288" w:before="180" w:after="283"/>
        <w:jc w:val="both"/>
        <w:rPr/>
      </w:pPr>
      <w:r>
        <w:rPr>
          <w:rFonts w:ascii="Arial;sans-serif" w:hAnsi="Arial;sans-serif"/>
          <w:b/>
          <w:color w:val="000000"/>
          <w:sz w:val="20"/>
        </w:rPr>
        <w:t xml:space="preserve">Expand into Adjacent Product Categories - </w:t>
      </w:r>
      <w:r>
        <w:rPr>
          <w:rFonts w:ascii="Arial;sans-serif" w:hAnsi="Arial;sans-serif"/>
          <w:b w:val="false"/>
          <w:color w:val="000000"/>
          <w:sz w:val="20"/>
        </w:rPr>
        <w:t xml:space="preserve">Management believes that the company can leverage in-house manufacturing and sourcing partners to develop products in new categories that utilize Velocity's existing distribution network and brand strength.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Competitive Strengths</w:t>
      </w:r>
    </w:p>
    <w:p>
      <w:pPr>
        <w:pStyle w:val="TextBody"/>
        <w:bidi w:val="0"/>
        <w:spacing w:lineRule="auto" w:line="288" w:before="180" w:after="283"/>
        <w:jc w:val="both"/>
        <w:rPr/>
      </w:pPr>
      <w:r>
        <w:rPr>
          <w:rFonts w:ascii="Arial;sans-serif" w:hAnsi="Arial;sans-serif"/>
          <w:b/>
          <w:color w:val="000000"/>
          <w:sz w:val="20"/>
          <w:shd w:fill="FFFFFF" w:val="clear"/>
        </w:rPr>
        <w:t>Innovation and Engineering Capabilities with Strong IP -</w:t>
      </w:r>
      <w:r>
        <w:rPr>
          <w:color w:val="000000"/>
          <w:shd w:fill="FFFFFF" w:val="clear"/>
        </w:rPr>
        <w:t xml:space="preserve"> </w:t>
      </w:r>
      <w:r>
        <w:rPr>
          <w:rFonts w:ascii="Arial;sans-serif" w:hAnsi="Arial;sans-serif"/>
          <w:b w:val="false"/>
          <w:color w:val="000000"/>
          <w:sz w:val="20"/>
          <w:shd w:fill="FFFFFF" w:val="clear"/>
        </w:rPr>
        <w:t>Velocity is a consumer-focused organization with a deep understanding of its consumers. In addition, Velocity employs and retains engineers who are the most accomplished in Velocity's markets which, combined with an innovative culture, have created what we believe to be significantly differentiated, demonstrably superior products with strong intellectual property protection.</w:t>
      </w:r>
    </w:p>
    <w:p>
      <w:pPr>
        <w:pStyle w:val="TextBody"/>
        <w:bidi w:val="0"/>
        <w:spacing w:lineRule="auto" w:line="288" w:before="180" w:after="283"/>
        <w:jc w:val="both"/>
        <w:rPr/>
      </w:pPr>
      <w:r>
        <w:rPr>
          <w:rFonts w:ascii="Arial;sans-serif" w:hAnsi="Arial;sans-serif"/>
          <w:b/>
          <w:color w:val="000000"/>
          <w:sz w:val="20"/>
          <w:shd w:fill="FFFFFF" w:val="clear"/>
        </w:rPr>
        <w:t>Leading Consumer Brands with Branding and Marketing Capabilities to Drive Consumer Awareness, Affinity, and Engagement -</w:t>
      </w:r>
      <w:r>
        <w:rPr>
          <w:color w:val="000000"/>
          <w:shd w:fill="FFFFFF" w:val="clear"/>
        </w:rPr>
        <w:t xml:space="preserve"> </w:t>
      </w:r>
      <w:r>
        <w:rPr>
          <w:rFonts w:ascii="Arial;sans-serif" w:hAnsi="Arial;sans-serif"/>
          <w:b w:val="false"/>
          <w:color w:val="000000"/>
          <w:sz w:val="20"/>
          <w:shd w:fill="FFFFFF" w:val="clear"/>
        </w:rPr>
        <w:t>Velocity owns a portfolio of premium, iconic brands that are in a leading position in consumer awareness and affinity. These include the fast growing, super premium, and market disruptive brands like Ravin and King's Camo.</w:t>
      </w:r>
    </w:p>
    <w:p>
      <w:pPr>
        <w:pStyle w:val="TextBody"/>
        <w:bidi w:val="0"/>
        <w:spacing w:lineRule="auto" w:line="288" w:before="120" w:after="283"/>
        <w:jc w:val="both"/>
        <w:rPr/>
      </w:pPr>
      <w:r>
        <w:rPr>
          <w:rFonts w:ascii="Arial;sans-serif" w:hAnsi="Arial;sans-serif"/>
          <w:b/>
          <w:color w:val="000000"/>
          <w:sz w:val="20"/>
          <w:shd w:fill="FFFFFF" w:val="clear"/>
        </w:rPr>
        <w:t>Broad Coverage of Consumer Segments and Price Points -</w:t>
      </w:r>
      <w:r>
        <w:rPr>
          <w:color w:val="000000"/>
          <w:shd w:fill="FFFFFF" w:val="clear"/>
        </w:rPr>
        <w:t xml:space="preserve"> </w:t>
      </w:r>
      <w:r>
        <w:rPr>
          <w:rFonts w:ascii="Arial;sans-serif" w:hAnsi="Arial;sans-serif"/>
          <w:b w:val="false"/>
          <w:color w:val="000000"/>
          <w:sz w:val="20"/>
          <w:shd w:fill="FFFFFF" w:val="clear"/>
        </w:rPr>
        <w:t>Velocity’s portfolio of brands and product lines provides broad coverage of consumer segments and allows the business to position products with a combination of features and retail prices that appeal to all consumers in the category from recreational to avid.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Competitive Conditions</w:t>
      </w:r>
    </w:p>
    <w:p>
      <w:pPr>
        <w:pStyle w:val="TextBody"/>
        <w:bidi w:val="0"/>
        <w:spacing w:lineRule="auto" w:line="288" w:before="180" w:after="283"/>
        <w:jc w:val="both"/>
        <w:rPr/>
      </w:pPr>
      <w:r>
        <w:rPr>
          <w:rFonts w:ascii="Arial;sans-serif" w:hAnsi="Arial;sans-serif"/>
          <w:b/>
          <w:color w:val="000000"/>
          <w:sz w:val="20"/>
        </w:rPr>
        <w:t xml:space="preserve">Archery - </w:t>
      </w:r>
      <w:r>
        <w:rPr>
          <w:rFonts w:ascii="Arial;sans-serif" w:hAnsi="Arial;sans-serif"/>
          <w:b w:val="false"/>
          <w:color w:val="000000"/>
          <w:sz w:val="20"/>
        </w:rPr>
        <w:t>The archery market competes within a “good, better, best” spectrum. Velocity's CenterPoint product line, as a value-for-price, entry to mid-level brand, tends to lie between the “good” and “better” segments, competing with Barnett Outdoors, Killer Instinct, and PSE Technologies, among others. Consumers tend to make purchasing decisions based on brand awareness, reliability, customer service, and pricing. Although CenterPoint is a recent entry into the archery market, the brand has been able to outpace more established brands on the reliability, pricing, and service aspects to win market share. The Ravin product line has a higher price point and falls within the "best" segment for crossbows, competing with the higher end crossbows.</w:t>
      </w:r>
      <w:r>
        <w:rPr>
          <w:color w:val="000000"/>
        </w:rPr>
        <w:t xml:space="preserve"> </w:t>
      </w:r>
      <w:r>
        <w:rPr>
          <w:rFonts w:ascii="Arial;sans-serif" w:hAnsi="Arial;sans-serif"/>
          <w:b w:val="false"/>
          <w:color w:val="000000"/>
          <w:sz w:val="20"/>
        </w:rPr>
        <w:t>Ravin entered the market in 2017 and management believes it has since become a top selling brand as measured by retail dollars.</w:t>
      </w:r>
    </w:p>
    <w:p>
      <w:pPr>
        <w:pStyle w:val="TextBody"/>
        <w:bidi w:val="0"/>
        <w:spacing w:lineRule="auto" w:line="288" w:before="180" w:after="283"/>
        <w:jc w:val="left"/>
        <w:rPr/>
      </w:pPr>
      <w:r>
        <w:rPr>
          <w:rFonts w:ascii="Arial;sans-serif" w:hAnsi="Arial;sans-serif"/>
          <w:b/>
          <w:color w:val="000000"/>
          <w:sz w:val="20"/>
        </w:rPr>
        <w:t>Hunting Apparel</w:t>
      </w:r>
      <w:r>
        <w:rPr>
          <w:color w:val="000000"/>
        </w:rPr>
        <w:t xml:space="preserve"> – </w:t>
      </w:r>
      <w:r>
        <w:rPr>
          <w:rFonts w:ascii="Arial;sans-serif" w:hAnsi="Arial;sans-serif"/>
          <w:b w:val="false"/>
          <w:color w:val="000000"/>
          <w:sz w:val="20"/>
        </w:rPr>
        <w:t>The hunting apparel market operates within a "good, better, best" spectrum, where consumers prioritize factors such as performance, durability, pricing, and brand reputation when making purchasing decisions. King's Camo addresses these needs with three distinct product tiers: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Classic Series</w:t>
      </w:r>
      <w:r>
        <w:rPr>
          <w:rFonts w:ascii="Arial;sans-serif" w:hAnsi="Arial;sans-serif"/>
          <w:b w:val="false"/>
          <w:color w:val="000000"/>
          <w:sz w:val="20"/>
        </w:rPr>
        <w:t xml:space="preserve">: Positioned within the "good" segment, the Classic Series offers a value-driven option for budget-conscious hunters seeking functional gear without compromising on quality. </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Hunter Series</w:t>
      </w:r>
      <w:r>
        <w:rPr>
          <w:rFonts w:ascii="Arial;sans-serif" w:hAnsi="Arial;sans-serif"/>
          <w:b w:val="false"/>
          <w:color w:val="000000"/>
          <w:sz w:val="20"/>
        </w:rPr>
        <w:t xml:space="preserve">: As part of the "better" segment, the Hunter Series balances performance and price, offering versatility and durability for the everyday hunter. </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XKG Series</w:t>
      </w:r>
      <w:r>
        <w:rPr>
          <w:rFonts w:ascii="Arial;sans-serif" w:hAnsi="Arial;sans-serif"/>
          <w:b w:val="false"/>
          <w:color w:val="000000"/>
          <w:sz w:val="20"/>
        </w:rPr>
        <w:t xml:space="preserve">: Positioned in the "best" segment, the XKG Series is designed for serious hunters who demand premium performance, innovative materials, and technical advantages.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Although King's Camo faces competition from both long-established and niche brands, King's Camo has steadily grown market share by emphasizing versatility, affordability, and tailored solutions for hunters across skill levels and budgets. By maintaining competitive pricing, reliable performance, and strong customer relationships, King's Camo continues to deliver products that resonate with the hunting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Suppliers and Manufacturing </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Suppliers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Velocity’s supply chain has both a domestic and foreign sourced component, where sourcing decisions are based on manufacturing expertise, cost, lead time, demand requirements as well as other factors. Finished goods manufacturing is balanced between domestic and offshore, largely from the Asia Pacific region. We believe there is ample capacity throughout the value-chain to fully support growth objectives.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Manufacturing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Velocity's product manufacturing is based on a dual strategy of in-house manufacturing and strategic alliances with select subcontractors and vendors. Velocity conducts its domestic manufacturing operations in an 85,000 square foot leased facility in Superior, Wisconsin.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Intellectual Property</w:t>
      </w:r>
    </w:p>
    <w:p>
      <w:pPr>
        <w:pStyle w:val="TextBody"/>
        <w:bidi w:val="0"/>
        <w:spacing w:lineRule="auto" w:line="288" w:before="120" w:after="283"/>
        <w:jc w:val="both"/>
        <w:rPr/>
      </w:pPr>
      <w:r>
        <w:rPr>
          <w:rFonts w:ascii="Arial;sans-serif" w:hAnsi="Arial;sans-serif"/>
          <w:b w:val="false"/>
          <w:color w:val="000000"/>
          <w:sz w:val="20"/>
          <w:shd w:fill="FFFFFF" w:val="clear"/>
        </w:rPr>
        <w:t xml:space="preserve">Velocity Outdoor currently holds a portfolio of more than 20 registered trademarks and a patent portfolio of more than 40 issued patents </w:t>
      </w:r>
      <w:r>
        <w:rPr>
          <w:rFonts w:ascii="Arial;sans-serif" w:hAnsi="Arial;sans-serif"/>
          <w:b w:val="false"/>
          <w:color w:val="000000"/>
          <w:sz w:val="20"/>
        </w:rPr>
        <w:t>with many more pending. Management considers its patent holdings, trademarked brand names, preeminent name recognition, ability to design game changing innovative products with overt benefits to the end user, and marketing expertise to be its primary competitive advantages.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Crossbow hunting restrictions have become less stringent over the last several years. Since 2006, 13 states, including populous hunting states like Wisconsin, Pennsylvania, North Carolina, and recently Minnesota, have legalized crossbow hunting, while many others moved to relax restrictions through the opening of limited seasons or creation of exceptions to hunting restrictions for those with disabilities. Today only Oregon classifies crossbows as illegal but there is currently a proposal to allow crossbows during the all-weapon deer season in the eastern half of the state. Nearly 90% of all hunting permits are filed in states that currently allow crossbow hunting for at least part of the season. Although continued deregulation is expected, it likely will not be the largest driver for the crossbow category moving forward. Participation levels have steadily increased within the states. This, as well as consumer centric innovation that improves the hunting experience, will be the main drivers behind market growth.</w:t>
      </w:r>
    </w:p>
    <w:p>
      <w:pPr>
        <w:pStyle w:val="TextBody"/>
        <w:bidi w:val="0"/>
        <w:spacing w:lineRule="auto" w:line="276"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Seasonality</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Velocity typically has higher sales in the third quarter each year, reflecting the hunting season in most states.</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Human Capital</w:t>
      </w:r>
    </w:p>
    <w:p>
      <w:pPr>
        <w:pStyle w:val="TextBody"/>
        <w:bidi w:val="0"/>
        <w:spacing w:lineRule="auto" w:line="288" w:before="120" w:after="283"/>
        <w:jc w:val="both"/>
        <w:rPr/>
      </w:pPr>
      <w:r>
        <w:rPr>
          <w:rFonts w:ascii="Arial;sans-serif" w:hAnsi="Arial;sans-serif"/>
          <w:b w:val="false"/>
          <w:color w:val="000000"/>
          <w:sz w:val="20"/>
          <w:shd w:fill="FFFFFF" w:val="clear"/>
        </w:rPr>
        <w:t>Velocity had 163 employees on December 31, 2025, 145 full-time employees and 18 part-time employees, with all employees located within the United States.</w:t>
      </w:r>
      <w:r>
        <w:rPr>
          <w:color w:val="000000"/>
          <w:shd w:fill="FFFFFF" w:val="clear"/>
        </w:rPr>
        <w:t xml:space="preserve"> </w:t>
      </w:r>
      <w:r>
        <w:rPr>
          <w:rFonts w:ascii="Arial;sans-serif" w:hAnsi="Arial;sans-serif"/>
          <w:b w:val="false"/>
          <w:color w:val="000000"/>
          <w:sz w:val="20"/>
          <w:shd w:fill="FFFFFF" w:val="clear"/>
        </w:rPr>
        <w:t>Velocity’s labor force i</w:t>
      </w:r>
      <w:r>
        <w:rPr>
          <w:rFonts w:ascii="Arial;sans-serif" w:hAnsi="Arial;sans-serif"/>
          <w:b w:val="false"/>
          <w:color w:val="000000"/>
          <w:sz w:val="20"/>
        </w:rPr>
        <w:t>s non-union.</w:t>
      </w:r>
      <w:r>
        <w:rPr>
          <w:color w:val="000000"/>
        </w:rPr>
        <w:t xml:space="preserve"> </w:t>
      </w:r>
      <w:r>
        <w:rPr>
          <w:rFonts w:ascii="Arial;sans-serif" w:hAnsi="Arial;sans-serif"/>
          <w:b w:val="false"/>
          <w:color w:val="000000"/>
          <w:sz w:val="20"/>
        </w:rPr>
        <w:t>Management believes that Velocity has a good relationship with its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Lugano</w:t>
      </w:r>
    </w:p>
    <w:p>
      <w:pPr>
        <w:pStyle w:val="TextBody"/>
        <w:bidi w:val="0"/>
        <w:spacing w:lineRule="auto" w:line="288" w:before="120" w:after="283"/>
        <w:jc w:val="both"/>
        <w:rPr/>
      </w:pPr>
      <w:r>
        <w:rPr>
          <w:rFonts w:ascii="Arial;sans-serif" w:hAnsi="Arial;sans-serif"/>
          <w:b w:val="false"/>
          <w:color w:val="000000"/>
          <w:sz w:val="20"/>
          <w:shd w:fill="FFFFFF" w:val="clear"/>
        </w:rPr>
        <w:t xml:space="preserve">Lugano was an operating segment of the Company until the Lugano Bankruptcy on November 16, 2025, after which Lugano was deconsolidated. Lugano is a designer, manufacturer, and retailer of high-end jewelry. </w:t>
      </w:r>
      <w:r>
        <w:rPr>
          <w:rFonts w:ascii="Arial;sans-serif" w:hAnsi="Arial;sans-serif"/>
          <w:b w:val="false"/>
          <w:color w:val="000000"/>
          <w:sz w:val="20"/>
        </w:rPr>
        <w:t>Following the deconsolidation of Lugano, the Company no longer operates in the jewelry business. Refer to “</w:t>
      </w:r>
      <w:hyperlink w:anchor="i1c8fbf41abdb4a90b1f02abaa0b14bbd_2779">
        <w:r>
          <w:rPr>
            <w:rStyle w:val="InternetLink"/>
            <w:rFonts w:ascii="Arial;sans-serif" w:hAnsi="Arial;sans-serif"/>
            <w:b w:val="false"/>
            <w:color w:val="0000FF"/>
            <w:sz w:val="20"/>
            <w:u w:val="single"/>
          </w:rPr>
          <w:t>Note C – Deconsolidation</w:t>
        </w:r>
      </w:hyperlink>
      <w:r>
        <w:rPr>
          <w:color w:val="000000"/>
        </w:rPr>
        <w:t xml:space="preserve">” </w:t>
      </w:r>
      <w:r>
        <w:rPr>
          <w:rFonts w:ascii="Arial;sans-serif" w:hAnsi="Arial;sans-serif"/>
          <w:b w:val="false"/>
          <w:color w:val="000000"/>
          <w:sz w:val="20"/>
        </w:rPr>
        <w:t>to our Consolidated Financial Statements for additional information concerning Lugano.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Industrial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Altor Solutions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pPr>
      <w:r>
        <w:rPr>
          <w:rFonts w:ascii="Arial;sans-serif" w:hAnsi="Arial;sans-serif"/>
          <w:b w:val="false"/>
          <w:color w:val="000000"/>
          <w:sz w:val="20"/>
        </w:rPr>
        <w:t>Altor Solutions, headquartere</w:t>
      </w:r>
      <w:r>
        <w:rPr>
          <w:rFonts w:ascii="Arial;sans-serif" w:hAnsi="Arial;sans-serif"/>
          <w:b w:val="false"/>
          <w:color w:val="000000"/>
          <w:sz w:val="20"/>
          <w:shd w:fill="FFFFFF" w:val="clear"/>
        </w:rPr>
        <w:t>d in St. Louis, Missouri, is a dynamic, engineering-driven company whose goal is to design and produce superior products that help customers solv</w:t>
      </w:r>
      <w:r>
        <w:rPr>
          <w:rFonts w:ascii="Arial;sans-serif" w:hAnsi="Arial;sans-serif"/>
          <w:b w:val="false"/>
          <w:color w:val="000000"/>
          <w:sz w:val="20"/>
        </w:rPr>
        <w:t xml:space="preserve">e their needs for temperature-sensitive (cold chain) and protective packaging. Altor Solutions offers a diverse range of materials, including traditional plastics and sustainable, plant-based and paper-based options. Altor operates molding and fabricating facilities across North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America, creating a geographic footprint of strategically located manufacturing plants to efficiently serve national customer accounts.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History of Altor Solutions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Altor Solutions was founded in 1957 and initially operated as a single manufacturing plant in St. Louis, Missouri, producing rigid foam plastics. Through the years, Altor expanded its geographic footprint, adding additional molding plants to its operation, as well as growing through acquisitions. Altor also opened two greenfield plants in Mexico to better serve their multinational manufacturing customers. </w:t>
      </w:r>
    </w:p>
    <w:p>
      <w:pPr>
        <w:pStyle w:val="TextBody"/>
        <w:bidi w:val="0"/>
        <w:spacing w:lineRule="auto" w:line="288" w:before="180" w:after="283"/>
        <w:jc w:val="both"/>
        <w:rPr/>
      </w:pPr>
      <w:r>
        <w:rPr>
          <w:rFonts w:ascii="Arial;sans-serif" w:hAnsi="Arial;sans-serif"/>
          <w:b w:val="false"/>
          <w:color w:val="000000"/>
          <w:sz w:val="20"/>
          <w:shd w:fill="FFFFFF" w:val="clear"/>
        </w:rPr>
        <w:t>In July 2020, Altor acquired the assets of Polyfoam, a Massachusetts-based manufacturer of protective and temperature-sensitive packaging solutions for the medical, pharmaceutical, grocery and food industries, among others. In October 2021, Altor acquired Plymouth Foam, a designer and manufacturer of fabricated foam, custom protective packaging solutions and componentry. The company previously held a noncontrolling ownership interest in Rational Packaging.</w:t>
      </w:r>
      <w:r>
        <w:rPr>
          <w:color w:val="000000"/>
        </w:rPr>
        <w:t xml:space="preserve"> </w:t>
      </w:r>
      <w:r>
        <w:rPr>
          <w:rFonts w:ascii="Arial;sans-serif" w:hAnsi="Arial;sans-serif"/>
          <w:b w:val="false"/>
          <w:color w:val="000000"/>
          <w:sz w:val="20"/>
          <w:shd w:fill="FFFFFF" w:val="clear"/>
        </w:rPr>
        <w:t>In July 2024, Altor acquired the remaining ownership interest and obtained 100% ownership of Rational Packaging.</w:t>
      </w:r>
      <w:r>
        <w:rPr>
          <w:color w:val="000000"/>
        </w:rPr>
        <w:t xml:space="preserve"> </w:t>
      </w:r>
      <w:r>
        <w:rPr>
          <w:rFonts w:ascii="Arial;sans-serif" w:hAnsi="Arial;sans-serif"/>
          <w:b w:val="false"/>
          <w:color w:val="000000"/>
          <w:sz w:val="20"/>
          <w:shd w:fill="FFFFFF" w:val="clear"/>
        </w:rPr>
        <w:t xml:space="preserve">In October 2024, Altor acquired Lifoam, a leading manufacturer of temperature-controlled packaging products such as thermal shippers and refrigerant gel packs for the healthcare, commercial and retail industries. Today, Altor operates out of its corporate headquarters in St. Louis, Missouri and manufacturing facilities across North America.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purchased Altor on February 15, 2018.</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Industry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Altor competes in the broadly defined North American temperature-sensitive (cold chain) and protective packaging market which we estimate was approximately $8.0 billion in 2025, with foam materials making up the second largest component of this market. On the basis of product type, this market is segmented into rigid protective, flexible protective, and foam protective applications. Altor primarily competes in the North American foam protective packaging market which includes expanded polyurethane foams, loose fills, foam in place polyurethane, and molded foams products. Producers of molded foam products generally fall into two categories: block and shape. Block molders manufacture large blocks of EPS foam that are typically used as insulation in building products such as walls, roofs and floors and are closely tied to the construction market. Altor’s acquisition of Plymouth Foam entered the company into this category. Shape molding, the majority of Altor’s business, represents customized molded foam solutions for protective packaging applications, life science and perishable applications and internal parts and components for OEMs. Products made of EPS foam have broad applications across various end markets due to a unique combination of performance characteristics. The superior cushioning and barrier properties paired with insulating and hydrophobic properties make it an ideal lighter weight material for protective packaging of heavy or valuable goods as well as insulated shipping containers for temperature and moisture sensitive products.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Solutions, Customers and Distribution Channels</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Solutions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Altor Solutions designs and manufactures a broad array of protective, cold chain, and sustainable solutions, as well as OEM components and fabricated products, serving diverse end markets. Through the acquisitions of Lifoam Industries and Rational Packaging, Altor has strengthened its leading position in temperature-sensitive and protective packaging, with a broad offering of traditional and sustainable options.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Altor Solutions’ custom-engineered solutions fall into six major categories: protective packaging, cold chain solutions, refrigerants, OEM parts and componentry, fabricated solutions and sustainable packaging. These products are used across a variety of end markets including appliances, temperature-sensitive pharmaceuticals and food, HVAC, home and office furnishings and building products among others. </w:t>
      </w:r>
    </w:p>
    <w:p>
      <w:pPr>
        <w:pStyle w:val="TextBody"/>
        <w:bidi w:val="0"/>
        <w:spacing w:lineRule="auto" w:line="288" w:before="180" w:after="283"/>
        <w:jc w:val="both"/>
        <w:rPr/>
      </w:pPr>
      <w:r>
        <w:rPr>
          <w:rFonts w:ascii="Arial;sans-serif" w:hAnsi="Arial;sans-serif"/>
          <w:b/>
          <w:color w:val="000000"/>
          <w:sz w:val="20"/>
        </w:rPr>
        <w:t xml:space="preserve">Protective Packaging </w:t>
      </w:r>
      <w:r>
        <w:rPr>
          <w:rFonts w:ascii="Arial;sans-serif" w:hAnsi="Arial;sans-serif"/>
          <w:b w:val="false"/>
          <w:color w:val="000000"/>
          <w:sz w:val="20"/>
        </w:rPr>
        <w:t>- Engineered for mechanical and physical impact protection, including solutions for appliances, furniture, HVAC, and sensitive shipments. The acquisition of Rational Packaging expands Altor’s capabilities in curbside-recyclable, paper-based solutions, replacing traditional plastics while maintaining high performance.</w:t>
      </w:r>
    </w:p>
    <w:p>
      <w:pPr>
        <w:pStyle w:val="TextBody"/>
        <w:bidi w:val="0"/>
        <w:spacing w:lineRule="auto" w:line="288" w:before="180" w:after="283"/>
        <w:jc w:val="both"/>
        <w:rPr/>
      </w:pPr>
      <w:r>
        <w:rPr>
          <w:rFonts w:ascii="Arial;sans-serif" w:hAnsi="Arial;sans-serif"/>
          <w:b/>
          <w:color w:val="000000"/>
          <w:sz w:val="20"/>
        </w:rPr>
        <w:t>Cold Chain Solutions</w:t>
      </w:r>
      <w:r>
        <w:rPr>
          <w:color w:val="000000"/>
        </w:rPr>
        <w:t xml:space="preserve"> </w:t>
      </w:r>
      <w:r>
        <w:rPr>
          <w:rFonts w:ascii="Arial;sans-serif" w:hAnsi="Arial;sans-serif"/>
          <w:b w:val="false"/>
          <w:color w:val="000000"/>
          <w:sz w:val="20"/>
        </w:rPr>
        <w:t xml:space="preserve">- A core focus for Altor, including insulated shipping containers, gel packs, and the newly introduced Bioffex®, a starch bio-based molded cooler. These solutions support specialty pharmaceuticals, healthcare, and perishable food logistics, reinforcing Altor’s leading market position in single-use pharma parcel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shippers. The Altor Perishables segment enhances cold chain capabilities for perishable food distribution. These shippers can also be made in alternative materials, such as our BioEPS®, which is biodegradable to ASTM D5511 standards, and the previously-noted Bioffex®, a commercially compostable foam.</w:t>
      </w:r>
    </w:p>
    <w:p>
      <w:pPr>
        <w:pStyle w:val="TextBody"/>
        <w:bidi w:val="0"/>
        <w:spacing w:lineRule="auto" w:line="288" w:before="180" w:after="283"/>
        <w:jc w:val="both"/>
        <w:rPr/>
      </w:pPr>
      <w:r>
        <w:rPr>
          <w:rFonts w:ascii="Arial;sans-serif" w:hAnsi="Arial;sans-serif"/>
          <w:b/>
          <w:color w:val="000000"/>
          <w:sz w:val="20"/>
        </w:rPr>
        <w:t>Refrigerants</w:t>
      </w:r>
      <w:r>
        <w:rPr>
          <w:color w:val="000000"/>
        </w:rPr>
        <w:t xml:space="preserve"> </w:t>
      </w:r>
      <w:r>
        <w:rPr>
          <w:rFonts w:ascii="Arial;sans-serif" w:hAnsi="Arial;sans-serif"/>
          <w:b w:val="false"/>
          <w:color w:val="000000"/>
          <w:sz w:val="20"/>
        </w:rPr>
        <w:t>- Manufactured at six plants across the U.S., Altor offers a full range of phase change material (PCM) and water-based refrigerants in both bottles and pouches, meeting a variety of temperature requirements for pharmaceutical and food shipping applications.</w:t>
      </w:r>
    </w:p>
    <w:p>
      <w:pPr>
        <w:pStyle w:val="TextBody"/>
        <w:bidi w:val="0"/>
        <w:spacing w:lineRule="auto" w:line="288" w:before="180" w:after="283"/>
        <w:jc w:val="both"/>
        <w:rPr/>
      </w:pPr>
      <w:r>
        <w:rPr>
          <w:rFonts w:ascii="Arial;sans-serif" w:hAnsi="Arial;sans-serif"/>
          <w:b/>
          <w:color w:val="000000"/>
          <w:sz w:val="20"/>
        </w:rPr>
        <w:t>OEM Parts and Componentry</w:t>
      </w:r>
      <w:r>
        <w:rPr>
          <w:color w:val="000000"/>
        </w:rPr>
        <w:t xml:space="preserve"> </w:t>
      </w:r>
      <w:r>
        <w:rPr>
          <w:rFonts w:ascii="Arial;sans-serif" w:hAnsi="Arial;sans-serif"/>
          <w:b w:val="false"/>
          <w:color w:val="000000"/>
          <w:sz w:val="20"/>
        </w:rPr>
        <w:t>- Includes engineered solutions for automotive, appliances, and construction applications, ensuring lightweight, durable, and cost-effective alternatives to traditional materials.</w:t>
      </w:r>
    </w:p>
    <w:p>
      <w:pPr>
        <w:pStyle w:val="TextBody"/>
        <w:bidi w:val="0"/>
        <w:spacing w:lineRule="auto" w:line="288" w:before="180" w:after="283"/>
        <w:jc w:val="both"/>
        <w:rPr/>
      </w:pPr>
      <w:r>
        <w:rPr>
          <w:rFonts w:ascii="Arial;sans-serif" w:hAnsi="Arial;sans-serif"/>
          <w:b/>
          <w:color w:val="000000"/>
          <w:sz w:val="20"/>
        </w:rPr>
        <w:t>Fabricated Solutions</w:t>
      </w:r>
      <w:r>
        <w:rPr>
          <w:color w:val="000000"/>
        </w:rPr>
        <w:t xml:space="preserve"> </w:t>
      </w:r>
      <w:r>
        <w:rPr>
          <w:rFonts w:ascii="Arial;sans-serif" w:hAnsi="Arial;sans-serif"/>
          <w:b w:val="false"/>
          <w:color w:val="000000"/>
          <w:sz w:val="20"/>
        </w:rPr>
        <w:t>- Custom manufacturing through die cutting, saw cutting, and pressure cutting for medium to low-volume projects, catering to specialized industrial needs. Fabricated solutions represent a small portion of Altor overall net sales.</w:t>
      </w:r>
    </w:p>
    <w:p>
      <w:pPr>
        <w:pStyle w:val="TextBody"/>
        <w:bidi w:val="0"/>
        <w:spacing w:lineRule="auto" w:line="288" w:before="180" w:after="283"/>
        <w:jc w:val="both"/>
        <w:rPr/>
      </w:pPr>
      <w:r>
        <w:rPr>
          <w:rFonts w:ascii="Arial;sans-serif" w:hAnsi="Arial;sans-serif"/>
          <w:b/>
          <w:color w:val="000000"/>
          <w:sz w:val="20"/>
        </w:rPr>
        <w:t>Sustainable Packaging</w:t>
      </w:r>
      <w:r>
        <w:rPr>
          <w:color w:val="000000"/>
        </w:rPr>
        <w:t xml:space="preserve"> </w:t>
      </w:r>
      <w:r>
        <w:rPr>
          <w:rFonts w:ascii="Arial;sans-serif" w:hAnsi="Arial;sans-serif"/>
          <w:b w:val="false"/>
          <w:color w:val="000000"/>
          <w:sz w:val="20"/>
        </w:rPr>
        <w:t>- Altor leads in sustainability with solutions such as BioEPS®, a biodegradable solution as per ASTM D5511, and Bioffex, a plant-based molded packaging solution supporting circular economy initiatives. The introduction of BioEPS with up to 55% post-consumer recycled content demonstrates Altor’s commitment to reducing environmental impact. Altor also exhibits its commitment to circularity within its 19 plants by recycling its waste and offering post-consumer collection to be remolded into new parts.</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Services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Altor Solutions provides industry-leading services to enhance product integrity, performance validation, and regulatory compliance, many of which are done by our in-house ISTA Standard 20 Certified lab.</w:t>
      </w:r>
    </w:p>
    <w:p>
      <w:pPr>
        <w:pStyle w:val="TextBody"/>
        <w:bidi w:val="0"/>
        <w:spacing w:lineRule="auto" w:line="288" w:before="180" w:after="283"/>
        <w:jc w:val="both"/>
        <w:rPr/>
      </w:pPr>
      <w:r>
        <w:rPr>
          <w:rFonts w:ascii="Arial;sans-serif" w:hAnsi="Arial;sans-serif"/>
          <w:b/>
          <w:color w:val="000000"/>
          <w:sz w:val="20"/>
        </w:rPr>
        <w:t>Protective Packaging Services</w:t>
      </w:r>
      <w:r>
        <w:rPr>
          <w:color w:val="000000"/>
        </w:rPr>
        <w:t xml:space="preserve"> </w:t>
      </w:r>
      <w:r>
        <w:rPr>
          <w:rFonts w:ascii="Arial;sans-serif" w:hAnsi="Arial;sans-serif"/>
          <w:b w:val="false"/>
          <w:color w:val="000000"/>
          <w:sz w:val="20"/>
        </w:rPr>
        <w:t>- Impact, drop, and vibration testing to ensure optimized protection.</w:t>
      </w:r>
    </w:p>
    <w:p>
      <w:pPr>
        <w:pStyle w:val="TextBody"/>
        <w:bidi w:val="0"/>
        <w:spacing w:lineRule="auto" w:line="288" w:before="180" w:after="283"/>
        <w:jc w:val="both"/>
        <w:rPr/>
      </w:pPr>
      <w:r>
        <w:rPr>
          <w:rFonts w:ascii="Arial;sans-serif" w:hAnsi="Arial;sans-serif"/>
          <w:b/>
          <w:color w:val="000000"/>
          <w:sz w:val="20"/>
        </w:rPr>
        <w:t>Cold Chain Services</w:t>
      </w:r>
      <w:r>
        <w:rPr>
          <w:color w:val="000000"/>
        </w:rPr>
        <w:t xml:space="preserve"> </w:t>
      </w:r>
      <w:r>
        <w:rPr>
          <w:rFonts w:ascii="Arial;sans-serif" w:hAnsi="Arial;sans-serif"/>
          <w:b w:val="false"/>
          <w:color w:val="000000"/>
          <w:sz w:val="20"/>
        </w:rPr>
        <w:t xml:space="preserve">- Thermal modeling, chamber testing, and qualification processes for temperature-controlled shipping solutions. </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Market Categories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Altor Solutions operates across four primary market categories:</w:t>
      </w:r>
    </w:p>
    <w:p>
      <w:pPr>
        <w:pStyle w:val="TextBody"/>
        <w:bidi w:val="0"/>
        <w:spacing w:lineRule="auto" w:line="288" w:before="180" w:after="283"/>
        <w:jc w:val="both"/>
        <w:rPr/>
      </w:pPr>
      <w:r>
        <w:rPr>
          <w:rFonts w:ascii="Arial;sans-serif" w:hAnsi="Arial;sans-serif"/>
          <w:b/>
          <w:color w:val="000000"/>
          <w:sz w:val="20"/>
        </w:rPr>
        <w:t>Altor Life Sciences</w:t>
      </w:r>
      <w:r>
        <w:rPr>
          <w:color w:val="000000"/>
        </w:rPr>
        <w:t xml:space="preserve"> – </w:t>
      </w:r>
      <w:r>
        <w:rPr>
          <w:rFonts w:ascii="Arial;sans-serif" w:hAnsi="Arial;sans-serif"/>
          <w:b w:val="false"/>
          <w:color w:val="000000"/>
          <w:sz w:val="20"/>
        </w:rPr>
        <w:t>This category is focused on cold chain solutions for specialty pharmaceuticals and healthcare applications.</w:t>
      </w:r>
    </w:p>
    <w:p>
      <w:pPr>
        <w:pStyle w:val="TextBody"/>
        <w:bidi w:val="0"/>
        <w:spacing w:lineRule="auto" w:line="288" w:before="180" w:after="283"/>
        <w:jc w:val="both"/>
        <w:rPr/>
      </w:pPr>
      <w:r>
        <w:rPr>
          <w:rFonts w:ascii="Arial;sans-serif" w:hAnsi="Arial;sans-serif"/>
          <w:b/>
          <w:color w:val="000000"/>
          <w:sz w:val="20"/>
        </w:rPr>
        <w:t>Altor Industrial</w:t>
      </w:r>
      <w:r>
        <w:rPr>
          <w:color w:val="000000"/>
        </w:rPr>
        <w:t xml:space="preserve"> – </w:t>
      </w:r>
      <w:r>
        <w:rPr>
          <w:rFonts w:ascii="Arial;sans-serif" w:hAnsi="Arial;sans-serif"/>
          <w:b w:val="false"/>
          <w:color w:val="000000"/>
          <w:sz w:val="20"/>
        </w:rPr>
        <w:t>Encompassing appliances, HVAC, furniture, construction, and other industrial applications, primarily serving protective packaging needs.</w:t>
      </w:r>
    </w:p>
    <w:p>
      <w:pPr>
        <w:pStyle w:val="TextBody"/>
        <w:bidi w:val="0"/>
        <w:spacing w:lineRule="auto" w:line="288" w:before="180" w:after="283"/>
        <w:jc w:val="both"/>
        <w:rPr/>
      </w:pPr>
      <w:r>
        <w:rPr>
          <w:rFonts w:ascii="Arial;sans-serif" w:hAnsi="Arial;sans-serif"/>
          <w:b/>
          <w:color w:val="000000"/>
          <w:sz w:val="20"/>
        </w:rPr>
        <w:t>Altor Perishables</w:t>
      </w:r>
      <w:r>
        <w:rPr>
          <w:color w:val="000000"/>
        </w:rPr>
        <w:t xml:space="preserve"> – </w:t>
      </w:r>
      <w:r>
        <w:rPr>
          <w:rFonts w:ascii="Arial;sans-serif" w:hAnsi="Arial;sans-serif"/>
          <w:b w:val="false"/>
          <w:color w:val="000000"/>
          <w:sz w:val="20"/>
        </w:rPr>
        <w:t>Providing innovative cold chain solutions for seafood, meat, perishable and specialty foods, and grocery logistics.</w:t>
      </w:r>
    </w:p>
    <w:p>
      <w:pPr>
        <w:pStyle w:val="TextBody"/>
        <w:bidi w:val="0"/>
        <w:spacing w:lineRule="auto" w:line="288" w:before="180" w:after="283"/>
        <w:jc w:val="both"/>
        <w:rPr/>
      </w:pPr>
      <w:r>
        <w:rPr>
          <w:rFonts w:ascii="Arial;sans-serif" w:hAnsi="Arial;sans-serif"/>
          <w:b/>
          <w:color w:val="000000"/>
          <w:sz w:val="20"/>
        </w:rPr>
        <w:t>Retail</w:t>
      </w:r>
      <w:r>
        <w:rPr>
          <w:color w:val="000000"/>
        </w:rPr>
        <w:t xml:space="preserve"> – </w:t>
      </w:r>
      <w:r>
        <w:rPr>
          <w:rFonts w:ascii="Arial;sans-serif" w:hAnsi="Arial;sans-serif"/>
          <w:b w:val="false"/>
          <w:color w:val="000000"/>
          <w:sz w:val="20"/>
        </w:rPr>
        <w:t>Specializing in retail-driven temperature maintenance solutions, including reusable and single-use parcel shipping coolers and refrigerants.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Customers and Distribution Channels</w:t>
      </w:r>
    </w:p>
    <w:p>
      <w:pPr>
        <w:pStyle w:val="TextBody"/>
        <w:bidi w:val="0"/>
        <w:spacing w:lineRule="auto" w:line="288" w:before="120" w:after="283"/>
        <w:jc w:val="both"/>
        <w:rPr/>
      </w:pPr>
      <w:r>
        <w:rPr>
          <w:rFonts w:ascii="Arial;sans-serif" w:hAnsi="Arial;sans-serif"/>
          <w:b w:val="false"/>
          <w:color w:val="000000"/>
          <w:sz w:val="20"/>
          <w:shd w:fill="FFFFFF" w:val="clear"/>
        </w:rPr>
        <w:t xml:space="preserve">Altor Solutions serves over 1,000 customers across diverse industries. With its leading position in single-use pharmaceutical parcel shippers, Altor remains at the forefront of temperature-sensitive logistics. Products are distributed through direct-to-customer channels and strategic distributor partnerships, ensuring flexibility and value optimization. Altor has maintained long-standing relationships with its top customers, often averaging ten or more years. Altor's three largest customers comprised approximately 16%, 21%, and 32% of net sales in the years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and 2023, respectively.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Altor Solutions often maintains resin cost pass-through provisions with its contracted customers, allowing it to pass-through material resin price changes. Resin constitutes its primary raw material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sets forth Altor's customer breakdown by sector for the fiscal years ended December 31, 2025, 2024 and 2023:</w:t>
      </w:r>
    </w:p>
    <w:p>
      <w:pPr>
        <w:pStyle w:val="TextBody"/>
        <w:bidi w:val="0"/>
        <w:spacing w:before="0" w:after="0"/>
        <w:jc w:val="both"/>
        <w:rPr/>
      </w:pPr>
      <w:r>
        <w:rPr/>
      </w:r>
    </w:p>
    <w:tbl>
      <w:tblPr>
        <w:tblW w:w="4725" w:type="dxa"/>
        <w:jc w:val="center"/>
        <w:tblInd w:w="0" w:type="dxa"/>
        <w:tblLayout w:type="fixed"/>
        <w:tblCellMar>
          <w:top w:w="28" w:type="dxa"/>
          <w:left w:w="28" w:type="dxa"/>
          <w:bottom w:w="28" w:type="dxa"/>
          <w:right w:w="28" w:type="dxa"/>
        </w:tblCellMar>
      </w:tblPr>
      <w:tblGrid>
        <w:gridCol w:w="439"/>
        <w:gridCol w:w="386"/>
        <w:gridCol w:w="389"/>
        <w:gridCol w:w="109"/>
        <w:gridCol w:w="109"/>
        <w:gridCol w:w="109"/>
        <w:gridCol w:w="255"/>
        <w:gridCol w:w="256"/>
        <w:gridCol w:w="296"/>
        <w:gridCol w:w="119"/>
        <w:gridCol w:w="119"/>
        <w:gridCol w:w="119"/>
        <w:gridCol w:w="255"/>
        <w:gridCol w:w="256"/>
        <w:gridCol w:w="296"/>
        <w:gridCol w:w="119"/>
        <w:gridCol w:w="119"/>
        <w:gridCol w:w="119"/>
        <w:gridCol w:w="255"/>
        <w:gridCol w:w="256"/>
        <w:gridCol w:w="345"/>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Industrial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Perishables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Strategies and Competitive Strengths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Business Strategies</w:t>
      </w:r>
    </w:p>
    <w:p>
      <w:pPr>
        <w:pStyle w:val="TextBody"/>
        <w:bidi w:val="0"/>
        <w:spacing w:lineRule="auto" w:line="288" w:before="120" w:after="283"/>
        <w:jc w:val="both"/>
        <w:rPr/>
      </w:pPr>
      <w:r>
        <w:rPr>
          <w:rFonts w:ascii="Arial;sans-serif" w:hAnsi="Arial;sans-serif"/>
          <w:b/>
          <w:color w:val="000000"/>
          <w:sz w:val="20"/>
        </w:rPr>
        <w:t>Defend Market Position</w:t>
      </w:r>
      <w:r>
        <w:rPr>
          <w:color w:val="000000"/>
        </w:rPr>
        <w:t xml:space="preserve"> </w:t>
      </w:r>
      <w:r>
        <w:rPr>
          <w:rFonts w:ascii="Arial;sans-serif" w:hAnsi="Arial;sans-serif"/>
          <w:b w:val="false"/>
          <w:color w:val="000000"/>
          <w:sz w:val="20"/>
        </w:rPr>
        <w:t xml:space="preserve">- As a leading supplier of custom molded foam solutions, management believes Altor enjoys strong brand awareness and a reputation for superior quality and service in the industry. In a market characterized by fragmented competition, Altor will continue to focus on providing a best-in-class suite of products and capabilities. </w:t>
      </w:r>
    </w:p>
    <w:p>
      <w:pPr>
        <w:pStyle w:val="TextBody"/>
        <w:bidi w:val="0"/>
        <w:spacing w:lineRule="auto" w:line="288" w:before="180" w:after="283"/>
        <w:jc w:val="both"/>
        <w:rPr/>
      </w:pPr>
      <w:r>
        <w:rPr>
          <w:rFonts w:ascii="Arial;sans-serif" w:hAnsi="Arial;sans-serif"/>
          <w:b/>
          <w:color w:val="000000"/>
          <w:sz w:val="20"/>
        </w:rPr>
        <w:t xml:space="preserve">Remain Committed to Customers </w:t>
      </w:r>
      <w:r>
        <w:rPr>
          <w:rFonts w:ascii="Arial;sans-serif" w:hAnsi="Arial;sans-serif"/>
          <w:b w:val="false"/>
          <w:color w:val="000000"/>
          <w:sz w:val="20"/>
        </w:rPr>
        <w:t xml:space="preserve">- Functional and error-free products are key considerations for its customers and Altor has maintained a disciplined approach to ensure its products meet the highest standard of quality. As a result of this strong quality assurance, Altor has had little customer attrition. </w:t>
      </w:r>
    </w:p>
    <w:p>
      <w:pPr>
        <w:pStyle w:val="TextBody"/>
        <w:bidi w:val="0"/>
        <w:spacing w:lineRule="auto" w:line="288" w:before="180" w:after="283"/>
        <w:jc w:val="both"/>
        <w:rPr/>
      </w:pPr>
      <w:r>
        <w:rPr>
          <w:rFonts w:ascii="Arial;sans-serif" w:hAnsi="Arial;sans-serif"/>
          <w:b/>
          <w:color w:val="000000"/>
          <w:sz w:val="20"/>
        </w:rPr>
        <w:t>Pursue Selective Acquisitions</w:t>
      </w:r>
      <w:r>
        <w:rPr>
          <w:color w:val="000000"/>
        </w:rPr>
        <w:t xml:space="preserve"> </w:t>
      </w:r>
      <w:r>
        <w:rPr>
          <w:rFonts w:ascii="Arial;sans-serif" w:hAnsi="Arial;sans-serif"/>
          <w:b w:val="false"/>
          <w:color w:val="000000"/>
          <w:sz w:val="20"/>
        </w:rPr>
        <w:t>- Altor Solutions views acquisitions as a potentially attractive means to expand its national footprint or broaden its current product offering. Management will continue to seek acquisitions of regional foam molders and other packaging suppliers where sales and operational efficiencies can be realized, and to diversify into packaging products other than molded foam.</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Competitive Strengths</w:t>
      </w:r>
    </w:p>
    <w:p>
      <w:pPr>
        <w:pStyle w:val="TextBody"/>
        <w:bidi w:val="0"/>
        <w:spacing w:lineRule="auto" w:line="288" w:before="120" w:after="283"/>
        <w:jc w:val="both"/>
        <w:rPr/>
      </w:pPr>
      <w:r>
        <w:rPr>
          <w:rFonts w:ascii="Arial;sans-serif" w:hAnsi="Arial;sans-serif"/>
          <w:b/>
          <w:color w:val="000000"/>
          <w:sz w:val="20"/>
        </w:rPr>
        <w:t>National Scale and Proximity to Customers</w:t>
      </w:r>
      <w:r>
        <w:rPr>
          <w:color w:val="000000"/>
        </w:rPr>
        <w:t xml:space="preserve"> </w:t>
      </w:r>
      <w:r>
        <w:rPr>
          <w:rFonts w:ascii="Arial;sans-serif" w:hAnsi="Arial;sans-serif"/>
          <w:b w:val="false"/>
          <w:color w:val="000000"/>
          <w:sz w:val="20"/>
        </w:rPr>
        <w:t xml:space="preserve">- Altor Solutions maintains a footprint of manufacturing locations across North America. Facilities are strategically located near customers’ production locations enabling Altor to be one of only a few foam molders capable of serving large national accounts. Due to foam’s high volume-to-weight ratio, foam manufacturers generally confine product shipments to a 300-mile radius in which shipping costs are economically viable. Thus, Altor is uniquely positioned to provide multi-facility support to its largest customers who often have multiple manufacturing or distribution locations. </w:t>
      </w:r>
    </w:p>
    <w:p>
      <w:pPr>
        <w:pStyle w:val="TextBody"/>
        <w:bidi w:val="0"/>
        <w:spacing w:lineRule="auto" w:line="288" w:before="180" w:after="283"/>
        <w:jc w:val="both"/>
        <w:rPr/>
      </w:pPr>
      <w:r>
        <w:rPr>
          <w:rFonts w:ascii="Arial;sans-serif" w:hAnsi="Arial;sans-serif"/>
          <w:b/>
          <w:color w:val="000000"/>
          <w:sz w:val="20"/>
        </w:rPr>
        <w:t>Engineering and Design Capabilities</w:t>
      </w:r>
      <w:r>
        <w:rPr>
          <w:color w:val="000000"/>
        </w:rPr>
        <w:t xml:space="preserve"> </w:t>
      </w:r>
      <w:r>
        <w:rPr>
          <w:rFonts w:ascii="Arial;sans-serif" w:hAnsi="Arial;sans-serif"/>
          <w:b w:val="false"/>
          <w:color w:val="000000"/>
          <w:sz w:val="20"/>
        </w:rPr>
        <w:t xml:space="preserve">- Altor Solutions has three coordinated design and testing centers with experienced packaging and mechanical engineers who work closely with customers to support packaging design needs. Engineering services include optimizing molds to meet customer needs and address complex design requirements, identifying pre-manufacturing challenges, solving post-manufacturing issues, improving packaging processes and laboratory testing final designs. Early customer involvement and collaboration to develop packaging solutions has resulted in increased project win rates and better visibility into product development pipelines.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Competitive Dynamics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Customer qualification and tooling considerations</w:t>
      </w:r>
      <w:r>
        <w:rPr>
          <w:rFonts w:ascii="Arial;sans-serif" w:hAnsi="Arial;sans-serif"/>
          <w:b w:val="false"/>
          <w:color w:val="000000"/>
          <w:sz w:val="20"/>
        </w:rPr>
        <w:t>. In certain applications, customers may use molds and tooling designed for specific manufacturing equipment, and changes in suppliers may require requalification, retooling or additional testing depending on the application and customer requirements. As a result, customer purchasing decisions may consider factors such as quality, service levels, lead times, and total delivered cost, in addition to price.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Cost considerations and performance requirements</w:t>
      </w:r>
      <w:r>
        <w:rPr>
          <w:rFonts w:ascii="Arial;sans-serif" w:hAnsi="Arial;sans-serif"/>
          <w:b w:val="false"/>
          <w:color w:val="000000"/>
          <w:sz w:val="20"/>
        </w:rPr>
        <w:t>. In certain protective and cold chain applications, customers may require testing and qualification to validate that packaging solutions meet performance requirements. The time and expense associated with testing and qualification can vary by end market and application.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Manufacturing capabilities and investment</w:t>
      </w:r>
      <w:r>
        <w:rPr>
          <w:rFonts w:ascii="Arial;sans-serif" w:hAnsi="Arial;sans-serif"/>
          <w:b w:val="false"/>
          <w:color w:val="000000"/>
          <w:sz w:val="20"/>
        </w:rPr>
        <w:t>. The molded foam industry requires specialized manufacturing equipment and process know-how. Establishing or expanding manufacturing capacity may require capital investment and time to achieve required performance and quality standards, and the timing and cost to do so can vary based on the products and end markets served.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Suppliers and Manufacturing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primary raw materials that are used in production are plastic resins, such as EPS, expandable polypropylene ("EPP") and expandable polyethylene ("EPE"). In addition to plastic resins, Altor also purchases fabricating material including blocks of EPE and EPP foam, polyethylene and urethane, as well as other packaging materials including corrugate, boxes, paperboard, tape and plastic film. Altor purchases its materials from a combination of domestic and foreign suppliers and has maintained strong relationships with key resin suppliers for over 30 years. Adequate amounts of all raw materials have been available in the past, and Altor's management believes this will continue in the foreseeable future.</w:t>
      </w:r>
    </w:p>
    <w:p>
      <w:pPr>
        <w:pStyle w:val="TextBody"/>
        <w:bidi w:val="0"/>
        <w:spacing w:lineRule="auto" w:line="288" w:before="120" w:after="283"/>
        <w:jc w:val="both"/>
        <w:rPr/>
      </w:pPr>
      <w:r>
        <w:rPr>
          <w:rFonts w:ascii="Arial;sans-serif" w:hAnsi="Arial;sans-serif"/>
          <w:b w:val="false"/>
          <w:color w:val="000000"/>
          <w:sz w:val="20"/>
        </w:rPr>
        <w:t>Altor m</w:t>
      </w:r>
      <w:r>
        <w:rPr>
          <w:rFonts w:ascii="Arial;sans-serif" w:hAnsi="Arial;sans-serif"/>
          <w:b w:val="false"/>
          <w:color w:val="000000"/>
          <w:sz w:val="20"/>
          <w:shd w:fill="FFFFFF" w:val="clear"/>
        </w:rPr>
        <w:t>aintains 19 manufacturing facilities across North America with 17 located in the U.S. and 2 in Mexi</w:t>
      </w:r>
      <w:r>
        <w:rPr>
          <w:rFonts w:ascii="Arial;sans-serif" w:hAnsi="Arial;sans-serif"/>
          <w:b w:val="false"/>
          <w:color w:val="000000"/>
          <w:sz w:val="20"/>
        </w:rPr>
        <w:t>co, as well as one non-manufacturing corporate headquarters. Given the high volume, low density nature of foam, Altor's manufacturing facilities are strategically located near its largest customers’ production locations to minimize freight and logistics costs. Altor's geographic footprint covers a large portion of the continental U.S. and Mexico. Each plant has a warehouse space for raw materials, supplies and finished goods. Several plants also use third-party warehousing to store stocking inventory. Altor uses common carriers to deliver finished product and in certain cases, some customers pick up directly from the plants.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Altor's manufacturing operations and facilities are subject to federal, state and local environmental and occupational health and safety laws and regulations. These include laws and regulations governing air emissions, wastewater discharge and the storage and handling of chemicals and hazardous materials.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Human Capital</w:t>
      </w:r>
    </w:p>
    <w:p>
      <w:pPr>
        <w:pStyle w:val="TextBody"/>
        <w:bidi w:val="0"/>
        <w:spacing w:lineRule="auto" w:line="288" w:before="120" w:after="283"/>
        <w:jc w:val="both"/>
        <w:rPr/>
      </w:pPr>
      <w:r>
        <w:rPr>
          <w:rFonts w:ascii="Arial;sans-serif" w:hAnsi="Arial;sans-serif"/>
          <w:b w:val="false"/>
          <w:color w:val="000000"/>
          <w:sz w:val="20"/>
        </w:rPr>
        <w:t xml:space="preserve">As of December 31, 2025, Altor </w:t>
      </w:r>
      <w:r>
        <w:rPr>
          <w:rFonts w:ascii="Arial;sans-serif" w:hAnsi="Arial;sans-serif"/>
          <w:b w:val="false"/>
          <w:color w:val="000000"/>
          <w:sz w:val="20"/>
          <w:shd w:fill="FFFFFF" w:val="clear"/>
        </w:rPr>
        <w:t>employed 994 full-time employees. None of Altor's U.S.-based employees are subject to collective bargaining agreements. Under Mexican Federal Labor Law, 31 employees at the two Mexican manufacturing facilities are unionized. Altor believes its relationship with its employees is go</w:t>
      </w:r>
      <w:r>
        <w:rPr>
          <w:rFonts w:ascii="Arial;sans-serif" w:hAnsi="Arial;sans-serif"/>
          <w:b w:val="false"/>
          <w:color w:val="000000"/>
          <w:sz w:val="20"/>
        </w:rPr>
        <w:t>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Arnold</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Headquartered in Rochester, New York, Arnold serves a variety of markets including aerospace and defense, general industrial, motorsport/transportation, oil and gas, medical, energy, semiconductor and advertising specialties. Over the course of more than 100 years, Arnold has successfully evolved and adapted its products, technologies, and manufacturing presence to meet the demands of current and emerging markets. Arnold has expanded globally and built strong relationships with its customers worldwide. As a result, Arnold provides its customers with new and innovative materials and solutions that empowers them to develop next generation technologies. Arnold is the largest and, we believe, the most technically advanced U.S. manufacturer of engineered magnetic systems. Arnold is one of two domestic producers to optimize, engineer and manufacture rare earth magnetic solutions. Arnold serves customers and generates revenues via four business units:</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PMAG</w:t>
      </w:r>
      <w:r>
        <w:rPr>
          <w:color w:val="000000"/>
        </w:rPr>
        <w:t xml:space="preserve"> </w:t>
      </w:r>
      <w:r>
        <w:rPr>
          <w:rFonts w:ascii="Arial;sans-serif" w:hAnsi="Arial;sans-serif"/>
          <w:b w:val="false"/>
          <w:color w:val="000000"/>
          <w:sz w:val="20"/>
        </w:rPr>
        <w:t>- Permanent Magnets and Assemblies Group ("PMAG")- Arnold’s high performance permanent magnets have a wide variety of applications, mainly used for rotating electrical machinery such as motor and generators. Industries served include aerospace and defense, energy exploration, industrial</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motorsport and medical.</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Electric Motors</w:t>
      </w:r>
      <w:r>
        <w:rPr>
          <w:color w:val="000000"/>
        </w:rPr>
        <w:t xml:space="preserve"> </w:t>
      </w:r>
      <w:r>
        <w:rPr>
          <w:rFonts w:ascii="Arial;sans-serif" w:hAnsi="Arial;sans-serif"/>
          <w:b w:val="false"/>
          <w:color w:val="000000"/>
          <w:sz w:val="20"/>
        </w:rPr>
        <w:t xml:space="preserve">- Low-to-mid volume AC induction, Switched Reluctance, and Brushless DC stators, rotors, and rotor shaft assemblies. Finished motors range from under 1kW through 1MW for aerospace and defense, industrial, energy, hybrid electric platforms and energy exploration. </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Precision Thin Metals</w:t>
      </w:r>
      <w:r>
        <w:rPr>
          <w:color w:val="000000"/>
        </w:rPr>
        <w:t xml:space="preserve"> </w:t>
      </w:r>
      <w:r>
        <w:rPr>
          <w:rFonts w:ascii="Arial;sans-serif" w:hAnsi="Arial;sans-serif"/>
          <w:b w:val="false"/>
          <w:color w:val="000000"/>
          <w:sz w:val="20"/>
        </w:rPr>
        <w:t xml:space="preserve">- Arnold's precision thin metals group ("Precision Thing Metals") produces thin and ultra-thin alloys that improve the power density electrical systems such as motors, generators, and transformers along with thin foils for other applications such as electromagnetic shielding, radio frequency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shielding, lightweight structures, and implantable structures. Industries served include aerospace and defense, industrial, energy exploration, and medical.</w:t>
      </w:r>
    </w:p>
    <w:p>
      <w:pPr>
        <w:pStyle w:val="TextBody"/>
        <w:bidi w:val="0"/>
        <w:spacing w:lineRule="auto" w:line="288" w:before="120" w:after="283"/>
        <w:ind w:left="0" w:right="0" w:hanging="360"/>
        <w:jc w:val="both"/>
        <w:rPr/>
      </w:pPr>
      <w:r>
        <w:rPr>
          <w:color w:val="000000"/>
        </w:rPr>
        <w:t>•</w:t>
      </w:r>
      <w:r>
        <w:rPr>
          <w:rFonts w:ascii="Arial;sans-serif" w:hAnsi="Arial;sans-serif"/>
          <w:b/>
          <w:color w:val="000000"/>
          <w:sz w:val="20"/>
        </w:rPr>
        <w:t>Flexmag</w:t>
      </w:r>
      <w:r>
        <w:rPr>
          <w:color w:val="000000"/>
        </w:rPr>
        <w:t xml:space="preserve">™ </w:t>
      </w:r>
      <w:r>
        <w:rPr>
          <w:rFonts w:ascii="Arial;sans-serif" w:hAnsi="Arial;sans-serif"/>
          <w:b w:val="false"/>
          <w:color w:val="000000"/>
          <w:sz w:val="20"/>
        </w:rPr>
        <w:t xml:space="preserve">- High quality flexible magnetic sheet and strip, Flexmag products not only are magnetic but their processing capabilities allow for loading of a variety of materials into their flexible sheet products. Industries served include protective magnetic barriers, electromagnetic shielding, radio frequency shielding, advertising specialties, industrial, medical, and transportation.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Arnold operates 11 manufacturing facilities worldwide but functions as One Arnold. The facilities are split under the four business units shown above along with prototyping and advanced technology development through its Technology Center. In 2024, Arnold consolidated two facilities in the United States and opened a new facility in Thailand. These facilities have significantly upgraded Arnold’s manufacturing capabilities.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History of Arnold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Arnold was founded in 1895 as the Arnold Electric Power Station Company. Arnold began producing AlNiCo permanent magnets in its Marengo, Illinois facility in the mid-1930s. In 1970, Arnold acquired Ogallala Electronics, which manufactured high power coils and electromagnets. During the following decades, Arnold made a series of acquisitions and partnerships to expand its portfolio and geographic reach. </w:t>
      </w:r>
    </w:p>
    <w:p>
      <w:pPr>
        <w:pStyle w:val="TextBody"/>
        <w:bidi w:val="0"/>
        <w:spacing w:lineRule="auto" w:line="288" w:before="180" w:after="283"/>
        <w:jc w:val="both"/>
        <w:rPr/>
      </w:pPr>
      <w:r>
        <w:rPr>
          <w:rFonts w:ascii="Arial;sans-serif" w:hAnsi="Arial;sans-serif"/>
          <w:b w:val="false"/>
          <w:color w:val="000000"/>
          <w:sz w:val="20"/>
        </w:rPr>
        <w:t>In February 2007, Arnold Magnetic Technologies completed the acquisition of Precision Magnetics, which expanded its geographic footprint to include operations in Sheffield, England and Lupfig, Switzerland.  In addition, Arnold’s Lupfig, Switzerland operation is a joint venture partner with a Chinese rare earth producer. The joint venture manufactures RECOMA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Samarium Cobalt blocks for select markets. In 2016, Arnold developed and launched the world’s strongest Samarium Cobalt magnet grade, RECOMA 35E, that enables significant opportunity for increased performance in smaller packages, and at higher temperatures, with no trade off in stability.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2021, Arnold acquired Ramco Electric Motors, Inc. ("Ramco"), a provider of custom electric motor solutions for general industrial, aerospace and defense and oil and gas end markets. Ramco's complementary product portfolio allows Arnold to offer more comprehensive, turn-key solutions to their customers.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purchased a majority interest in Arnold on March 5, 2012.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Industry</w:t>
      </w:r>
    </w:p>
    <w:p>
      <w:pPr>
        <w:pStyle w:val="TextBody"/>
        <w:bidi w:val="0"/>
        <w:spacing w:lineRule="auto" w:line="288" w:before="180" w:after="283"/>
        <w:jc w:val="both"/>
        <w:rPr/>
      </w:pPr>
      <w:r>
        <w:rPr>
          <w:rFonts w:ascii="Arial;sans-serif" w:hAnsi="Arial;sans-serif"/>
          <w:b/>
          <w:color w:val="000000"/>
          <w:sz w:val="20"/>
        </w:rPr>
        <w:t xml:space="preserve">Permanent Magnets - </w:t>
      </w:r>
      <w:r>
        <w:rPr>
          <w:rFonts w:ascii="Arial;sans-serif" w:hAnsi="Arial;sans-serif"/>
          <w:b w:val="false"/>
          <w:color w:val="000000"/>
          <w:sz w:val="20"/>
        </w:rPr>
        <w:t>There exists a broad range of permanent magnets which include Rare Earth Magnets and magnets made from specialty magnetic alloys. Magnets produced from these materials may be sliced, ground, coated and magnetized to customer requirements. Those industry players with the broadest portfolio of these magnets, such as Arnold, maintain a significant competitive advantage over competitors as they are able to offer one-stop shop capabilities to customers. Management believes that being a manufacturer of these magnets, subject to patent rights, is another critical market advantage.</w:t>
      </w:r>
    </w:p>
    <w:p>
      <w:pPr>
        <w:pStyle w:val="TextBody"/>
        <w:bidi w:val="0"/>
        <w:spacing w:lineRule="auto" w:line="288" w:before="180" w:after="283"/>
        <w:jc w:val="both"/>
        <w:rPr/>
      </w:pPr>
      <w:r>
        <w:rPr>
          <w:rFonts w:ascii="Arial;sans-serif" w:hAnsi="Arial;sans-serif"/>
          <w:b w:val="false"/>
          <w:i/>
          <w:color w:val="000000"/>
          <w:sz w:val="20"/>
        </w:rPr>
        <w:t>Magnetic Assemblies -</w:t>
      </w:r>
      <w:r>
        <w:rPr>
          <w:color w:val="000000"/>
        </w:rPr>
        <w:t xml:space="preserve"> </w:t>
      </w:r>
      <w:r>
        <w:rPr>
          <w:rFonts w:ascii="Arial;sans-serif" w:hAnsi="Arial;sans-serif"/>
          <w:b w:val="false"/>
          <w:color w:val="000000"/>
          <w:sz w:val="20"/>
        </w:rPr>
        <w:t>Arnold offers complex, customized value added magnetic assemblies. These assemblies are used in devices such as motors, generators, beam focusing arrays, sensors, and solenoid actuators. Magnetic assembly production capabilities include machined metal components, magnet fabrication, machining, encapsulation or sleeving, balancing, and field mapping.</w:t>
      </w:r>
    </w:p>
    <w:p>
      <w:pPr>
        <w:pStyle w:val="TextBody"/>
        <w:bidi w:val="0"/>
        <w:spacing w:lineRule="auto" w:line="288" w:before="180" w:after="283"/>
        <w:jc w:val="both"/>
        <w:rPr/>
      </w:pPr>
      <w:r>
        <w:rPr>
          <w:rFonts w:ascii="Arial;sans-serif" w:hAnsi="Arial;sans-serif"/>
          <w:b/>
          <w:color w:val="000000"/>
          <w:sz w:val="20"/>
        </w:rPr>
        <w:t>Electric Motors</w:t>
      </w:r>
      <w:r>
        <w:rPr>
          <w:color w:val="000000"/>
        </w:rPr>
        <w:t xml:space="preserve"> – </w:t>
      </w:r>
      <w:r>
        <w:rPr>
          <w:rFonts w:ascii="Arial;sans-serif" w:hAnsi="Arial;sans-serif"/>
          <w:b w:val="false"/>
          <w:color w:val="000000"/>
          <w:sz w:val="20"/>
        </w:rPr>
        <w:t xml:space="preserve">There exists a global demand for electric motors. Arnold is a manufacturer for low-to-mid volume AC induction, Switched Reluctance, and Brushless DC stators, rotors, and rotor shaft assemblies. Arnold works with companies of all sizes: from small businesses and medium-sized companies all the way to Fortune 500s. The industry exists wherever electrical energy needs conversion to mechanical use. </w:t>
      </w:r>
    </w:p>
    <w:p>
      <w:pPr>
        <w:pStyle w:val="TextBody"/>
        <w:bidi w:val="0"/>
        <w:spacing w:lineRule="auto" w:line="288" w:before="180" w:after="283"/>
        <w:jc w:val="both"/>
        <w:rPr/>
      </w:pPr>
      <w:r>
        <w:rPr>
          <w:rFonts w:ascii="Arial;sans-serif" w:hAnsi="Arial;sans-serif"/>
          <w:b/>
          <w:color w:val="000000"/>
          <w:sz w:val="20"/>
        </w:rPr>
        <w:t xml:space="preserve">Precision Strip and Foil - </w:t>
      </w:r>
      <w:r>
        <w:rPr>
          <w:rFonts w:ascii="Arial;sans-serif" w:hAnsi="Arial;sans-serif"/>
          <w:b w:val="false"/>
          <w:color w:val="000000"/>
          <w:sz w:val="20"/>
        </w:rPr>
        <w:t xml:space="preserve">Precision rolled thin metal foil products are manufactured from a wide range of materials for use in applications such as transformers, motor laminations, lightweight structures, shielding, and composite structures. They have the unique processing capability to roll foils as thin as 2.5 microns while providing critical heat treatment maintaining competitive material properties. Once completed the product is coated if necessary and is slit to the application width. </w:t>
      </w:r>
    </w:p>
    <w:p>
      <w:pPr>
        <w:pStyle w:val="TextBody"/>
        <w:bidi w:val="0"/>
        <w:spacing w:lineRule="auto" w:line="288" w:before="180" w:after="283"/>
        <w:jc w:val="both"/>
        <w:rPr/>
      </w:pPr>
      <w:r>
        <w:rPr>
          <w:rFonts w:ascii="Arial;sans-serif" w:hAnsi="Arial;sans-serif"/>
          <w:b/>
          <w:color w:val="000000"/>
          <w:sz w:val="20"/>
        </w:rPr>
        <w:t xml:space="preserve">Flexible Magnets - </w:t>
      </w:r>
      <w:r>
        <w:rPr>
          <w:rFonts w:ascii="Arial;sans-serif" w:hAnsi="Arial;sans-serif"/>
          <w:b w:val="false"/>
          <w:color w:val="000000"/>
          <w:sz w:val="20"/>
        </w:rPr>
        <w:t xml:space="preserve">Flexible magnet products span the range of applications from advertising (refrigerator magnets and displays) to medical applications (needle counters) to sealing and holding applications (door gaskets). Other applications include Electromagnetic or Radio Frequency Shielding for high end electronics.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Products, Customers and Distribution Channels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Products</w:t>
      </w:r>
    </w:p>
    <w:p>
      <w:pPr>
        <w:pStyle w:val="TextBody"/>
        <w:bidi w:val="0"/>
        <w:spacing w:lineRule="auto" w:line="288" w:before="180" w:after="283"/>
        <w:jc w:val="both"/>
        <w:rPr/>
      </w:pPr>
      <w:r>
        <w:rPr>
          <w:rFonts w:ascii="Arial;sans-serif" w:hAnsi="Arial;sans-serif"/>
          <w:b/>
          <w:color w:val="000000"/>
          <w:sz w:val="20"/>
        </w:rPr>
        <w:t xml:space="preserve">Permanent Magnets and Assemblies Group - </w:t>
      </w:r>
      <w:r>
        <w:rPr>
          <w:rFonts w:ascii="Arial;sans-serif" w:hAnsi="Arial;sans-serif"/>
          <w:b w:val="false"/>
          <w:color w:val="000000"/>
          <w:sz w:val="20"/>
        </w:rPr>
        <w:t>Arnold’s PMAG is a leading global manufacturer of precision magnetic assemblies and high-performance magnets. The group’s products include tight tolerance assemblies consisting of many dozens of components and employing RECOMA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SmCo, Neo, and AlNiCo magnets. These products are sold to a wide range of industries including aerospace and defense, motorsport/ transportation, oil and gas, medical, general industrial, energy and semiconductors. Arnold has established a reputation in the magnetic industry as an engineering solutions provider, assisting customers to ensure their critical assemblies meet expectations. PMAG is Arnold’s largest business unit representing greater than 50 - 60%</w:t>
      </w:r>
      <w:r>
        <w:rPr>
          <w:color w:val="000000"/>
          <w:shd w:fill="FFFFFF" w:val="clear"/>
        </w:rPr>
        <w:t xml:space="preserve"> </w:t>
      </w:r>
      <w:r>
        <w:rPr>
          <w:rFonts w:ascii="Arial;sans-serif" w:hAnsi="Arial;sans-serif"/>
          <w:b w:val="false"/>
          <w:color w:val="000000"/>
          <w:sz w:val="20"/>
        </w:rPr>
        <w:t>of Arnold sales on an annualized basis with a global footprint including manufacturing facilities in the U.S., U.K., Switzerland, and China.</w:t>
      </w:r>
    </w:p>
    <w:p>
      <w:pPr>
        <w:pStyle w:val="TextBody"/>
        <w:bidi w:val="0"/>
        <w:spacing w:lineRule="auto" w:line="288" w:before="180" w:after="283"/>
        <w:jc w:val="both"/>
        <w:rPr/>
      </w:pPr>
      <w:r>
        <w:rPr>
          <w:rFonts w:ascii="Arial;sans-serif" w:hAnsi="Arial;sans-serif"/>
          <w:b/>
          <w:color w:val="000000"/>
          <w:sz w:val="20"/>
        </w:rPr>
        <w:t xml:space="preserve">Electric Motors - </w:t>
      </w:r>
      <w:r>
        <w:rPr>
          <w:rFonts w:ascii="Arial;sans-serif" w:hAnsi="Arial;sans-serif"/>
          <w:b w:val="false"/>
          <w:color w:val="000000"/>
          <w:sz w:val="20"/>
        </w:rPr>
        <w:t xml:space="preserve">Arnold manufactures electric motors and related components for use in industrial, military, and aerospace applications and is typically approximately 20 - 25% of Arnold sales on an annualized basis. Arnold's Electric Motor division is a trusted partner, supplying high-quality, electrical components and assemblies to many well-known brands in the industrial and aerospace industries. Arnold's competent, trained staff are committed to engineering solutions together with its customers and ensuring their satisfaction. Applications for electric motors span all industries. Arnold is a trusted supplier for technologies such as hybrid and electric transportation motors, aerospace and defense power generation, HVAC fan motors, marine propulsions and stabilization technologies, vertical lift motors and many others. </w:t>
      </w:r>
    </w:p>
    <w:p>
      <w:pPr>
        <w:pStyle w:val="TextBody"/>
        <w:bidi w:val="0"/>
        <w:spacing w:lineRule="auto" w:line="288" w:before="180" w:after="283"/>
        <w:jc w:val="both"/>
        <w:rPr/>
      </w:pPr>
      <w:r>
        <w:rPr>
          <w:rFonts w:ascii="Arial;sans-serif" w:hAnsi="Arial;sans-serif"/>
          <w:b/>
          <w:color w:val="000000"/>
          <w:sz w:val="20"/>
        </w:rPr>
        <w:t xml:space="preserve">Precision Thin Metals - </w:t>
      </w:r>
      <w:r>
        <w:rPr>
          <w:rFonts w:ascii="Arial;sans-serif" w:hAnsi="Arial;sans-serif"/>
          <w:b w:val="false"/>
          <w:color w:val="000000"/>
          <w:sz w:val="20"/>
        </w:rPr>
        <w:t>Arnold’s Precision Thin Metals group manufactures precision thin strip and foil products from an array of materials and typically represents approximately 5 - 10% of Arnold sales on an annualized basis. The Precision Thin Metals group serves the aerospace and defense, power transmission, alternative energy (hybrids, wind, battery, solar), medical, security, and general industrial end-markets. Precision Thin Metals has developed unique processing capabilities that allow it to produce foils and strip with precision and quality that are unmatched in the industry (down to 1/10th thickness of a human hair). In addition, the group’s facility is capable of increasing production from current levels with its existing equipment and is, we believe, well-positioned to realize future growth. Precision thin metals are used in electrical steels for hybrid propulsion systems, electric motors, and micro turbines, electromagnetic and radio frequency shielding, batteries and military countermeasures, as well as other applications.</w:t>
      </w:r>
    </w:p>
    <w:p>
      <w:pPr>
        <w:pStyle w:val="TextBody"/>
        <w:bidi w:val="0"/>
        <w:spacing w:lineRule="auto" w:line="288" w:before="180" w:after="283"/>
        <w:jc w:val="both"/>
        <w:rPr/>
      </w:pPr>
      <w:r>
        <w:rPr>
          <w:rFonts w:ascii="Arial;sans-serif" w:hAnsi="Arial;sans-serif"/>
          <w:b/>
          <w:color w:val="000000"/>
          <w:sz w:val="20"/>
        </w:rPr>
        <w:t xml:space="preserve">Flexmag - </w:t>
      </w:r>
      <w:r>
        <w:rPr>
          <w:rFonts w:ascii="Arial;sans-serif" w:hAnsi="Arial;sans-serif"/>
          <w:b w:val="false"/>
          <w:color w:val="000000"/>
          <w:sz w:val="20"/>
        </w:rPr>
        <w:t>Arnold is one of two North American manufacturers of flexible rubber magnets for specialty advertising, industrial, medical, and reprographic applications.</w:t>
      </w:r>
      <w:r>
        <w:rPr>
          <w:color w:val="000000"/>
        </w:rPr>
        <w:t xml:space="preserve"> </w:t>
      </w:r>
      <w:r>
        <w:rPr>
          <w:rFonts w:ascii="Arial;sans-serif" w:hAnsi="Arial;sans-serif"/>
          <w:b w:val="false"/>
          <w:color w:val="000000"/>
          <w:sz w:val="20"/>
        </w:rPr>
        <w:t>Flexmag typically represents approximately 10% of Arnold sales on an annualized basis. It primarily sells its products to specialty advertisers and original equipment manufacturers. With highly automated manufacturing processes, Flexmag can accommodate customers required short lead times. Flexmag benefits from a loyal customer base and significant barriers to entry in the industry. Flexmag’s success is driven by superior customer service, and proprietary formulations offering enhanced product performance.</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Existing End-Markets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Aerospace and Defense - In the aerospace and defense sector, Arnold is selling electric motor components, magnets, magnetic assemblies and ultra-thin foil solutions. Specifically, in the aerospace industry, Arnold’s assemblies have been designed into products, which enables Arnold to benefit from the market growth and a healthy flow of business based on current airframe orders. Through its OEM customers, many new commercial aircraft placed in service contain assemblies produced by Arnold. Arnold’s sales to large aerospace and defense manufacturers includes magnetic assemblies used in applications such as motors and generators, actuators, trigger mechanisms, and guidance systems, as well as magnets for these and other uses. In addition, it sells its ultra-thin foil for use in military countermeasures, lightweight structures, brazing alloys, and motor laminations.</w:t>
      </w:r>
    </w:p>
    <w:p>
      <w:pPr>
        <w:pStyle w:val="TextBody"/>
        <w:bidi w:val="0"/>
        <w:spacing w:lineRule="auto" w:line="288" w:before="180" w:after="283"/>
        <w:jc w:val="both"/>
        <w:rPr/>
      </w:pPr>
      <w:r>
        <w:rPr>
          <w:rFonts w:ascii="Arial;sans-serif" w:hAnsi="Arial;sans-serif"/>
          <w:b w:val="false"/>
          <w:color w:val="000000"/>
          <w:sz w:val="20"/>
        </w:rPr>
        <w:t>General Industrial - Within the industrial sector, Arnold provides electric motors, magnet assemblies as well as magnets for custom made motor systems. These include stepper motors, pick and place robotic systems, and new designs that are increasingly being required by regulation to meet energy efficiency standards. An example is a motor utilizing Arnold’s bonded magnets for use in commercial refrigeration systems.</w:t>
      </w:r>
      <w:r>
        <w:rPr>
          <w:color w:val="000000"/>
        </w:rPr>
        <w:t xml:space="preserve"> </w:t>
      </w:r>
      <w:r>
        <w:rPr>
          <w:rFonts w:ascii="Arial;sans-serif" w:hAnsi="Arial;sans-serif"/>
          <w:b w:val="false"/>
          <w:color w:val="000000"/>
          <w:sz w:val="20"/>
        </w:rPr>
        <w:t>Arnold also produces magnetic couplings for seal-less pumps used in chemical and oil &amp; gas applications that allow chemical companies to meet environmental requirements.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Motorsport / Transportation - Arnold produces high performance motor components and sub-assemblies for motorsport and transportation applications, such as the Kinetic Energy Recovery System, which includes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pPr>
      <w:r>
        <w:rPr>
          <w:rFonts w:ascii="Arial;sans-serif" w:hAnsi="Arial;sans-serif"/>
          <w:b w:val="false"/>
          <w:color w:val="000000"/>
          <w:sz w:val="20"/>
        </w:rPr>
        <w:t>composite sleeved RECOMA® SmCo magnet rotor for a high speed, high power system and Electric Turbo Chargers that operate at greater than 100,000 RPM. Further emerging magnetic applications include electric traction drives, regenerative braking systems, starter generators, and electric turbo charging.</w:t>
      </w:r>
      <w:r>
        <w:rPr>
          <w:color w:val="000000"/>
        </w:rPr>
        <w:t xml:space="preserve"> </w:t>
      </w:r>
      <w:r>
        <w:rPr>
          <w:rFonts w:ascii="Arial;sans-serif" w:hAnsi="Arial;sans-serif"/>
          <w:b w:val="false"/>
          <w:color w:val="000000"/>
          <w:sz w:val="20"/>
        </w:rPr>
        <w:t>As much of this technology utilizes magnetic systems, Arnold expects to benefit from this trend.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Other end markets - Arnold provides magnets and precision assemblies for use in oil and gas exploration and production, and magnetic assemblies, magnets, flexible magnets, and ultrathin foils in the medical sector. Arnold’s Precision Thin Metals group supplies grain-oriented silicon steel produced with proprietary methods for use in transformers and inductors. These cores allow for the production of very efficient transformers and inductors while minimizing size.</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Customers and Distribution Channels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Arnold’s focus on customer service and product quality has resulted in a broad base of customers in a variety of end markets. The following table sets forth management’s estimate of Arnold’s approximate customer breakdown by industry sector for the fiscal years ended December 31, 2025, 2024 and 2023:</w:t>
      </w:r>
    </w:p>
    <w:tbl>
      <w:tblPr>
        <w:tblW w:w="6012" w:type="dxa"/>
        <w:jc w:val="left"/>
        <w:tblInd w:w="0" w:type="dxa"/>
        <w:tblLayout w:type="fixed"/>
        <w:tblCellMar>
          <w:top w:w="28" w:type="dxa"/>
          <w:left w:w="28" w:type="dxa"/>
          <w:bottom w:w="28" w:type="dxa"/>
          <w:right w:w="28" w:type="dxa"/>
        </w:tblCellMar>
      </w:tblPr>
      <w:tblGrid>
        <w:gridCol w:w="124"/>
        <w:gridCol w:w="109"/>
        <w:gridCol w:w="109"/>
        <w:gridCol w:w="789"/>
        <w:gridCol w:w="789"/>
        <w:gridCol w:w="792"/>
        <w:gridCol w:w="232"/>
        <w:gridCol w:w="234"/>
        <w:gridCol w:w="292"/>
        <w:gridCol w:w="109"/>
        <w:gridCol w:w="109"/>
        <w:gridCol w:w="109"/>
        <w:gridCol w:w="232"/>
        <w:gridCol w:w="234"/>
        <w:gridCol w:w="292"/>
        <w:gridCol w:w="109"/>
        <w:gridCol w:w="109"/>
        <w:gridCol w:w="109"/>
        <w:gridCol w:w="232"/>
        <w:gridCol w:w="234"/>
        <w:gridCol w:w="2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Customer Distribution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Industry Sector</w:t>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Aerospace and Defense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Industrial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Motorsport/ Transportation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Oil and Gas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specialties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Medical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Reprographic</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Sectors Combined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Arnold has a large and diverse, blue-chip customer base. Sales to Arnold’s top ten customers were 28% for the year ended December 31, 2025, 30% for the year ended December 31, 2024, and 29% of total sales for the year ended December 31, 2023. In 2025, 2024 and 2023, no individual customer represented more than 10% of Arnold's net revenues. </w:t>
      </w:r>
    </w:p>
    <w:p>
      <w:pPr>
        <w:pStyle w:val="TextBody"/>
        <w:bidi w:val="0"/>
        <w:spacing w:lineRule="auto" w:line="288" w:before="180" w:after="283"/>
        <w:jc w:val="both"/>
        <w:rPr/>
      </w:pPr>
      <w:r>
        <w:rPr>
          <w:rFonts w:ascii="Arial;sans-serif" w:hAnsi="Arial;sans-serif"/>
          <w:b w:val="false"/>
          <w:color w:val="000000"/>
          <w:sz w:val="20"/>
          <w:shd w:fill="FFFFFF" w:val="clear"/>
        </w:rPr>
        <w:t xml:space="preserve">Arnold had firm backlog orders totaling approximately $113.9 million and $80.3 million, respectively, at </w:t>
      </w:r>
      <w:r>
        <w:rPr>
          <w:rFonts w:ascii="Arial;sans-serif" w:hAnsi="Arial;sans-serif"/>
          <w:b w:val="false"/>
          <w:color w:val="000000"/>
          <w:sz w:val="20"/>
        </w:rPr>
        <w:t>December 31, 2025</w:t>
      </w:r>
      <w:r>
        <w:rPr>
          <w:color w:val="000000"/>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2024</w:t>
      </w:r>
      <w:r>
        <w:rPr>
          <w:rFonts w:ascii="Arial;sans-serif" w:hAnsi="Arial;sans-serif"/>
          <w:b w:val="false"/>
          <w:color w:val="000000"/>
          <w:sz w:val="20"/>
          <w:shd w:fill="FFFFFF" w:val="clear"/>
        </w:rPr>
        <w: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Strategies and Competitive Strengths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Business Strategies</w:t>
      </w:r>
    </w:p>
    <w:p>
      <w:pPr>
        <w:pStyle w:val="TextBody"/>
        <w:bidi w:val="0"/>
        <w:spacing w:lineRule="auto" w:line="288" w:before="180" w:after="283"/>
        <w:jc w:val="both"/>
        <w:rPr/>
      </w:pPr>
      <w:r>
        <w:rPr>
          <w:rFonts w:ascii="Arial;sans-serif" w:hAnsi="Arial;sans-serif"/>
          <w:b/>
          <w:color w:val="000000"/>
          <w:sz w:val="20"/>
        </w:rPr>
        <w:t xml:space="preserve">Engineering and Product Development - </w:t>
      </w:r>
      <w:r>
        <w:rPr>
          <w:rFonts w:ascii="Arial;sans-serif" w:hAnsi="Arial;sans-serif"/>
          <w:b w:val="false"/>
          <w:color w:val="000000"/>
          <w:sz w:val="20"/>
        </w:rPr>
        <w:t>Arnold’s engineers work closely with the customer to provide system solutions, representing a significant competitive advantage. Arnold’s engineering expertise is leveraged with state-of-the-art technology across the various business units located in North America, Europe and Asia Pacific. Arnold’s engineers work with customers on a global basis to optimize designs, guide material choices, and create magnetic models resulting in Arnold’s products being specified into customer designs.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Arnold continues to be an industry leader with regard to new product formulations and innovations. As evidence of this, Arnold currently relies on a deep portfolio of “trade secrets” and proprietary intellectual property. Arnold continuously endeavors to introduce electromagnetic solutions that exceed the performance of current offerings and meet customer design specifications.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Growth in Arnold’s business is primarily focused in three areas: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Growing market share in existing end-markets and geographies, with a focus on aerospace and defense, niche industrial systems, and oil and gas;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Vertical integration through new products and technologies;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Completing opportunistic acquisitions and partnerships to reduce product introduction and market penetration time.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Competitive Landscape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Customer Qualification and Program Design Cycles</w:t>
      </w:r>
      <w:r>
        <w:rPr>
          <w:rFonts w:ascii="Arial;sans-serif" w:hAnsi="Arial;sans-serif"/>
          <w:b w:val="false"/>
          <w:color w:val="000000"/>
          <w:sz w:val="20"/>
        </w:rPr>
        <w:t>. In certain applications, Arnold’s products may be specified into customer programs through co-development and qualification processes that can take several months or longer, depending on the application and customer requirements. As a result, once a supplier is qualified for a particular program, customer purchasing decisions may be influenced by performance, reliability, delivery, and ongoing engineering support, and changes in suppliers may require additional time and expense.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Manufacturing and Processing Capabilities</w:t>
      </w:r>
      <w:r>
        <w:rPr>
          <w:rFonts w:ascii="Arial;sans-serif" w:hAnsi="Arial;sans-serif"/>
          <w:b w:val="false"/>
          <w:color w:val="000000"/>
          <w:sz w:val="20"/>
        </w:rPr>
        <w:t>. The specialty magnet industry requires access to specialized manufacturing equipment, technical expertise, and process know-how. Establishing or scaling these capabilities may require meaningful capital investment and time to achieve required performance and quality standards and to develop customer qualifications. The timeframe required for a new entrant to compete effectively can vary materially depending on the target end market, the products involved, and customer requirements.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Suppliers and Manufacturing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Raw materials utilized by Arnold include neodymium, samarium, dysprosium, nickel and cobalt, stainless steel shafts, Inconel sleeves, adhesives, laminates, aluminum extrusions and binders. Although Arnold considers its relationships with vendors to be strong, Arnold’s management team also maintains a variety of alternative sources of comparable quality, quantity and price. The management team therefore believes that it is not dependent upon any single vendor to meet its sourcing needs. Arnold is generally able to pass through material costs to its customers and believes that in the event of significant price increases by vendors that it could pass the increases to its customers.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Arnold has a wide variety of manufacturing capabilities. For permanent magnets and assemblies our magnets are produced and fabricated utilizing personnel, skills, tools, and specific machinery to convert raw materials into finished magnet and then integration of those magnets and machines components into devices or sub-assemblies. Orders are all built to specific customer needs and distributed directly from our manufacturing facilities located worldwide.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Arnold has a core research and development team with extensive industry experience located at its Technology Center. In addition to the Technology Center, a large number of other Arnold staff members assigned to the business units contribute to the research and development effort at various stages. Product development also includes collaborating with customers and field testing. This feedback helps ensure products will meet Arnold’s demanding standards of excellence as well as the constantly changing needs of end users. Arnold’s research and development activities are supported by state-of-the-art engineering software design tools, integrated manufacturing facilities and a performance testing center equipped to ensure product safety, durability and superior performance.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Intellectual Property</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Arnold currently relies on a deep portfolio of “trade secrets” and proprietary intellectual property. Arnold currently has 2 patents in force in the United States, 2 patents in force in Europe and 1 patent in force in Japan.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Arnold currently has 40 trademarks, 12 of which are in the U.S. The most notable trademarked items are the following: “RECOMA”, “PLASTIFORM”, “FLEXMAG” and “ARNOLD”. Application dates for various trademarks date back to as early as 1960.</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Arnold’s domestic manufacturing and assembly operations and its facilities are subject to evolving federal, state and local environmental and occupational health and safety laws and regulations. These include laws and regulations governing air emissions, wastewater discharge and the storage and handling of chemicals and hazardous substances. Arnold’s foreign manufacturing and assembly operations are also subject to local environmental and occupational health and safety laws and regulations. New requirements, more stringent application of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requirements, or discovery of previously unknown environmental conditions could result in material environmental expenditures in the future.</w:t>
      </w:r>
    </w:p>
    <w:p>
      <w:pPr>
        <w:pStyle w:val="TextBody"/>
        <w:bidi w:val="0"/>
        <w:spacing w:lineRule="auto" w:line="288" w:before="180" w:after="283"/>
        <w:jc w:val="both"/>
        <w:rPr/>
      </w:pPr>
      <w:r>
        <w:rPr>
          <w:rFonts w:ascii="Arial;sans-serif" w:hAnsi="Arial;sans-serif"/>
          <w:b w:val="false"/>
          <w:color w:val="000000"/>
          <w:sz w:val="20"/>
        </w:rPr>
        <w:t>Arnold is a major producer of both Samarium Cobalt permanent magnets under its brand name RECOMA</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Alnico (in both cast and sintered forms). Both materials from Arnold meet the current Berry Amendment or Defense Federal Acquisition Regulations Systems (DFARS) requirements per clause 252.225.7014 further described under 10 U.S.C. 2533b. This provision covers the protection of strategic materials critical to national security. These magnet types are considered “specialty metals” under these regulations.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Arnold has manufacturing facilities located in China and Switzerland, both of which have been the subject of tariffs and trade disruptions. Changes in the availability and price of raw materials, components and whole goods, which can fluctuate significantly as a result of economic volatility, regulatory instability or change in import tariffs or trade agreements, can significantly increase the costs of production and distribution, which could have a material negative effect on the profitability of the businesses.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Human Capital</w:t>
      </w:r>
    </w:p>
    <w:p>
      <w:pPr>
        <w:pStyle w:val="TextBody"/>
        <w:bidi w:val="0"/>
        <w:spacing w:lineRule="auto" w:line="288" w:before="120" w:after="283"/>
        <w:jc w:val="both"/>
        <w:rPr/>
      </w:pPr>
      <w:r>
        <w:rPr>
          <w:rFonts w:ascii="Arial;sans-serif" w:hAnsi="Arial;sans-serif"/>
          <w:b w:val="false"/>
          <w:color w:val="000000"/>
          <w:sz w:val="20"/>
          <w:shd w:fill="FFFFFF" w:val="clear"/>
        </w:rPr>
        <w:t xml:space="preserve">Arnold is led by a capable management team of industry veterans that possess a balanced combination of industry experience and operational expertise. Arnold employed approximately 771 hourly and salaried employees located throughout North America, Europe and Asia at </w:t>
      </w:r>
      <w:r>
        <w:rPr>
          <w:rFonts w:ascii="Arial;sans-serif" w:hAnsi="Arial;sans-serif"/>
          <w:b w:val="false"/>
          <w:color w:val="000000"/>
          <w:sz w:val="20"/>
        </w:rPr>
        <w:t>December 31, 2025</w:t>
      </w:r>
      <w:r>
        <w:rPr>
          <w:rFonts w:ascii="Arial;sans-serif" w:hAnsi="Arial;sans-serif"/>
          <w:b w:val="false"/>
          <w:color w:val="000000"/>
          <w:sz w:val="20"/>
          <w:shd w:fill="FFFFFF" w:val="clear"/>
        </w:rPr>
        <w:t>. Arnold’s employees are compensated at levels commensurate with industry standards, based on their respective position and job grade.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Arnold’s workforce is non-union except for approximately 60 hourly employees at its Woodstock, Illinois facilities, who are represented by the International Association of Machinists (IAM). Arnold enjoys good labor relations with its employees and union and has a one year contract in place with the IAM, which expires in June 2026. The original three year contract was automatically renewed for one year in June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1"/>
        </w:rPr>
      </w:pPr>
      <w:r>
        <w:rPr>
          <w:rFonts w:ascii="Arial;sans-serif" w:hAnsi="Arial;sans-serif"/>
          <w:b/>
          <w:color w:val="000000"/>
          <w:sz w:val="21"/>
        </w:rPr>
        <w:t xml:space="preserve">Sterno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Sterno, headquartered in Texarkana, Texas, is the parent company of Sterno Products, LLC ("Sterno Products") and Rimports, LLC ("Rimports"). Sterno operates through two product divisions: </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20"/>
        </w:rPr>
        <w:t>Sterno Products</w:t>
      </w:r>
      <w:r>
        <w:rPr>
          <w:color w:val="000000"/>
        </w:rPr>
        <w:t xml:space="preserve"> </w:t>
      </w:r>
      <w:r>
        <w:rPr>
          <w:rFonts w:ascii="Arial;sans-serif" w:hAnsi="Arial;sans-serif"/>
          <w:b w:val="false"/>
          <w:color w:val="000000"/>
          <w:sz w:val="20"/>
        </w:rPr>
        <w:t>- S</w:t>
      </w:r>
      <w:r>
        <w:rPr>
          <w:rFonts w:ascii="Arial;sans-serif" w:hAnsi="Arial;sans-serif"/>
          <w:b w:val="false"/>
          <w:color w:val="000000"/>
          <w:sz w:val="20"/>
          <w:shd w:fill="FFFFFF" w:val="clear"/>
        </w:rPr>
        <w:t>terno Products manufactures and markets a broad range of wick and gel chafing fuels, liquid and traditional wax candles, butane stoves and accessories, and catering equipment and lamps for restaurants, hotel and home entertainment uses, selling both Sterno brand and private label.</w:t>
      </w:r>
      <w:r>
        <w:rPr>
          <w:color w:val="000000"/>
        </w:rPr>
        <w:t xml:space="preserve"> </w:t>
      </w:r>
      <w:r>
        <w:rPr>
          <w:rFonts w:ascii="Arial;sans-serif" w:hAnsi="Arial;sans-serif"/>
          <w:b w:val="false"/>
          <w:color w:val="000000"/>
          <w:sz w:val="20"/>
          <w:shd w:fill="FFFFFF" w:val="clear"/>
        </w:rPr>
        <w:t xml:space="preserve">As a leading supplier of canned heat </w:t>
      </w:r>
      <w:r>
        <w:rPr>
          <w:rFonts w:ascii="Arial;sans-serif" w:hAnsi="Arial;sans-serif"/>
          <w:b w:val="false"/>
          <w:color w:val="000000"/>
          <w:sz w:val="20"/>
        </w:rPr>
        <w:t xml:space="preserve">to foodservice distributors and foodservice group purchasing organizations, Sterno is always pursuing end-user solutions and innovations to strengthen its position in the marketplace. </w:t>
      </w:r>
    </w:p>
    <w:p>
      <w:pPr>
        <w:pStyle w:val="TextBody"/>
        <w:bidi w:val="0"/>
        <w:spacing w:lineRule="auto" w:line="288" w:before="180" w:after="283"/>
        <w:ind w:left="0" w:right="0" w:hanging="360"/>
        <w:jc w:val="both"/>
        <w:rPr/>
      </w:pPr>
      <w:r>
        <w:rPr>
          <w:color w:val="000000"/>
        </w:rPr>
        <w:t>•</w:t>
      </w:r>
      <w:r>
        <w:rPr>
          <w:rFonts w:ascii="Arial;sans-serif" w:hAnsi="Arial;sans-serif"/>
          <w:b/>
          <w:color w:val="000000"/>
          <w:sz w:val="20"/>
        </w:rPr>
        <w:t>Rimports</w:t>
      </w:r>
      <w:r>
        <w:rPr>
          <w:color w:val="000000"/>
        </w:rPr>
        <w:t xml:space="preserve"> </w:t>
      </w:r>
      <w:r>
        <w:rPr>
          <w:rFonts w:ascii="Arial;sans-serif" w:hAnsi="Arial;sans-serif"/>
          <w:b w:val="false"/>
          <w:color w:val="000000"/>
          <w:sz w:val="20"/>
        </w:rPr>
        <w:t xml:space="preserve">- Rimports manufactures and distributes branded and private label wickless candle products used for home decor and fragrance systems under the ScentSationals, and Fusion brands. Rimports offers unique lines of wickless candle products including ceramic wax warmers, scented wax cubes, fragrance oils, essential oils, and diffusers. Rimports also sells flameless candles, lanterns, and outdoor lighting. Sterno acquired Rimports in February 2018.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History of Sterno </w:t>
      </w:r>
    </w:p>
    <w:p>
      <w:pPr>
        <w:pStyle w:val="TextBody"/>
        <w:bidi w:val="0"/>
        <w:spacing w:lineRule="auto" w:line="288" w:before="120" w:after="283"/>
        <w:jc w:val="both"/>
        <w:rPr/>
      </w:pPr>
      <w:r>
        <w:rPr>
          <w:rFonts w:ascii="Arial;sans-serif" w:hAnsi="Arial;sans-serif"/>
          <w:b w:val="false"/>
          <w:color w:val="000000"/>
          <w:sz w:val="20"/>
        </w:rPr>
        <w:t>Sterno’s history dates back to 1893 when S. Sternau &amp; Co. began making chafing dishes and coffee percolators in Tenafly, New Jersey. In 1914, S. Sternau &amp; Co. introduced “canned heat” with the launch of its gelled ethanol product under the “Sterno” brand. Since then, the Sternau and Sterno names have been the most well-known names in portable food warming fuel. In 1917, S. Sternau &amp; Co. was renamed The Sterno Corporation.</w:t>
      </w:r>
      <w:r>
        <w:rPr>
          <w:color w:val="000000"/>
        </w:rPr>
        <w:t xml:space="preserve"> </w:t>
      </w:r>
      <w:r>
        <w:rPr>
          <w:rFonts w:ascii="Arial;sans-serif" w:hAnsi="Arial;sans-serif"/>
          <w:b w:val="false"/>
          <w:color w:val="000000"/>
          <w:sz w:val="20"/>
        </w:rPr>
        <w:t>During World War I, Sterno portable stoves were promoted as an essential gift for soldiers going to fight in the trenches of Europe.</w:t>
      </w:r>
      <w:r>
        <w:rPr>
          <w:color w:val="000000"/>
        </w:rPr>
        <w:t xml:space="preserve"> </w:t>
      </w:r>
      <w:r>
        <w:rPr>
          <w:rFonts w:ascii="Arial;sans-serif" w:hAnsi="Arial;sans-serif"/>
          <w:b w:val="false"/>
          <w:color w:val="000000"/>
          <w:sz w:val="20"/>
        </w:rPr>
        <w:t>Sterno stoves heated water and rations, sterilized surgical instruments, and provided light and warmth in bunkers and foxholes. During World War II, Sterno produced ethanol and methanol chafing fuels under contract with the U.S. military. In 2012, Sterno merged with the Candle Lamp Company LLC, a supplier of chafing fuel in addition to lighting products.</w:t>
      </w:r>
      <w:r>
        <w:rPr>
          <w:color w:val="000000"/>
        </w:rPr>
        <w:t xml:space="preserve"> </w:t>
      </w:r>
    </w:p>
    <w:p>
      <w:pPr>
        <w:pStyle w:val="TextBody"/>
        <w:bidi w:val="0"/>
        <w:spacing w:lineRule="auto" w:line="288" w:before="180" w:after="283"/>
        <w:jc w:val="both"/>
        <w:rPr/>
      </w:pPr>
      <w:r>
        <w:rPr>
          <w:rFonts w:ascii="Arial;sans-serif" w:hAnsi="Arial;sans-serif"/>
          <w:b w:val="false"/>
          <w:color w:val="000000"/>
          <w:sz w:val="20"/>
        </w:rPr>
        <w:t>In 2016, Sterno expanded their product offering with the acquisition of Northern International Inc. ("Sterno Home").</w:t>
      </w:r>
      <w:r>
        <w:rPr>
          <w:color w:val="000000"/>
        </w:rPr>
        <w:t xml:space="preserve"> </w:t>
      </w:r>
      <w:r>
        <w:rPr>
          <w:rFonts w:ascii="Arial;sans-serif" w:hAnsi="Arial;sans-serif"/>
          <w:b w:val="false"/>
          <w:color w:val="000000"/>
          <w:sz w:val="20"/>
        </w:rPr>
        <w:t xml:space="preserve">The success in the outdoor lighting of an innovative use of LED technology evolved into the development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pPr>
      <w:r>
        <w:rPr>
          <w:rFonts w:ascii="Arial;sans-serif" w:hAnsi="Arial;sans-serif"/>
          <w:b w:val="false"/>
          <w:color w:val="000000"/>
          <w:sz w:val="20"/>
        </w:rPr>
        <w:t>patented flameless candle product line.</w:t>
      </w:r>
      <w:r>
        <w:rPr>
          <w:color w:val="000000"/>
        </w:rPr>
        <w:t xml:space="preserve"> </w:t>
      </w:r>
      <w:r>
        <w:rPr>
          <w:rFonts w:ascii="Arial;sans-serif" w:hAnsi="Arial;sans-serif"/>
          <w:b w:val="false"/>
          <w:color w:val="000000"/>
          <w:sz w:val="20"/>
        </w:rPr>
        <w:t xml:space="preserve">In February 2018, Sterno acquired Rimports, a manufacturer and distributor of branded and private label wickless candle products used for home decor and fragrance systems. Rimports offers unique lines of wickless candle products including ceramic wax warmers, scented wax cubes and essential oil and diffusers. In 2022, the combination of Sterno Home and Rimports created opportunities for cost savings and strong business synergies.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Today, Sterno operates out of its corporate headquarters in Texarkana, Texas, and has manufacturing and distribution facilities in multiple locations, including Memphis, Tennessee, La Porte, Indiana, Texarkana, Texas, and the Rimports facility in Provo, Utah.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purchased Sterno on October 10, 2014.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Industry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Sterno Products competes in the broadly defined U.S. foodservice industry where historically restaurant, catering and hospitality sales have accounted for a majority of the market with the remainder comprised of retail, travel and leisure, education and healthcare related sales. The Sterno Products product offerings focus on safe, portable fire solutions for cooking and warming, as well as tabletop lighting décor. </w:t>
      </w:r>
    </w:p>
    <w:p>
      <w:pPr>
        <w:pStyle w:val="TextBody"/>
        <w:bidi w:val="0"/>
        <w:spacing w:lineRule="auto" w:line="288" w:before="180" w:after="283"/>
        <w:jc w:val="both"/>
        <w:rPr/>
      </w:pPr>
      <w:r>
        <w:rPr>
          <w:rFonts w:ascii="Arial;sans-serif" w:hAnsi="Arial;sans-serif"/>
          <w:b w:val="false"/>
          <w:color w:val="000000"/>
          <w:sz w:val="20"/>
        </w:rPr>
        <w:t>Rimports operates in the broad North American and United Kingdom home decor space (retail) which is heavily correlated to general consumer spending. Flameless and reusable wax products have seen increased adoption by younger consumers who prioritize economical and environmentally friendly products.</w:t>
      </w:r>
      <w:r>
        <w:rPr>
          <w:color w:val="000000"/>
        </w:rPr>
        <w:t xml:space="preserve"> </w:t>
      </w:r>
      <w:r>
        <w:rPr>
          <w:rFonts w:ascii="Arial;sans-serif" w:hAnsi="Arial;sans-serif"/>
          <w:b w:val="false"/>
          <w:color w:val="000000"/>
          <w:sz w:val="20"/>
        </w:rPr>
        <w:t>Within the home decor space, Rimports competes in the U.S. candle space and the U.S. home fragrance space, and, with the integration of Sterno Home, has added the flameless candles, lanterns and outdoor lighting industry.</w:t>
      </w:r>
      <w:r>
        <w:rPr>
          <w:color w:val="000000"/>
        </w:rPr>
        <w:t xml:space="preserve"> </w:t>
      </w:r>
      <w:r>
        <w:rPr>
          <w:rFonts w:ascii="Arial;sans-serif" w:hAnsi="Arial;sans-serif"/>
          <w:b w:val="false"/>
          <w:color w:val="000000"/>
          <w:sz w:val="20"/>
        </w:rPr>
        <w:t>Management believes that a rise in demand from households and businesses will bolster growth, with consumers spending more money on beautifying their indoor and outdoor home, changing out trendy accent items more frequently and investing in more spacious and comfortable outdoor spaces with many equivalent amenities of their indoor spaces.</w:t>
      </w:r>
    </w:p>
    <w:p>
      <w:pPr>
        <w:pStyle w:val="TextBody"/>
        <w:bidi w:val="0"/>
        <w:spacing w:lineRule="auto" w:line="288" w:before="180" w:after="283"/>
        <w:jc w:val="both"/>
        <w:rPr/>
      </w:pPr>
      <w:r>
        <w:rPr>
          <w:rFonts w:ascii="Arial;sans-serif" w:hAnsi="Arial;sans-serif"/>
          <w:b w:val="false"/>
          <w:color w:val="000000"/>
          <w:sz w:val="20"/>
        </w:rPr>
        <w:t>Sterno is a “full-line” supplier offering a broad array of portable chafing fuels, table lighting, outdoor lighting products, wickless candles and fragrance products with approximately 3800 SKUs serving the foodservice and retail markets. Sterno originally focused on chafing fuel (canned heat) products and later expanded its offerings to include table ambiance products such as liquid wax, wax candles and votive lamps, as well as outdoor lighting with the acquisition of Sterno Home in 2016, and wax cubes and warmer products through its acquisition of Rimports.</w:t>
      </w:r>
      <w:r>
        <w:rPr>
          <w:color w:val="000000"/>
        </w:rPr>
        <w:t xml:space="preserve"> </w:t>
      </w:r>
      <w:r>
        <w:rPr>
          <w:rFonts w:ascii="Arial;sans-serif" w:hAnsi="Arial;sans-serif"/>
          <w:b w:val="false"/>
          <w:color w:val="000000"/>
          <w:sz w:val="20"/>
        </w:rPr>
        <w:t>Sterno’s products fall into six major categories: canned heat, catering equipment and butane products, table lighting, flameless candles and outdoor lighting, wickless candle and fragrance products.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Products, Customers and Distribution Channels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Products</w:t>
      </w:r>
    </w:p>
    <w:p>
      <w:pPr>
        <w:pStyle w:val="TextBody"/>
        <w:bidi w:val="0"/>
        <w:spacing w:lineRule="auto" w:line="288" w:before="120" w:after="283"/>
        <w:jc w:val="both"/>
        <w:rPr/>
      </w:pPr>
      <w:r>
        <w:rPr>
          <w:rFonts w:ascii="Arial;sans-serif" w:hAnsi="Arial;sans-serif"/>
          <w:b/>
          <w:color w:val="000000"/>
          <w:sz w:val="20"/>
        </w:rPr>
        <w:t xml:space="preserve">Canned Heat - </w:t>
      </w:r>
      <w:r>
        <w:rPr>
          <w:rFonts w:ascii="Arial;sans-serif" w:hAnsi="Arial;sans-serif"/>
          <w:b w:val="false"/>
          <w:color w:val="000000"/>
          <w:sz w:val="20"/>
        </w:rPr>
        <w:t>The canned heat product line is composed of various chafing fuels packaged in small, portable cans. The portable warming (canned heat) line is composed of wick-based and gel-based chafing fuels packaged in steel cans. These products are used by foodservice professionals in a variety of food serving and holding applications and are designed to keep food products at an optimal food-safe serving temperature of 140-165 Fahrenheit.</w:t>
      </w:r>
      <w:r>
        <w:rPr>
          <w:color w:val="000000"/>
        </w:rPr>
        <w:t xml:space="preserve"> </w:t>
      </w:r>
      <w:r>
        <w:rPr>
          <w:rFonts w:ascii="Arial;sans-serif" w:hAnsi="Arial;sans-serif"/>
          <w:b w:val="false"/>
          <w:color w:val="000000"/>
          <w:sz w:val="20"/>
        </w:rPr>
        <w:t>The canned heat product line is composed of two subcategories: wick chafing fuel and gel chafing fuel. The subcategories are distinguished based on the type of chafing fuel being used. Each fuel contains unique characteristics and properties that allow the Company to offer a broad array of configurations to suit varying user requirements.</w:t>
      </w:r>
      <w:r>
        <w:rPr>
          <w:color w:val="FF0000"/>
        </w:rPr>
        <w:t xml:space="preserve"> </w:t>
      </w:r>
    </w:p>
    <w:p>
      <w:pPr>
        <w:pStyle w:val="TextBody"/>
        <w:bidi w:val="0"/>
        <w:spacing w:lineRule="auto" w:line="288" w:before="180" w:after="283"/>
        <w:jc w:val="both"/>
        <w:rPr/>
      </w:pPr>
      <w:r>
        <w:rPr>
          <w:rFonts w:ascii="Arial;sans-serif" w:hAnsi="Arial;sans-serif"/>
          <w:b/>
          <w:color w:val="000000"/>
          <w:sz w:val="20"/>
        </w:rPr>
        <w:t xml:space="preserve">Catering Equipment - </w:t>
      </w:r>
      <w:r>
        <w:rPr>
          <w:rFonts w:ascii="Arial;sans-serif" w:hAnsi="Arial;sans-serif"/>
          <w:b w:val="false"/>
          <w:color w:val="000000"/>
          <w:sz w:val="20"/>
        </w:rPr>
        <w:t>Catering equipment products are designed to provide a complete commercial catering solution whether indoor or outdoor.</w:t>
      </w:r>
      <w:r>
        <w:rPr>
          <w:color w:val="000000"/>
        </w:rPr>
        <w:t xml:space="preserve"> </w:t>
      </w:r>
      <w:r>
        <w:rPr>
          <w:rFonts w:ascii="Arial;sans-serif" w:hAnsi="Arial;sans-serif"/>
          <w:b w:val="false"/>
          <w:color w:val="000000"/>
          <w:sz w:val="20"/>
        </w:rPr>
        <w:t>Products include chafing dish frames and lids, wind guards and buffet sets.</w:t>
      </w:r>
    </w:p>
    <w:p>
      <w:pPr>
        <w:pStyle w:val="TextBody"/>
        <w:bidi w:val="0"/>
        <w:spacing w:lineRule="auto" w:line="288" w:before="180" w:after="283"/>
        <w:jc w:val="both"/>
        <w:rPr/>
      </w:pPr>
      <w:r>
        <w:rPr>
          <w:rFonts w:ascii="Arial;sans-serif" w:hAnsi="Arial;sans-serif"/>
          <w:b/>
          <w:color w:val="000000"/>
          <w:sz w:val="20"/>
        </w:rPr>
        <w:t xml:space="preserve">Butane - </w:t>
      </w:r>
      <w:r>
        <w:rPr>
          <w:rFonts w:ascii="Arial;sans-serif" w:hAnsi="Arial;sans-serif"/>
          <w:b w:val="false"/>
          <w:color w:val="000000"/>
          <w:sz w:val="20"/>
        </w:rPr>
        <w:t>Sterno produces a full line of professional quality portable butane stoves, ideal for action stations, made-to-order omelet lines, tableside and off-site cooking, outdoor events and more.</w:t>
      </w:r>
      <w:r>
        <w:rPr>
          <w:color w:val="000000"/>
        </w:rPr>
        <w:t xml:space="preserve"> </w:t>
      </w:r>
      <w:r>
        <w:rPr>
          <w:rFonts w:ascii="Arial;sans-serif" w:hAnsi="Arial;sans-serif"/>
          <w:b w:val="false"/>
          <w:color w:val="000000"/>
          <w:sz w:val="20"/>
        </w:rPr>
        <w:t>Products also include select butane accessories for special culinary applications such as the culinary torch. Sterno butane fuel comes with an additional safety feature called Countersink Release Vent (CRV) Technology.</w:t>
      </w:r>
    </w:p>
    <w:p>
      <w:pPr>
        <w:pStyle w:val="TextBody"/>
        <w:bidi w:val="0"/>
        <w:spacing w:lineRule="auto" w:line="288" w:before="180" w:after="283"/>
        <w:jc w:val="both"/>
        <w:rPr/>
      </w:pPr>
      <w:r>
        <w:rPr>
          <w:rFonts w:ascii="Arial;sans-serif" w:hAnsi="Arial;sans-serif"/>
          <w:b/>
          <w:color w:val="000000"/>
          <w:sz w:val="20"/>
        </w:rPr>
        <w:t xml:space="preserve">Table Lighting - </w:t>
      </w:r>
      <w:r>
        <w:rPr>
          <w:rFonts w:ascii="Arial;sans-serif" w:hAnsi="Arial;sans-serif"/>
          <w:b w:val="false"/>
          <w:color w:val="000000"/>
          <w:sz w:val="20"/>
        </w:rPr>
        <w:t>Sterno sells a variety of items designed to enhance lighting and ambiance at meal settings which are critical to a customer’s experience.</w:t>
      </w:r>
      <w:r>
        <w:rPr>
          <w:color w:val="000000"/>
        </w:rPr>
        <w:t xml:space="preserve"> </w:t>
      </w:r>
      <w:r>
        <w:rPr>
          <w:rFonts w:ascii="Arial;sans-serif" w:hAnsi="Arial;sans-serif"/>
          <w:b w:val="false"/>
          <w:color w:val="000000"/>
          <w:sz w:val="20"/>
        </w:rPr>
        <w:t>Products include liquid wax, traditional hard wax and flameless electronic candles, as well as votive lamps, shaded lamps and accent lamps.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pPr>
      <w:r>
        <w:rPr>
          <w:rFonts w:ascii="Arial;sans-serif" w:hAnsi="Arial;sans-serif"/>
          <w:b/>
          <w:color w:val="000000"/>
          <w:sz w:val="20"/>
        </w:rPr>
        <w:t xml:space="preserve">Flameless Candles and Outdoor Lighting - </w:t>
      </w:r>
      <w:r>
        <w:rPr>
          <w:rFonts w:ascii="Arial;sans-serif" w:hAnsi="Arial;sans-serif"/>
          <w:b w:val="false"/>
          <w:color w:val="000000"/>
          <w:sz w:val="20"/>
        </w:rPr>
        <w:t>Sterno offers a wide selection of lighting for homes, gardens, patios and yards with over 360 SKU's available in its retail markets. All of Sterno's products are powered by one of the following: i) Solar - solar panel with rechargeable power source - usually a rechargeable battery; ii) Battery - battery operated; iii) Plug-in - plugs directly into a regular wall socket either with 2 or 3 prong plug and with or without included and attached transformer; iv) Low Voltage - part of a set which includes a stand-alone transformer. Fixtures connect through a stand-alone wire via clip connectors; v) Line Voltage - hardwired into a home's electrical circuitry, or vi) Rechargeable - product is recharged when empty, usually through a plug-in wire and an onboard rechargeable power source.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Flameless Candles</w:t>
      </w:r>
      <w:r>
        <w:rPr>
          <w:color w:val="000000"/>
        </w:rPr>
        <w:t xml:space="preserve"> </w:t>
      </w:r>
      <w:r>
        <w:rPr>
          <w:rFonts w:ascii="Arial;sans-serif" w:hAnsi="Arial;sans-serif"/>
          <w:b w:val="false"/>
          <w:color w:val="000000"/>
          <w:sz w:val="20"/>
        </w:rPr>
        <w:t>- The flameless candle product line is made up of various types and sizes of candles with all of them sharing one main attribute: their glow is powered by an artificial power source, most often battery. This makes them inherently safer than traditional candles as there is no flame or even heat generated to cause any type of accident. Although pillar type candles are the most common shape, Sterno also designs and manufactures votives, tealights, tapers as well as specialty molded candles. Sterno candles stand out from the competition as they offer a patented black wick with a unique algorithm-based light circuit which gives the candle a naturally random flicker and glow.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Landscape Lighting</w:t>
      </w:r>
      <w:r>
        <w:rPr>
          <w:color w:val="000000"/>
        </w:rPr>
        <w:t xml:space="preserve"> </w:t>
      </w:r>
      <w:r>
        <w:rPr>
          <w:rFonts w:ascii="Arial;sans-serif" w:hAnsi="Arial;sans-serif"/>
          <w:b w:val="false"/>
          <w:color w:val="000000"/>
          <w:sz w:val="20"/>
        </w:rPr>
        <w:t xml:space="preserve">- Landscape lighting is lighting that promotes and accentuates elements of a consumer’s home, yard or garden so its beauty can be enjoyed both in daytime and nighttime. Another benefit of landscape lighting is added safety as it is easier to navigate around a home at night when it is reasonably well-lit. Landscape lighting was originally most commonly powered through a low voltage setup but as solar technologies have rapidly developed, many of these fixtures can achieve their lighting purposes with only a solar panel for power generation.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Décor Lighting</w:t>
      </w:r>
      <w:r>
        <w:rPr>
          <w:color w:val="000000"/>
        </w:rPr>
        <w:t xml:space="preserve"> </w:t>
      </w:r>
      <w:r>
        <w:rPr>
          <w:rFonts w:ascii="Arial;sans-serif" w:hAnsi="Arial;sans-serif"/>
          <w:b w:val="false"/>
          <w:color w:val="000000"/>
          <w:sz w:val="20"/>
        </w:rPr>
        <w:t xml:space="preserve">- Décor lighting has similar functions to landscape lighting but is usually less about safety and functionality and more about accenting an area of the outside home with ornamentation of some sort. With a décor piece, the light the piece gives off and the item itself together become elements of beauty in the setting. Because these items are very trend driven, consumers are more apt to switch them out more often therefore increasing repeat purchase potential and other recurrent sales opportunities for Sterno.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 xml:space="preserve">Wickless Candle and Fragrance Products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Wax Warmers and Scented Wax Cubes</w:t>
      </w:r>
      <w:r>
        <w:rPr>
          <w:color w:val="000000"/>
        </w:rPr>
        <w:t xml:space="preserve"> </w:t>
      </w:r>
      <w:r>
        <w:rPr>
          <w:rFonts w:ascii="Arial;sans-serif" w:hAnsi="Arial;sans-serif"/>
          <w:b w:val="false"/>
          <w:color w:val="000000"/>
          <w:sz w:val="20"/>
        </w:rPr>
        <w:t>- The wax and wax warmer line is composed of a large variety of fragrance and warmer design choices for consumers. The wax cubes are long-lasting and consistently release strong fragrance. The scented wax cubes are at a price point whereby they are an impulse item, making it easy and quick for the customer to change fragrances. The flameless feature is a plus in that it provides safety improvements over traditional flame candles. The proprietary formula and high quality fragrances add to the high quality of the domestically-made products. We believe ongoing research contributes to consumer loyalty, superior quality, and well-rounded fragrance programs. The wax warmers are made up of quality materials including wood, metal, ceramic, and glass.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Essential Oils and Diffusers</w:t>
      </w:r>
      <w:r>
        <w:rPr>
          <w:color w:val="000000"/>
        </w:rPr>
        <w:t xml:space="preserve"> </w:t>
      </w:r>
      <w:r>
        <w:rPr>
          <w:rFonts w:ascii="Arial;sans-serif" w:hAnsi="Arial;sans-serif"/>
          <w:b w:val="false"/>
          <w:color w:val="000000"/>
          <w:sz w:val="20"/>
        </w:rPr>
        <w:t>- The 100% Pure Essential Oil lines and brands consists of Peppermint, Lavender, Lemon, Eucalyptus, Sweet Orange, Grapefruit, Tea tree, Cinnamon, etc. Customers are attracted to high quality, 100% pure oil products with no additives or fillers. Attractively designed diffusers appeal to consumers in the Aromatherapy Home Fragrance section.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ScentCharms</w:t>
      </w:r>
      <w:r>
        <w:rPr>
          <w:color w:val="000000"/>
        </w:rPr>
        <w:t xml:space="preserve"> </w:t>
      </w:r>
      <w:r>
        <w:rPr>
          <w:rFonts w:ascii="Arial;sans-serif" w:hAnsi="Arial;sans-serif"/>
          <w:b w:val="false"/>
          <w:color w:val="000000"/>
          <w:sz w:val="20"/>
        </w:rPr>
        <w:t>- With various interchangeable high-quality fragrance oils and plug-in designs, consumers enjoy a personalized experience. The product is designed to be no spill, no mess, clutter-free, and long-lasting.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u w:val="single"/>
        </w:rPr>
        <w:t>Aromatherapy Products</w:t>
      </w:r>
      <w:r>
        <w:rPr>
          <w:color w:val="000000"/>
        </w:rPr>
        <w:t xml:space="preserve"> </w:t>
      </w:r>
      <w:r>
        <w:rPr>
          <w:rFonts w:ascii="Arial;sans-serif" w:hAnsi="Arial;sans-serif"/>
          <w:b w:val="false"/>
          <w:color w:val="000000"/>
          <w:sz w:val="20"/>
        </w:rPr>
        <w:t>- The aromatherapy line consists of room sprays, liquid hand soaps, foaming hand soaps, hand sanitizers, body lotions, and body scrubs, etc. The five unique fragrance combinations - lavender and chamomile, eucalyptus and rosemary, orange and vanilla, lemon and grapefruit, and peppermint and geranium - are made with pure essential oils.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Customers and Distribution Channels</w:t>
      </w:r>
    </w:p>
    <w:p>
      <w:pPr>
        <w:pStyle w:val="TextBody"/>
        <w:bidi w:val="0"/>
        <w:spacing w:lineRule="auto" w:line="288" w:before="120" w:after="283"/>
        <w:jc w:val="both"/>
        <w:rPr/>
      </w:pPr>
      <w:r>
        <w:rPr>
          <w:rFonts w:ascii="Arial;sans-serif" w:hAnsi="Arial;sans-serif"/>
          <w:b w:val="false"/>
          <w:color w:val="000000"/>
          <w:sz w:val="20"/>
        </w:rPr>
        <w:t>Sterno's products are sold primarily through the food service and consumer retail channels. Sterno’s product distribution network is comprised of long-standi</w:t>
      </w:r>
      <w:r>
        <w:rPr>
          <w:rFonts w:ascii="Arial;sans-serif" w:hAnsi="Arial;sans-serif"/>
          <w:b w:val="false"/>
          <w:color w:val="000000"/>
          <w:sz w:val="20"/>
          <w:shd w:fill="FFFFFF" w:val="clear"/>
        </w:rPr>
        <w:t xml:space="preserve">ng, entrenched relationships with a diversified set of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Sterno’s top ten customers comprised approximately 73%, 70%, and 70% of gross sales in the years ended December 31, 2025, 2024 and 2023,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Foodservice - The foodservice channel consists of multiple layers of distribution comprised of broadline distributors, equipment and supply dealers and cash and carry dealers. Within the food service channel, Sterno’s products are predominantly used in the restaurant, lodging/hospitality and catering markets.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Retail - The retail channel consists of club stores, mass merchants, specialty retailers, grocers and national and regional DIY stores. The Company’s retail products are used in home, camping and emergency applications. The Company’s retail products appeal to a wide variety of consumers, from home entertainers to recreational campers and extreme outdoorsmen. Online retail sales are also an important channel for Sterno and Rimports. With an online dynamic, it is also much easier to showcase how Sterno’s and Rimports' products look in actual dark use conditions, directly addressing their primary merchandising challenge.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sets forth Sterno’s gross revenue by product for the fiscal years ended December 31, 2025, 2024 and 2023:</w:t>
      </w:r>
    </w:p>
    <w:tbl>
      <w:tblPr>
        <w:tblW w:w="6057" w:type="dxa"/>
        <w:jc w:val="center"/>
        <w:tblInd w:w="0" w:type="dxa"/>
        <w:tblLayout w:type="fixed"/>
        <w:tblCellMar>
          <w:top w:w="28" w:type="dxa"/>
          <w:left w:w="28" w:type="dxa"/>
          <w:bottom w:w="28" w:type="dxa"/>
          <w:right w:w="28" w:type="dxa"/>
        </w:tblCellMar>
      </w:tblPr>
      <w:tblGrid>
        <w:gridCol w:w="1082"/>
        <w:gridCol w:w="949"/>
        <w:gridCol w:w="954"/>
        <w:gridCol w:w="109"/>
        <w:gridCol w:w="109"/>
        <w:gridCol w:w="109"/>
        <w:gridCol w:w="209"/>
        <w:gridCol w:w="212"/>
        <w:gridCol w:w="259"/>
        <w:gridCol w:w="110"/>
        <w:gridCol w:w="110"/>
        <w:gridCol w:w="110"/>
        <w:gridCol w:w="209"/>
        <w:gridCol w:w="212"/>
        <w:gridCol w:w="259"/>
        <w:gridCol w:w="110"/>
        <w:gridCol w:w="110"/>
        <w:gridCol w:w="110"/>
        <w:gridCol w:w="209"/>
        <w:gridCol w:w="212"/>
        <w:gridCol w:w="30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7"/>
              </w:rPr>
              <w:t>Gross sales by product</w:t>
            </w:r>
            <w:r>
              <w:rPr>
                <w:color w:val="000000"/>
              </w:rPr>
              <w:t xml:space="preserve"> </w:t>
            </w:r>
            <w:r>
              <w:rPr>
                <w:rFonts w:ascii="Arial;sans-serif" w:hAnsi="Arial;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Canned Heat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Wickless Candle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Table Lighting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Flameless Candle and Outdoor Lighting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Diffusers and Essential Oils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22 </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120" w:after="283"/>
        <w:ind w:left="0" w:right="0" w:hanging="360"/>
        <w:jc w:val="left"/>
        <w:rPr/>
      </w:pPr>
      <w:r>
        <w:rPr>
          <w:rFonts w:ascii="Arial;sans-serif" w:hAnsi="Arial;sans-serif"/>
          <w:b/>
          <w:color w:val="000000"/>
          <w:sz w:val="13"/>
        </w:rPr>
        <w:t>(1)</w:t>
      </w:r>
      <w:r>
        <w:rPr>
          <w:color w:val="000000"/>
        </w:rPr>
        <w:t xml:space="preserve"> </w:t>
      </w:r>
      <w:r>
        <w:rPr>
          <w:rFonts w:ascii="Arial;sans-serif" w:hAnsi="Arial;sans-serif"/>
          <w:b w:val="false"/>
          <w:color w:val="000000"/>
          <w:sz w:val="18"/>
        </w:rPr>
        <w:t>As a percentage of gross sales, exclusive of sale discounts.</w:t>
      </w:r>
    </w:p>
    <w:p>
      <w:pPr>
        <w:pStyle w:val="TextBody"/>
        <w:bidi w:val="0"/>
        <w:spacing w:lineRule="auto" w:line="288" w:before="180" w:after="283"/>
        <w:jc w:val="both"/>
        <w:rPr/>
      </w:pPr>
      <w:r>
        <w:rPr>
          <w:rFonts w:ascii="Arial;sans-serif" w:hAnsi="Arial;sans-serif"/>
          <w:b w:val="false"/>
          <w:color w:val="000000"/>
          <w:sz w:val="20"/>
        </w:rPr>
        <w:t>Sterno had ap</w:t>
      </w:r>
      <w:r>
        <w:rPr>
          <w:rFonts w:ascii="Arial;sans-serif" w:hAnsi="Arial;sans-serif"/>
          <w:b w:val="false"/>
          <w:color w:val="000000"/>
          <w:sz w:val="20"/>
          <w:shd w:fill="FFFFFF" w:val="clear"/>
        </w:rPr>
        <w:t xml:space="preserve">proximately $10.7 million and $12.5 million in firm backlog orders at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2024</w:t>
      </w:r>
      <w:r>
        <w:rPr>
          <w:rFonts w:ascii="Arial;sans-serif" w:hAnsi="Arial;sans-serif"/>
          <w:b w:val="false"/>
          <w:color w:val="000000"/>
          <w:sz w:val="20"/>
          <w:shd w:fill="FFFFFF" w:val="clear"/>
        </w:rPr>
        <w:t>, respectively.</w:t>
      </w:r>
    </w:p>
    <w:p>
      <w:pPr>
        <w:pStyle w:val="TextBody"/>
        <w:bidi w:val="0"/>
        <w:spacing w:lineRule="auto" w:line="288" w:before="180" w:after="283"/>
        <w:ind w:left="0" w:right="0" w:hanging="360"/>
        <w:jc w:val="both"/>
        <w:rPr>
          <w:rFonts w:ascii="Arial;sans-serif" w:hAnsi="Arial;sans-serif"/>
          <w:b/>
          <w:i/>
          <w:color w:val="000000"/>
          <w:sz w:val="20"/>
        </w:rPr>
      </w:pPr>
      <w:r>
        <w:rPr>
          <w:rFonts w:ascii="Arial;sans-serif" w:hAnsi="Arial;sans-serif"/>
          <w:b/>
          <w:i/>
          <w:color w:val="000000"/>
          <w:sz w:val="20"/>
        </w:rPr>
        <w:t>Business Strategies and Competitive Strengths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Business Strategies</w:t>
      </w:r>
    </w:p>
    <w:p>
      <w:pPr>
        <w:pStyle w:val="TextBody"/>
        <w:bidi w:val="0"/>
        <w:spacing w:lineRule="auto" w:line="288" w:before="120" w:after="283"/>
        <w:jc w:val="both"/>
        <w:rPr/>
      </w:pPr>
      <w:r>
        <w:rPr>
          <w:rFonts w:ascii="Arial;sans-serif" w:hAnsi="Arial;sans-serif"/>
          <w:b/>
          <w:color w:val="000000"/>
          <w:sz w:val="20"/>
        </w:rPr>
        <w:t>Defend Leading Position</w:t>
      </w:r>
      <w:r>
        <w:rPr>
          <w:color w:val="000000"/>
        </w:rPr>
        <w:t xml:space="preserve"> </w:t>
      </w:r>
      <w:r>
        <w:rPr>
          <w:rFonts w:ascii="Arial;sans-serif" w:hAnsi="Arial;sans-serif"/>
          <w:b w:val="false"/>
          <w:color w:val="000000"/>
          <w:sz w:val="20"/>
        </w:rPr>
        <w:t>- As a leading supplier of canned fuels, flameless candles and outdoor lighting, wickless candles and fragrance products, Sterno places great value in delivering high quality customer service and product selection.</w:t>
      </w:r>
      <w:r>
        <w:rPr>
          <w:color w:val="000000"/>
        </w:rPr>
        <w:t xml:space="preserve"> </w:t>
      </w:r>
      <w:r>
        <w:rPr>
          <w:rFonts w:ascii="Arial;sans-serif" w:hAnsi="Arial;sans-serif"/>
          <w:b w:val="false"/>
          <w:color w:val="000000"/>
          <w:sz w:val="20"/>
        </w:rPr>
        <w:t>In a market characterized by fragmented categories and competition, Sterno will continue to focus on providing excellent service to its customers.</w:t>
      </w:r>
      <w:r>
        <w:rPr>
          <w:color w:val="000000"/>
        </w:rPr>
        <w:t xml:space="preserve"> </w:t>
      </w:r>
      <w:r>
        <w:rPr>
          <w:rFonts w:ascii="Arial;sans-serif" w:hAnsi="Arial;sans-serif"/>
          <w:b w:val="false"/>
          <w:color w:val="000000"/>
          <w:sz w:val="20"/>
        </w:rPr>
        <w:t>Sterno Products has been the recipient of numerous vendor awards for its high degree of customer service.</w:t>
      </w:r>
    </w:p>
    <w:p>
      <w:pPr>
        <w:pStyle w:val="TextBody"/>
        <w:bidi w:val="0"/>
        <w:spacing w:lineRule="auto" w:line="288" w:before="180" w:after="283"/>
        <w:jc w:val="both"/>
        <w:rPr/>
      </w:pPr>
      <w:r>
        <w:rPr>
          <w:rFonts w:ascii="Arial;sans-serif" w:hAnsi="Arial;sans-serif"/>
          <w:b/>
          <w:color w:val="000000"/>
          <w:sz w:val="20"/>
        </w:rPr>
        <w:t>Pursue Selective Acquisitions</w:t>
      </w:r>
      <w:r>
        <w:rPr>
          <w:color w:val="000000"/>
        </w:rPr>
        <w:t xml:space="preserve"> </w:t>
      </w:r>
      <w:r>
        <w:rPr>
          <w:rFonts w:ascii="Arial;sans-serif" w:hAnsi="Arial;sans-serif"/>
          <w:b w:val="false"/>
          <w:color w:val="000000"/>
          <w:sz w:val="20"/>
        </w:rPr>
        <w:t xml:space="preserve">- Sterno views acquisitions as a potentially attractive means to expand its product offerings in the foodservice and retail channels as well as enter new categories within the Home Fragrance space. </w:t>
      </w:r>
    </w:p>
    <w:p>
      <w:pPr>
        <w:pStyle w:val="TextBody"/>
        <w:bidi w:val="0"/>
        <w:spacing w:lineRule="auto" w:line="288" w:before="180" w:after="283"/>
        <w:jc w:val="both"/>
        <w:rPr/>
      </w:pPr>
      <w:r>
        <w:rPr>
          <w:rFonts w:ascii="Arial;sans-serif" w:hAnsi="Arial;sans-serif"/>
          <w:b/>
          <w:color w:val="000000"/>
          <w:sz w:val="20"/>
        </w:rPr>
        <w:t xml:space="preserve">Expand Retail Distribution </w:t>
      </w:r>
      <w:r>
        <w:rPr>
          <w:rFonts w:ascii="Arial;sans-serif" w:hAnsi="Arial;sans-serif"/>
          <w:b w:val="false"/>
          <w:color w:val="000000"/>
          <w:sz w:val="20"/>
        </w:rPr>
        <w:t xml:space="preserve">- Sterno’s management believes that there is an opportunity to leverage the iconic nature of the “Sterno” brand to expand its retail product offering and to expand distribution into additional retailers. </w:t>
      </w:r>
    </w:p>
    <w:p>
      <w:pPr>
        <w:pStyle w:val="TextBody"/>
        <w:bidi w:val="0"/>
        <w:spacing w:lineRule="auto" w:line="288" w:before="180" w:after="283"/>
        <w:jc w:val="both"/>
        <w:rPr/>
      </w:pPr>
      <w:r>
        <w:rPr>
          <w:rFonts w:ascii="Arial;sans-serif" w:hAnsi="Arial;sans-serif"/>
          <w:b/>
          <w:color w:val="000000"/>
          <w:sz w:val="20"/>
        </w:rPr>
        <w:t>Create Innovative Products</w:t>
      </w:r>
      <w:r>
        <w:rPr>
          <w:color w:val="000000"/>
        </w:rPr>
        <w:t xml:space="preserve"> </w:t>
      </w:r>
      <w:r>
        <w:rPr>
          <w:rFonts w:ascii="Arial;sans-serif" w:hAnsi="Arial;sans-serif"/>
          <w:b w:val="false"/>
          <w:color w:val="000000"/>
          <w:sz w:val="20"/>
        </w:rPr>
        <w:t>- Having innovative design, marketing, and production teams enables Rimports to expand into new fragrance systems and markets, as it has done with decorative Fragrance Oils Plug-Ins, Reed Diffusers, and more. Rimports will continue to focus on elevating everyday fragrance by providing high quality products and low prices to retailers and end-users.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 xml:space="preserve">Competitive Strengths </w:t>
      </w:r>
    </w:p>
    <w:p>
      <w:pPr>
        <w:pStyle w:val="TextBody"/>
        <w:bidi w:val="0"/>
        <w:spacing w:lineRule="auto" w:line="288" w:before="120" w:after="283"/>
        <w:jc w:val="both"/>
        <w:rPr/>
      </w:pPr>
      <w:r>
        <w:rPr>
          <w:rFonts w:ascii="Arial;sans-serif" w:hAnsi="Arial;sans-serif"/>
          <w:b/>
          <w:color w:val="000000"/>
          <w:sz w:val="20"/>
        </w:rPr>
        <w:t>Leading Brand Recognition &amp; Market Share</w:t>
      </w:r>
      <w:r>
        <w:rPr>
          <w:color w:val="000000"/>
        </w:rPr>
        <w:t xml:space="preserve"> </w:t>
      </w:r>
      <w:r>
        <w:rPr>
          <w:rFonts w:ascii="Arial;sans-serif" w:hAnsi="Arial;sans-serif"/>
          <w:b w:val="false"/>
          <w:color w:val="000000"/>
          <w:sz w:val="20"/>
        </w:rPr>
        <w:t>- Sterno Products has a leading position in the canned chafing fuel market. Management believes Sterno Products enjoys outstanding brand awareness and a reputation for superior quality and performance with distributors, cat</w:t>
      </w:r>
      <w:r>
        <w:rPr>
          <w:rFonts w:ascii="Arial;sans-serif" w:hAnsi="Arial;sans-serif"/>
          <w:b w:val="false"/>
          <w:color w:val="000000"/>
          <w:sz w:val="20"/>
          <w:shd w:fill="FFFFFF" w:val="clear"/>
        </w:rPr>
        <w:t xml:space="preserve">erers, hotels and other end users. Rimports is in a leadership position in fragrance systems, particularly the wickless candle market, and is growing its market share in the essential oils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Arial;sans-serif" w:hAnsi="Arial;sans-serif"/>
          <w:b w:val="false"/>
          <w:color w:val="000000"/>
          <w:sz w:val="20"/>
          <w:shd w:fill="FFFFFF" w:val="clear"/>
        </w:rPr>
        <w:t xml:space="preserve">and diffusers and plug-in liquid fragrance markets. Rimports offers a large variety of products </w:t>
      </w:r>
      <w:r>
        <w:rPr>
          <w:rFonts w:ascii="Arial;sans-serif" w:hAnsi="Arial;sans-serif"/>
          <w:b w:val="false"/>
          <w:color w:val="000000"/>
          <w:sz w:val="20"/>
        </w:rPr>
        <w:t>to retailers in North America, Canada, and the United Kingdom.</w:t>
      </w:r>
    </w:p>
    <w:p>
      <w:pPr>
        <w:pStyle w:val="TextBody"/>
        <w:bidi w:val="0"/>
        <w:spacing w:lineRule="auto" w:line="288" w:before="180" w:after="283"/>
        <w:jc w:val="both"/>
        <w:rPr/>
      </w:pPr>
      <w:r>
        <w:rPr>
          <w:rFonts w:ascii="Arial;sans-serif" w:hAnsi="Arial;sans-serif"/>
          <w:b/>
          <w:color w:val="000000"/>
          <w:sz w:val="20"/>
        </w:rPr>
        <w:t>Low Cost versus Alternatives</w:t>
      </w:r>
      <w:r>
        <w:rPr>
          <w:color w:val="000000"/>
        </w:rPr>
        <w:t xml:space="preserve"> </w:t>
      </w:r>
      <w:r>
        <w:rPr>
          <w:rFonts w:ascii="Arial;sans-serif" w:hAnsi="Arial;sans-serif"/>
          <w:b w:val="false"/>
          <w:color w:val="000000"/>
          <w:sz w:val="20"/>
        </w:rPr>
        <w:t>- Sterno Product's customers are typically caterers, hotels or restaurants who utilize canned chafing fuel to maintain prepared food at a safe and enjoyable serving temperature. The risk of ruining a dining experience and the low proportionate cost of canned chafing fuel relative to the cost of a catered event represent barriers to customers switching out of Sterno’s canned chafing fuel products. Additionally, management believes that Sterno canned chafing fuel products’ technology offers a combination of portability, reliability and low cost. Rimports’ ultimate consumers seek high quality products in the Home Fragrance section. This high value proposition ensures consumer loyalty and satisfaction.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Suppliers and Manufacturing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Sterno's product manufacturing is based on a dual strategy of in-house manufacturing and strategic alliances with select vendors. Sterno operates an efficient, low-cost supply chain, sourcing materials and employing contract manufacturers from across the Unites States, as well as Mexico and the Asia-Pacific region.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Sterno Products’ primary raw materials are chemicals used in chafing fuel, such as diethylene glycol, ethanol, etc., paraffin, and metal cans, for which it receives multiple shipments per month.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Rimports sources raw materials from and outsources manufacturing processes to companies in the U.S. and China. Raw materials include wax, fragrances, and color dye for waxes; essential oils; wood, metal, ceramic, and glass for warmers and diffusers; and packaging supplies.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Intellectual Property </w:t>
      </w:r>
    </w:p>
    <w:p>
      <w:pPr>
        <w:pStyle w:val="TextBody"/>
        <w:bidi w:val="0"/>
        <w:spacing w:lineRule="auto" w:line="288" w:before="120" w:after="100"/>
        <w:jc w:val="both"/>
        <w:rPr/>
      </w:pPr>
      <w:r>
        <w:rPr>
          <w:rFonts w:ascii="Arial;sans-serif" w:hAnsi="Arial;sans-serif"/>
          <w:b w:val="false"/>
          <w:color w:val="000000"/>
          <w:sz w:val="20"/>
        </w:rPr>
        <w:t>Sterno relies upon a combination of trademarks and patents in order to secure and protect its intellectual property rights. Sterno cur</w:t>
      </w:r>
      <w:r>
        <w:rPr>
          <w:rFonts w:ascii="Arial;sans-serif" w:hAnsi="Arial;sans-serif"/>
          <w:b w:val="false"/>
          <w:color w:val="000000"/>
          <w:sz w:val="20"/>
          <w:shd w:fill="FFFFFF" w:val="clear"/>
        </w:rPr>
        <w:t xml:space="preserve">rently owns 239 registered trademarks and 72 patents globally and has 22 applications for trademarks and patents pending.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Sterno is proactive regarding regulatory issues and management believes that it is in compliance with all relevant regulations. Sterno maintains adequate product liability insurance coverage. Management believes that Sterno complies, in all material respects, with applicable environmental and occupational health and safety laws and regulations.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Sterno Products typically has higher sales in the second and fourth quarter of each year, reflecting the outdoor summer season and the holiday season. Rimports typically has higher sales in the third and fourth quarter of each year, reflecting the holiday season.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Human Capital </w:t>
      </w:r>
    </w:p>
    <w:p>
      <w:pPr>
        <w:pStyle w:val="TextBody"/>
        <w:bidi w:val="0"/>
        <w:spacing w:lineRule="auto" w:line="288" w:before="120" w:after="283"/>
        <w:jc w:val="both"/>
        <w:rPr/>
      </w:pPr>
      <w:r>
        <w:rPr>
          <w:rFonts w:ascii="Arial;sans-serif" w:hAnsi="Arial;sans-serif"/>
          <w:b w:val="false"/>
          <w:color w:val="000000"/>
          <w:sz w:val="20"/>
          <w:shd w:fill="FFFFFF" w:val="clear"/>
        </w:rPr>
        <w:t xml:space="preserve">At </w:t>
      </w:r>
      <w:r>
        <w:rPr>
          <w:rFonts w:ascii="Arial;sans-serif" w:hAnsi="Arial;sans-serif"/>
          <w:b w:val="false"/>
          <w:color w:val="000000"/>
          <w:sz w:val="20"/>
        </w:rPr>
        <w:t>December 31, 2025</w:t>
      </w:r>
      <w:r>
        <w:rPr>
          <w:rFonts w:ascii="Arial;sans-serif" w:hAnsi="Arial;sans-serif"/>
          <w:b w:val="false"/>
          <w:color w:val="000000"/>
          <w:sz w:val="20"/>
          <w:shd w:fill="FFFFFF" w:val="clear"/>
        </w:rPr>
        <w:t>, Sterno had 450 employees within its two product divisions. Sterno Products operates out of four locations in the United States, with a majority of their employees located at production facilities in Memphis, Tennessee and Texarkana, Texas. Rimports employees primarily operate out of Rimports' facilities in Provo, Utah. Sterno believes that its relationship with its employees is good.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 operations and financial condition are subject to various risks and uncertainties. The following discussion of risk factors should be read in conjunction with the Management’s Discussion and Analysis of Financial Condition and Results of Operations set forth in Part II, Item. 7 and the "Consolidated Financial Statements" and related notes of this Form 10-K. If any of these risks actually occur, our business, financial condition, operating results and prospects could be materially and adversely affected. In addition to the factors affecting our specific operating segments identified in connection with the descriptions of these segments and the financial results of the operations of these operating segments elsewhere in this report, the following discussion sets forth the material risk factors we face which make an investment in us speculative or risky.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 Factors Relating to the Lugano Investigation and Restatements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We have restated certain of our prior consolidated financial statements as a result of the Lugano Investigation, which resulted in unanticipated costs, litigation against Lugano and the Company and stockholder litigation against the Company, and may result in additional stockholder litigation, regulatory consequences and additional liabilities we are currently unaware of, and may adversely affect investor confidence, our stock price, our ability to raise capital in the future, and our reputation.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previously disclosed, following concerns reported to the Company’s management, the Company commenced the Lugano Investigation. As a result of the Lugano Investigation, the Company determined that the Company’s previously issued financial statements for fiscal years 2022, 2023, 2024, and the first three fiscal quarters of 2025 including other interim and full-year financial information should no longer be relied upon. The Company corrected these errors in its 2024 Form 10K/A which was filed on December 8, 2025, and its Quarterly Reports on Form 10-Q for the first, second, and third quarters of 2025, which were filed on December 18, 2025, December 29, 2025 and January 14, 2026 respectively.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have incurred unanticipated costs for accounting, financing and legal fees in connection with the Lugano Investigation and the restatements, including those associated with our entry into forbearance agreements, amendments, and waivers with respect to our Credit Agreement and senior note indentures due to potential defaults or events of default thereunder. The restatements may erode investor confidence in our Company, our financial reporting, accounting practices and processes, and may raise reputational issues for our business. The Lugano Investigation and the restatement of our historical financial statements have negatively impacted, and may continue to negatively impact, the trading price of our securities, have made it more difficult for us to comply with our debt covenants and tightened our liquidity, and may make it more difficult for us to raise capital on acceptable terms, or at all, in the future. In light of the Lugano Investigation and related matters, we have taken certain actions to preserve liquidity, including suspending distributions on our common shares, and our ability to access the equity capital markets, including through at-the-market equity offerings, was limited during 2025 in light of the Lugano Investigation and related events.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addition, the Lugano Investigation, the restatements and related material weaknesses in our internal control over financial reporting have resulted in litigation against Lugano and the Company, and stockholder litigation against the Company, and regulatory investigations and inquiries which may result in adverse regulatory consequences. As previously disclosed, there are ongoing investigations initiated by the SEC and the U.S. Department of Justice (“DOJ”), and FINRA conducted a review of trading activity in our securities and referred the matter to the SEC for whatever actions the SEC deemed appropriate, if any. These and any future regulatory consequences, litigation, claims or disputes, whether successful or not, could subject us to additional costs or liabilities we are currently unaware of, divert the attention of our management, or impair our reputation. Each of these consequences could have a material adverse effect on our business, results of operations and financial condition.</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We have identified material weaknesses in our internal control over financial reporting, which could, if not properly remediated, result in additional material misstatements in our interim or annual consolidated financial statements, impact the Company’s ability to report its results of operations and financial condition accurately and in a timely manner. If we are unable to remediate these material weaknesses, or if we identify additional material weaknesses in the future or otherwise fail to maintain effective internal control over financial reporting or disclosure controls and procedures, it could result in future material misstatements of our consolidated financial statements or could cause us to fail to meet our periodic reporting obligations, which may adversely affect our business, financial condition, results of operations, investor confidence in our business, or the trading price of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Lugano Investigation and the restatements, we identified material weaknesses in our internal control over financial reporting as of December 31, 2024 and 2025, which are described in more detail in Part II, Item 9A. “Controls and Procedures” of the 2024 Form 10-K/A and this Form 10-K. We also determined that our disclosure controls and procedures were not effective as of December 31, 2024 and 2025. A material weakness is a deficiency, or a combination of deficiencies, in internal control over financial reporting such that there is a reasonable possibility that a material misstatement of a company’s consolidated interim or annual financial statements will not be prevented or detected on a timely basis. If the material weaknesses are not remediated in a timely manner, or if additional material weaknesses in our internal controls over financial reporting are discovered, they may adversely affect our ability to record, process, summarize and report financial information timely and accurately and, as a result, our consolidated interim or annual financial statements may contain material misstatements or omissions.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While the Company has implemented a remediation plan with respect to these material weaknesses, the Company will not be able to conclude whether the steps the Company has taken will remediate the material weaknesses until a sustained period of time has passed to allow management to test the design and operating effectiveness of the new and enhanced controls. We may be unable to timely file, or may be required to amend, future periodic reports if our remediation efforts are not successful or if we identify additional material weaknesses or control deficiencies.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this time, we cannot provide an estimate of costs expected to be incurred in connection with continuing to implement our remediation plan or identify a date on which the remediation efforts will be concluded. However, these remediation measures may be time consuming, may result in us incurring significant costs, and will place significant demands on our financial and operational resources. Our remediation plan also depends in part on the performance of third parties (including advisors, consultants, and service providers) supporting our financial reporting and internal control environment; if these third parties fail to perform as expected, or if we are unable to retain or recruit qualified personnel, remediation could be delayed or unsuccessful.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Remediation measures we have taken to date and may take in the future may not be sufficient to remediate the control deficiencies that led to our material weaknesses in internal control over financial reporting or prevent or avoid potential future material weaknesses or other significant deficiencies in the future. The effectiveness of our internal control over financial reporting is subject to various inherent limitations, including cost limitations, judgments used in decision making, assumptions about the likelihood of future events, the possibility of human error and the risk of fraud. Any failure to design, implement and maintain effective internal control over financial reporting and effective disclosure controls and procedures could harm our results of operations or cause us to fail to meet our reporting obligations and may result in a restatement of our financial statements for prior periods, such as the previous restatements disclosed in the 2024 Form 10-K/A. Any failure to implement and maintain effective internal control over financial reporting in a timely manner or with adequate compliance could also adversely affect the results of periodic management evaluations and annual independent registered public accounting firm attestation reports regarding the effectiveness of our internal control over financial reporting that we are required to include in our Annual Reports on Form 10-K. Ineffective disclosure controls and procedures and internal control over financial reporting could also have a material adverse effect on our business and cause investors to lose confidence in our reported financial and other information, which would likely adversely affect the market price of our common stock. </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We may breach certain covenants and other obligations under our Credit Agreement and our senior note indentures. As a result, our Credit Agreement Lenders may have the right in the future to accelerate our indebtedness and exercise other remedies, which could materially and adversely affect our liquidity, financial condition, and ability to continue as a going concern.</w:t>
      </w:r>
    </w:p>
    <w:p>
      <w:pPr>
        <w:pStyle w:val="TextBody"/>
        <w:bidi w:val="0"/>
        <w:spacing w:lineRule="auto" w:line="288" w:before="120" w:after="283"/>
        <w:jc w:val="both"/>
        <w:rPr/>
      </w:pPr>
      <w:r>
        <w:rPr>
          <w:rFonts w:ascii="Arial;sans-serif" w:hAnsi="Arial;sans-serif"/>
          <w:b w:val="false"/>
          <w:color w:val="000000"/>
          <w:sz w:val="20"/>
          <w:shd w:fill="FFFFFF" w:val="clear"/>
        </w:rPr>
        <w:t xml:space="preserve">As a result of the Lugano Investigation, the Company was in breach of certain financial and other covenants under its 2022 Credit Facility. As a result of the </w:t>
      </w:r>
      <w:r>
        <w:rPr>
          <w:rFonts w:ascii="Arial;sans-serif" w:hAnsi="Arial;sans-serif"/>
          <w:b w:val="false"/>
          <w:color w:val="000000"/>
          <w:sz w:val="20"/>
        </w:rPr>
        <w:t>Fifth Amendment</w:t>
      </w:r>
      <w:r>
        <w:rPr>
          <w:rFonts w:ascii="Arial;sans-serif" w:hAnsi="Arial;sans-serif"/>
          <w:b w:val="false"/>
          <w:color w:val="000000"/>
          <w:sz w:val="20"/>
          <w:shd w:fill="FFFFFF" w:val="clear"/>
        </w:rPr>
        <w:t xml:space="preserve">, the Company is no longer in default under its obligations under the 2022 Credit Facility; however, there is no certainty that the Company will be able to comply with the amended covenants under the 2022 Credit Facility when they are next tested. If the Company fails to comply with its amended covenants and is determined to be in default under the 2022 Credit Facility, our Credit Agreement Lenders may elect to exercise the remedies available to them, including but not limited to declaring our borrowings under the Credit Agreement due and payable, discontinuing further lending commitments, imposing cash dominion or other cash-management controls, and instructing our debtors and customers (and those of our subsidiaries) to remit payments directly to the Credit Agreement Administrative Agent.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the event of a future default under the 2022 Credit Facility, if our borrowings under the Credit Agreement are accelerated and the acceleration is not rescinded, annulled, or otherwise cured within thirty (30) days after the notice of acceleration, the holders of our Notes would have the right to declare the Notes due and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Any such outcome in the event of a breach would materially and adversely affect our liquidity, results of operations, financial condition, ability to execute on our business strategies, stock price, and our ability to continue as a going concern, and may require us to seek additional capital, refinance or restructure our indebtedness, sell assets, or pursue other strategic alternatives, none of which may be available on acceptable terms, if at all. Any new financing, if available, may impose significantly higher costs, require additional restrictive covenants, or result in substantial dilution to our stockholders. Additionally, the exercise of other remedies available to the Lenders under the Credit Agreement could disrupt our operations by interrupting our supply chain, limiting our ability to pay vendors, delaying customer deliveries, and increase the risk of losing key employees, any of which would materially harm our financial performance and business prospects. These circumstances may also negatively affect our relationships with customers, suppliers, employees, and other stakeholders. They have also required, and will continue to require, substantial management time and increased professional advisory costs.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intercompany loan to Lugano is subject to risk of loss.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2025, Lugano and certain of its subsidiaries filed a voluntary Chapter 11 petition under the United States Bankruptcy Code in the United States Bankruptcy Court for the District of Delaware. While our intercompany loan to Lugano is secured, the anticipated value of the collateral securing the loan is less than the value of the loan. Our ability to access the collateral may also be limited by bankruptcy and other applicable laws as well as claims by Lugano or its stakeholders attempting to invalidate or subordinate the intercompany loan. There is no assurance that the liquidation of the collateral securing our intercompany loan to Lugano will occur in a timely fashion or that the collateral can be readily liquidated. The amount and timing of any recoveries on our secured position are inherently uncertain and may differ from the amounts reflected in our estimates as of December 31, 2025. Our secured position may be challenged in the bankruptcy proceedings (including through claims seeking to subordinate or recharacterize our claim), and adverse outcomes could materially reduce or eliminate recoveries. In addition, parties in interest in the bankruptcy proceedings or other third parties could assert claims or causes of action against the Company and/or its directors and officers arising out of or relating to Lugano and the bankruptcy proceedings, which could result in substantial defense costs, potential liability or settlement payments, and could further reduce the net amount and timing of any recoveries.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addition, as previously disclosed, at Lugano’s request and subject to Bankruptcy Court approval, we agreed to provide Lugano with debtor-in-possession financing under Section 364 of the Bankruptcy Code in an amount not to exceed $12.0 million (inclusive of any “roll up” of prepetition indebtedness) (the “Lugano DIP Loan”). The Bankruptcy Court approved the Lugano DIP Loan on an interim basis, but never on a final basis as Lugano determined that it no longer needed the financing. Bankruptcy proceedings are inherently uncertain and may result in delays, additional claims, litigation, administrative expenses, and outcomes that are adverse to us.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are subject to ongoing government investigations relating to the Lugano matters, and such investigations could result in enforcement actions, penalties, and additional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previously disclosed, we and our Lugano subsidiary are subject to ongoing investigations initiated by the SEC and the DOJ relating to the Lugano Investigation, the related restatements, and our prior filing delays. Government investigations and enforcement proceedings are inherently uncertain, may take years to resolve, and may require us to devote substantial management time and resources to respond to subpoenas, information requests, interviews, and other investigative steps.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These matters could result in civil or criminal enforcement actions, settlements, fines, penalties, disgorgement, injunctive relief, or other remedies, including undertakings relating to compliance and internal controls. Any such outcomes could adversely affect our reputation, business, results of operations, financial condition, liquidity, and the market price of our securities, and could impair our ability to access the capital markets or refinance existing indebtedness.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have received notice from the NYSE that we were not in compliance with certain continued listing standards, and if we fail to regain and maintain compliance with NYSE listing standards, our securities could be delisted.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have received notices from NYSE regarding compliance with certain NYSE continued listing standards. In January 2026, the NYSE notified us that we were not in compliance with the NYSE’s corporate governance listing standards requiring issuers to hold an annual meeting during each fiscal year due to our inability to hold an annual meeting during fiscal 2025, and the NYSE appended a “below compliance” (“.BC”) indicator to our ticker symbols until we regain compliance. Although we intend to regain compliance by holding an annual meeting as soon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practicable in fiscal 2026, there can be no assurance that we will regain compliance within the timeframe expected or that we will not receive additional notices of noncompliance.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addition, in 2025 the NYSE notified us that we were not in compliance with NYSE’s timely filing requirements due to our inability to timely file certain periodic reports while the Lugano Investigation and the related restatement process were ongoing. While we have resolved our late filings for 2025, if we fail to timely file future periodic reports or otherwise fail to satisfy continued listing requirements, the NYSE may commence delisting procedures. A delisting would likely reduce the liquidity of our securities, increase our cost of capital, limit our ability to access the public capital markets, and could trigger defaults or other adverse consequences under certain agreements.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Risks Related to Our Business and Structure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future success is dependent on the employees of our Manager and the management teams of our businesses, the loss of any of whom could materially adversely affect our financial condition, business and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future success depends, to a significant extent, on the continued services of the employees of our Manager, most of whom have worked together for a number of years. Our Manager does not have an employment agreement with our Chief Executive Officer and, in any event, employment agreements may not prevent our Manager’s employees from leaving or from competing with us in the future. The demands associated with the Lugano Investigation, the restatement process, and ongoing remediation efforts may increase turnover risk and may make it more difficult to retain and recruit qualified personnel.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future success of our businesses also depends on their respective management teams because we primarily rely on existing management teams for management of their day-to-day operations. Consequently, their operational success, as well as the success of our internal growth strategy, will be dependent on the continued efforts of the management teams of the businesses. The loss of services of one or more members of our management team or the management team at one of our businesses could materially adversely affect our financial condition, business and results of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The success of our branded consumer businesses depends on our ability to maintain the value and reputation of the brand and the failure to do so could reduce profits and adversely impact our financial condition.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name of our branded consumer businesses is integral to those businesses. Maintaining, promoting, and positioning our branded consumer businesses will depend, in part, on the success of marketing and merchandising efforts and the ability to provide a consistent, high quality products and services. Our branded consumer businesses rely on social media, as one of their marketing strategies, to have a positive impact on both brand value and reputation. The brand and reputation of our branded consumer businesses could be adversely affected if those subsidiaries fail to achieve their objectives, if their public image was to be tarnished by negative publicity, which could be amplified by social media, or if they fail to deliver innovative and high quality products. The reputation of our branded consumer businesses could also be impacted by adverse publicity, whether or not valid, regarding allegations that we or our subsidiaries, or persons associated with us or our subsidiaries or formerly associated with us or our subsidiaries, have violated applicable laws or regulations, including but not limited to those related to safety, employment, discrimination, harassment, whistle-blowing, privacy, corporate citizenship or improper business practices. Additionally, the value of our businesses’ brands may be harmed if our businesses fail to protect their intellectual property. Any harm to the brand or reputation of our subsidiaries could have a material adverse effect on our profitability and financial condition.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We may experience challenges in identifying acquisition targets and, in the event we do acquire a target, we may be unable to effectively integrate or manage such target or it may fail to perform as expected which could adversely impact our financial condition and results of operations.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component of our strategy is to continue to acquire additional subsidiaries, as well as add-on acquisitions for our existing subsidiaries. If our reputation suffers due to the Lugano Investigation or otherwise, we may experience challenges in causing acquisition targets to work with us. Generally, because such acquisition targets are held privately, we may experience difficulty in evaluating potential target businesses as the information concerning these businesses is not publicly available. In addition, we and our subsidiary companies may have difficulty effectively managing or integrating acquisitions or they may fail to perform as anticipated. In such events, we may experience greater than expected costs or difficulties relating to such acquisition, in which case, we might not achieve our anticipated returns and our financial condition, business, and results of operations may be adversely affected.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addition, constraints on our liquidity and access to the debt and equity capital markets (including limitations on our ability to utilize at-the-market equity programs and other equity issuance alternatives) could limit our ability to pursue acquisitions or could require us to pursue acquisitions on terms that are less favorable to us.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may not be able to successfully fund future acquisitions of new businesses due to the lack of availability of debt or equity financing at the Company level on acceptable terms, which could impede the implementation of our acquisition strategy and materially adversely impact our financial condition, business and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order to make future acquisitions, we intend to raise capital primarily through debt financing at the Company level, additional equity offerings, the sale of stock or assets of our businesses, and by offering equity in the Trust or our businesses to the sellers of target businesses or by undertaking a combination of any of the above. Since the timing and size of acquisitions cannot be readily predicted, we may need to be able to obtain funding on short notice to benefit fully from attractive acquisition opportunities. Such funding may not be available on acceptable terms, especially in light of the Lugano Investigation. Our prior filing delays and any future delays could also limit our ability to access the public capital markets efficiently, including by limiting our ability to use certain registration statement forms or offering methods that are available to timely filers. In addition, the level of our indebtedness may impact our ability to borrow at the Company level. These risks may materially adversely affect our ability to pursue our acquisition strategy successfully and our financial condition, business and results of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Under the Trust Agreement, the Company’s Board will have the power to cause the Trust to be converted to a corporation in the future at its sole discretion in ways with which our shareholders may disagree.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Trust Agreement authorizes the Company, acting through the Board and without further shareholder approval, to cause the Trust to be converted to a corporation (the “Conversion”). As a shareholder of the Trust, you may disagree with the terms of the Conversion that might be implemented by the Company’s Board in the future, and you may disagree with the Board’s determination that the terms of the Conversion are not materially adverse to you as a shareholder or that they are in the best interests of the Trust and its shareholders. Your recourse, if you disagree, will be limited because our Trust Agreement gives broad authority and discretion to the Board to implement the Conversion as long as the Board determines that it will be in the best interests of the Trust and its shareholders to do so.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The Company’s Board has full authority and discretion over the distributions of the Company, other than the profit allocation, and it may decide to reduce or eliminate distributions at any time, which may materially adversely affect the market price for our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Board has full authority and discretion to determine whether or not a distribution by the Company should be declared and paid to the Trust and in turn, subject to U.S. federal income taxes and applicable state and local taxes, to our shareholders, as well as the amount and timing of any distribution. In addition, the management fee and profit allocation will be payment obligations of the Company and, as a result, will be paid, along with other Company obligations, prior to the payment of distributions to our shareholders. The Board may, and in fiscal year 2025 has, based on their review of our financial condition and results of operations and pending acquisitions and our tax structure, determine to reduce or eliminate distributions, which may have a material adverse effect on the market price of our shares.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rely entirely on receipts from our businesses to make distributions to our shareholders.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rely on distributions and other payments from our operating subsidiaries to meet our obligations and to make distributions to our shareholders, and minority owners of our subsidiaries may reduce amounts available to us.</w:t>
      </w:r>
    </w:p>
    <w:p>
      <w:pPr>
        <w:pStyle w:val="TextBody"/>
        <w:bidi w:val="0"/>
        <w:spacing w:lineRule="auto" w:line="288" w:before="180" w:after="283"/>
        <w:jc w:val="both"/>
        <w:rPr/>
      </w:pPr>
      <w:r>
        <w:rPr>
          <w:rFonts w:ascii="Arial;sans-serif" w:hAnsi="Arial;sans-serif"/>
          <w:b w:val="false"/>
          <w:color w:val="000000"/>
          <w:sz w:val="20"/>
        </w:rPr>
        <w:t xml:space="preserve">The Trust’s sole asset is its interest in the LLC, which holds controlling interests in </w:t>
      </w:r>
      <w:r>
        <w:rPr>
          <w:rFonts w:ascii="Arial;sans-serif" w:hAnsi="Arial;sans-serif"/>
          <w:b w:val="false"/>
          <w:color w:val="000000"/>
          <w:sz w:val="24"/>
        </w:rPr>
        <w:t>our</w:t>
      </w:r>
      <w:r>
        <w:rPr>
          <w:color w:val="000000"/>
        </w:rPr>
        <w:t xml:space="preserve"> </w:t>
      </w:r>
      <w:r>
        <w:rPr>
          <w:rFonts w:ascii="Arial;sans-serif" w:hAnsi="Arial;sans-serif"/>
          <w:b w:val="false"/>
          <w:color w:val="000000"/>
          <w:sz w:val="20"/>
        </w:rPr>
        <w:t xml:space="preserve">operating subsidiaries. We are therefore dependent upon the ability of our operating subsidiaries to generate earnings and cash flow through dividends, interest and principal payments on intercompany indebtedness, and other permitted distributions, to enable us to satisfy our obligations (including debt service, taxes and management fees) and to make distributions to our shareholders. Our subsidiaries’ ability to make distributions to us may be restricted by applicable law, their organizational documents, and the rights of minority owners.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addition, we do not own 100% of our businesses. To the extent our subsidiaries make dividends or other distributions to equity holders, minority owners may be entitled to receive their pro rata share, which reduces the amounts available to us for debt service, reinvestment, or distributions to our shareholders. Similarly, proceeds from the sale of a subsidiary will be allocated among us and the minority owners of that subsidiary.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The Company’s Board has the power to change the terms of our shares in its sole discretion in ways with which you may disagree.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an owner of our shares, you may disagree with changes made to the terms of our shares, and you may disagree with the Board's decision that the changes made to the terms of the shares are not materially adverse to you as a shareholder or that they do not alter the characterization of the Trust. Your recourse, if you disagree, will be limited because our Trust Agreement gives broad authority and discretion to our Board.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Certain provisions of the LLC Agreement of the Company and the Trust Agreement make it difficult for third parties to acquire control of the Trust and the LLC and could deprive you of the opportunity to obtain a takeover premium for your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LLC Agreement of the LLC and the Trust Agreement of the Trust contain a number of provisions that could make it more difficult for a third party to acquire, or may discourage a third party from acquiring, control of the Trust and the Company. These provisions include, among others: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restrictions on the LLC’s ability to enter into certain transactions with our major shareholders, with the exception of our Manager, modeled on the limitation contained in Section 203 of the Delaware General Corporation Law, or DGCL;</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allowing only the Company's Board to fill newly created directorships, for those directors who are elected by our shareholders, and allowing only Sostratus LLC, as Holder of our Allocation Interests (holders of Allocation Interests collectively the “Holders”), to fill vacancies with respect to the class of directors appointed by our Allocation Interest Holder;</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requiring that directors elected by our shareholders be removed, with or without cause, only by a vote of 85% of our shareholders;</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requiring advance notice for nominations of candidates for election to the Company’s Board or for proposing matters that can be acted upon by our shareholders at a shareholders’ meeting;</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having a substantial number of additional authorized but unissued shares that may be issued without shareholder action;</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providing the Company’s Board with certain authority to amend the LLC Agreement and the Trust Agreement, subject to certain voting and consent rights of the holders of trust interests and Allocation Interests; and</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limitations regarding calling special meetings and written consents of our shareholders.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These provisions, as well as other provisions in the LLC Agreement and Trust Agreement may delay, defer or prevent a transaction or a change in control that might otherwise result in you obtaining a takeover premium for your shares.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may have conflicts of interest with the noncontrolling shareholders of our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boards of directors of our respective businesses have fiduciary duties to all their shareholders, including the Company and noncontrolling shareholders. As a result, they may make decisions that are in the best interests of their shareholders generally, but which are not necessarily in the best interest of the Company or our shareholders. In dealings with the Company, the directors of our businesses may have conflicts of interest and decisions may have to be made without the participation of directors appointed by the Company, and such decisions may be different from those that we would make.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Our substantial indebtedness and exposure to variable interest rates could materially adversely affect our liquidity, financial condition, and ability to operate our business, service our debt, and make distributions.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December 31, 2025, we had approximately $1.89 billion of consolidated debt outstanding. Our level of indebtedness, and the debt service obligations associated with it, could have significant adverse consequences, including, among other things: (i) requiring a substantial portion of our cash flows to be used for interest and principal payments, thereby reducing cash available for working capital, capital expenditures, acquisitions, and distributions; (ii) limiting our ability to obtain additional financing (including to refinance existing indebtedness) on acceptable terms, or at all; (iii) increasing our vulnerability to adverse economic, industry, and business conditions, including periods of reduced demand or compressed margins at our subsidiaries; (iv) limiting our flexibility in planning for, or reacting to, changes in our business and the businesses of our subsidiaries; and (v) increasing the cost of future borrowings and/or increasing the likelihood that we would need to sell assets, raise equity (potentially on dilutive terms), or pursue other strategic alternatives to generate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Our indebtedness also subjects us and certain of our subsidiaries to restrictive covenants and other contractual requirements, including financial maintenance covenants and limitations on, among other things, additional indebtedness, liens, asset sales, investments, and distributions. These restrictions may limit our operating flexibility and may constrain our ability to respond to changing market conditions or pursue our strategic objectives. If we fail to comply with the covenants or other terms of our indebtedness, we could be required to seek waivers or amendments, which may not be available on acceptable terms, or at all. A covenant breach or other event of default could result in increased borrowing costs, the acceleration of some or all of our indebtedness, the imposition of additional lender controls (including cash management measures), and cross-defaults under other debt instruments, any of which could materially and adversely affect our liquidity and financial condition.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a portion of our indebtedness—most significantly borrowings under our credit facility—bears interest at floating rates. As a result, increases in benchmark interest rates and/or applicable margins would increase our interest expense and debt service requirements. Higher interest expense could reduce our earnings and cash flows, make it more difficult to comply with financial covenants, reduce cash available for distributions, and adversely affect our ability to refinance indebtedness or incur additional debt. While we may from time to time enter into hedging arrangements to mitigate exposure to interest rate volatility, any such arrangements may not be available on acceptable terms, may not be effective, and may expose us to additional risks, including counterparty risk and potential cash payment obligations.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Any of the foregoing risks could materially and adversely affect our business, results of operations, financial condition, liquidity, and the trading price of our securities.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may engage in a business transaction with one or more target businesses that have relationships with our officers, our directors, or our Manager, which may create potential conflicts of interest.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may decide to acquire one or more businesses with which our officers, our directors, or our Manager have a relationship. Potential conflicts of interest may exist with respect to a particular acquisition, and, as a result, the terms of the acquisition of a target business may not be as advantageous to our shareholders as it would have been absent any conflicts of interest.</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If, in the future, we cease to control and operate our businesses, we may be deemed to be an investment company under the Investment Company Act of 1940, as amended, which may adversely affect our business, financial conditions and otherwise.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Under the terms of the LLC Agreement, we have the latitude to make investments in businesses that we will not operate or control. If we make significant investments in businesses that we do not operate or control or cease to operate and control our businesses, we may be deemed to be an investment company under the Investment Company Act of 1940, as amended, or the Investment Company Act. If we were deemed to be an investment company, we would either have to register as an investment company under the Investment Company Act, obtain exemptive relief from the SEC or modify our investments or organizational structure or our contract rights to fall outside the definition of an investment company. Registering as an investment company could, among other things, materially adversely affect our financial condition, business and results of operations, materially limit our ability to borrow funds or engage in other transactions involving leverage and require us to add directors who are independent of us or our Manager and otherwise will subject us to additional regulation that will be costly and time-consuming.</w:t>
      </w:r>
    </w:p>
    <w:p>
      <w:pPr>
        <w:pStyle w:val="TextBody"/>
        <w:bidi w:val="0"/>
        <w:spacing w:lineRule="auto" w:line="288" w:before="180" w:after="283"/>
        <w:jc w:val="both"/>
        <w:rPr/>
      </w:pPr>
      <w:r>
        <w:rPr>
          <w:rFonts w:ascii="Arial;sans-serif" w:hAnsi="Arial;sans-serif"/>
          <w:b/>
          <w:i/>
          <w:color w:val="000000"/>
          <w:sz w:val="20"/>
          <w:shd w:fill="FFFFFF" w:val="clear"/>
        </w:rPr>
        <w:t>Certain of our businesses are dependent on a limited number of customers to derive a large portion of their revenue, and the loss of one of these customers may adversely affect the financial condition, business and results of operations of these businesses.</w:t>
      </w:r>
      <w:r>
        <w:rPr>
          <w:color w:val="000000"/>
          <w:shd w:fill="FFFFFF" w:val="clear"/>
        </w:rPr>
        <w:t xml:space="preserve"> </w:t>
      </w:r>
    </w:p>
    <w:p>
      <w:pPr>
        <w:pStyle w:val="TextBody"/>
        <w:bidi w:val="0"/>
        <w:spacing w:lineRule="auto" w:line="288" w:before="120" w:after="283"/>
        <w:jc w:val="both"/>
        <w:rPr/>
      </w:pPr>
      <w:r>
        <w:rPr>
          <w:rFonts w:ascii="Arial;sans-serif" w:hAnsi="Arial;sans-serif"/>
          <w:b w:val="false"/>
          <w:color w:val="000000"/>
          <w:sz w:val="20"/>
        </w:rPr>
        <w:t>Our The Honey Pot Co., Altor and Sterno businesses derive a significant amount of revenue from a concentrated number of retailers, distributors or manufacturers.</w:t>
      </w:r>
      <w:r>
        <w:rPr>
          <w:color w:val="000000"/>
        </w:rPr>
        <w:t xml:space="preserve"> </w:t>
      </w:r>
      <w:r>
        <w:rPr>
          <w:rFonts w:ascii="Arial;sans-serif" w:hAnsi="Arial;sans-serif"/>
          <w:b w:val="false"/>
          <w:color w:val="000000"/>
          <w:sz w:val="20"/>
        </w:rPr>
        <w:t>Any negative change involving these retailers, distributors or manufacturers, including industry consolidation, store closings, reduction in purchasing levels or bankruptcies, could negatively impact the sales of these businesses and may have a material adverse effect on the results of operations, financial condition and cash flows of these businesses.</w:t>
      </w:r>
      <w:r>
        <w:rPr>
          <w:color w:val="000000"/>
        </w:rPr>
        <w:t xml:space="preserv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businesses do not have and may not have long-term contracts with their customers and clients and the loss of customers and clients could materially adversely affect their financial condition,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businesses are and may be based primarily upon individual orders and sales with their customers and clients. Our businesses historically have not entered into long-term supply contracts with their customers and clients. As such, their customers and clients could cease using their services or buying their products from them at any time and for any reason. The fact that they do not enter into long-term contracts with their customers and clients means that they have limited contractual protections in the event a customer or client no longer wants to use their services or purchase products from them. If a significant number of their customers or clients elect not to use their services or purchase their products, it could materially adversely affect their financial condition, business and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Changes to U.S. tariff and import/export regulations may have a negative effect on economic activity, financial conditions and results of our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U.S. has enacted and proposed to enact significant new tariffs. Additionally further evaluation of key aspects of U.S. trade policy is occurring, along with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significantly affect global trade and, in particular, trade between the impacted nations and the U.S. Any of these factors could depress economic activity and restrict our businesses' access to suppliers or customers and have a material adverse effect on their business, financial condition and results of operations. These effects may be more pronounced for businesses with meaningful sourcing, manufacturing, or sales outside the United States, and we may not be able to pass through tariff-related cost increases to customers on a timely basis,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Risks Related to Taxation</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The Trust is subject to U.S. corporate income taxes which reduce the earnings and cash available for distributions to holders of Trust common shares in respect of such investments and could adversely affect the value of Trust common shareholders’ investment.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Effective September 1, 2021, the Trust elected to be treated as a corporation for U.S. federal income tax purposes (the “Election”). The Trust now incurs entity level U.S. federal corporate income taxes and applicable state and local taxes that it would not otherwise incur if it were still treated as a partnership for U.S. tax purposes. In addition, before the Election, income from the Trust was passed through to holders of its Preferred Shares, which resulted in less income being passed through from the Trust to holders of its common shares and effectively reduced each common shareholder’s allocable share of the Trust’s income; however, after the Election, no income will pass through to any shareholders, but the Trust will not be able to claim a tax deduction for distributions in respect of the Preferred Shares. Therefore, the amount of cash available for distributions to holders of Trust common shares could be reduced and their investment could be adversely affected.</w:t>
      </w:r>
    </w:p>
    <w:p>
      <w:pPr>
        <w:pStyle w:val="TextBody"/>
        <w:bidi w:val="0"/>
        <w:spacing w:lineRule="auto" w:line="288" w:before="180" w:after="283"/>
        <w:jc w:val="both"/>
        <w:rPr>
          <w:rFonts w:ascii="Arial;sans-serif" w:hAnsi="Arial;sans-serif"/>
          <w:b/>
          <w:i/>
          <w:color w:val="0E2236"/>
          <w:sz w:val="20"/>
        </w:rPr>
      </w:pPr>
      <w:r>
        <w:rPr>
          <w:rFonts w:ascii="Arial;sans-serif" w:hAnsi="Arial;sans-serif"/>
          <w:b/>
          <w:i/>
          <w:color w:val="0E2236"/>
          <w:sz w:val="20"/>
        </w:rPr>
        <w:t>Future changes to tax laws are uncertain and may result in the Trust paying corporate income tax at rates higher than expected or result in the Trust failing to realize the anticipated benefits of the Election.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Future changes to tax laws are uncertain, but any such changes could cause the Trust to fail to realize the anticipated benefits of the Election. If corporate income tax rates are raised, the anticipated advantages of being treated as a corporation for U.S. tax purposes would be diminished. In addition, changes in U.S. tax law, including changes enacted in 2025 and any future legislative or regulatory developments (including changes affecting the deductibility of interest expense and other items relevant to leveraged businesses), could increase the Trust’s tax liabilities or otherwise reduce the cash available for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Related to the Preferred Shares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Distributions on the Series A Preferred Shares are discretionary and non-cumulative.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Distributions on the Series A Preferred Shares are discretionary and non-cumulative. Holders of the Series A Preferred Shares will only receive distributions of the Series A Preferred Shares when, as and if declared by the Board of the Company. Consequently, if the Board of the Company does not authorize and declare a distribution for a distribution period, holders of the Series A Preferred Shares would not be entitled to receive any distribution for such distribution period, and such unpaid distribution will not be payable in such distribution period or in later distribution periods. We will have no obligation to pay distributions for a distribution period if the Board of the Company does not declare such distribution before the scheduled record date for such period, whether or not distributions are declared or paid for any subsequent distribution period with respect to the Series A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Shares, or any other preferred shares we may issue or our common shares. This may result in holders of the Series A Preferred Shares not receiving the full amount of distributions that they expect to receive, or any distributions, and may make it more difficult to resell Series A Preferred Shares or to do so at a price that the holder finds attractive.</w:t>
      </w:r>
    </w:p>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The Board of the Company may, in its sole discretion, determine to suspend distributions on the Series A Preferred Shares, which may have a material adverse effect on the market price of the Series A Preferred Shares. Our operations may not generate sufficient cash flows to enable us to pay distributions on the Series A Preferred Shares. Our financial and operating performance is subject to prevailing economic and industry conditions and to financial, business and other factors, some of which are beyond our control.</w:t>
      </w:r>
    </w:p>
    <w:p>
      <w:pPr>
        <w:pStyle w:val="TextBody"/>
        <w:bidi w:val="0"/>
        <w:spacing w:lineRule="auto" w:line="288" w:before="180" w:after="180"/>
        <w:jc w:val="both"/>
        <w:rPr>
          <w:rFonts w:ascii="Arial;sans-serif" w:hAnsi="Arial;sans-serif"/>
          <w:b/>
          <w:i/>
          <w:color w:val="000000"/>
          <w:sz w:val="20"/>
        </w:rPr>
      </w:pPr>
      <w:r>
        <w:rPr>
          <w:rFonts w:ascii="Arial;sans-serif" w:hAnsi="Arial;sans-serif"/>
          <w:b/>
          <w:i/>
          <w:color w:val="000000"/>
          <w:sz w:val="20"/>
        </w:rPr>
        <w:t>The Series A, Series B and Series C Preferred Shares are equity securities and are subordinated to our existing and future indebtedness.</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The Series A, Series B and Series C Preferred Shares are our equity interests and do not constitute indebtedness. This means that the Series A, Series B and Series C Preferred Shares rank junior to all of our indebtedness and to other non-equity claims on us and our assets available to satisfy claims on us, including claims in the event of our liquidation. In addition, the rights allocated to the Company’s Allocation Interests may reduce the amount available for distribution by the Trust upon its liquidation, dissolution or winding up. Further, the Series A, Series B and Series C Preferred Shares place no restrictions on our business or operations or on our ability to incur indebtedness or engage in any transactions, subject only to the limited voting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Relating to Our Manager</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Chief Executive Officer, directors, Manager and management team may allocate some of their time to other businesses, thereby causing conflicts of interest in their determination as to how much time to devote to our affairs, which may materially adversely affect our operations.</w:t>
      </w:r>
    </w:p>
    <w:p>
      <w:pPr>
        <w:pStyle w:val="TextBody"/>
        <w:bidi w:val="0"/>
        <w:spacing w:lineRule="auto" w:line="288" w:before="120" w:after="283"/>
        <w:jc w:val="both"/>
        <w:rPr/>
      </w:pPr>
      <w:r>
        <w:rPr>
          <w:rFonts w:ascii="Arial;sans-serif" w:hAnsi="Arial;sans-serif"/>
          <w:b w:val="false"/>
          <w:color w:val="000000"/>
          <w:sz w:val="20"/>
        </w:rPr>
        <w:t>Only our Chief Financial Officer, Mr. Stephen Keller, devotes substantially all of his time to our affairs. Our Chief Executive Officer, directors, Manager and members of our management team may engage in other business activities. This may result in a conflict of interest in allocating their time between our operations and our management and operations of other businesses. Conflicts of interest that arise over the allocation of time may not always be resolved in our favor and may materially adversely affect our operations. See Part III, Item 13. "</w:t>
      </w:r>
      <w:hyperlink w:anchor="i1c8fbf41abdb4a90b1f02abaa0b14bbd_211">
        <w:r>
          <w:rPr>
            <w:rStyle w:val="InternetLink"/>
            <w:rFonts w:ascii="Arial;sans-serif" w:hAnsi="Arial;sans-serif"/>
            <w:b w:val="false"/>
            <w:color w:val="0000FF"/>
            <w:sz w:val="20"/>
            <w:u w:val="single"/>
          </w:rPr>
          <w:t>Certain Relationships and Related Transactions, and Director Independence</w:t>
        </w:r>
      </w:hyperlink>
      <w:r>
        <w:rPr>
          <w:rFonts w:ascii="Arial;sans-serif" w:hAnsi="Arial;sans-serif"/>
          <w:b w:val="false"/>
          <w:color w:val="000000"/>
          <w:sz w:val="20"/>
        </w:rPr>
        <w:t>" for the potential conflicts of interest of which you should be aware.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Manager and its affiliates, including members of our management team, may engage in activities that compete with us or our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Neither our management team nor our Manager is expressly prohibited from investing in or managing other entities, including those that are in the same or similar line of business as our businesses. In this regard, the Management Services Agreement and the obligation to provide management services will not create a mutually exclusive relationship between our Manager and its affiliates, on the one hand, and the Company, on the other.</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Our Manager need not present an acquisition or disposition opportunity to us if our Manager determines on its own that such acquisition or disposition opportunity does not meet the Company’s acquisition or disposition criteria.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Manager will review any acquisition or disposition opportunity presented to the Manager to determine if it satisfies the Company’s acquisition or disposition criteria, as established by the Company’s Board from time to time. If our Manager determines, in its sole discretion, that an opportunity fits our criteria, our Manager will refer the opportunity to the Company’s Board for its authorization and approval prior to the consummation thereof; opportunities that our Manager determines do not fit our criteria do not need to be presented to the Company’s Board for consideration. If such an opportunity is ultimately profitable, we will have not participated in such opportunity. Upon a determination by the Company’s Board not to promptly pursue an opportunity presented to it by our Manager in whole or in part, our Manager will be unrestricted in its ability to pursue such opportunity, or any part that we do not promptly pursue, on its own or refer such opportunity to other entities, including its affiliates.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cannot remove our Manager solely for poor performance, which could limit our ability to improve our performance and could materially adversely affect the market price of our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Under the terms of the Management Services Agreement, our Manager cannot be removed solely as a result of under-performance without approval of our shareholders and at a significant cost. Instead, the Company’s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can only remove our Manager in certain limited circumstances or upon a vote by the majority of the Company’s Board and the majority of our shareholders to terminate the Management Services Agreement. Termination of our Manager may also require the Company to incur significant payments and reimbursements to our Manager. In addition, in the event we terminated our Manager, we may not be able to contract with a new manager or hire internal management with similar expertise and ability to provide the same or equivalent services on acceptable terms, in which case our operations are likely to experience a disruption and our financial condition, business, and results of operations, as well as our ability to pay distributions, are likely to be adversely affected. This limitation could materially adversely affect the market price of our shares.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Manager can resign on 180 days’ notice and we may not be able to find a suitable replacement within that time, resulting in a disruption in our operations that could materially adversely affect our financial condition, business and results of operations as well as the market price of our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Manager has the right, under the Management Services Agreement, to resign at any time on 180 days’ written notice, whether we have found a replacement or not. If our Manager resigns, we may not be able to contract with a new manager or hire internal management with similar expertise and ability to provide the same or equivalent services on acceptable terms within 180 days, or at all, in which case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acquisition activities and supervision of our businesses is likely to suffer if we are unable to identify and reach an agreement with a single institution or group of executives having the expertise possessed by our Manager and its affiliates. Even if we are able to retain comparable management, whether internal or external, the integration of such management and their lack of familiarity with our businesses may result in additional costs and time delays that could materially adversely affect our financial condition, business and results of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We must pay our Manager the base management fee regardless of our performance.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Manager is entitled to receive a management fee that is based on our adjusted consolidated net assets, as defined in the Management Services Agreement, regardless of the performance of our businesses. The calculation of the management fee is unrelated to the Company’s net income. As a result, the management fee may incentivize our Manager to increase the amount of our assets. For example, the acquisition of additional assets or the incurrence of third party debt could be prioritized rather than increasing the performance of our businesses.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cannot determine the amount of profit allocation that will be paid over time with any certainty.</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Our management fee consists of a base management fee and, if specified performance measure is met under certain circumstances, an incentive management fee. Both the base management fee and the incentive management fee are calculated by reference to the Company’s adjusted net assets, which will be impacted by the acquisition or disposition of businesses, which can be significantly influenced by our Manager, as well as the performance of our businesses and other businesses we may acquire in the future. Changes in adjusted net assets and in the resulting management fees could be significant, resulting in a material adverse effect on the Company’s results of operations. In addition, if the performance of the Company declines, assuming adjusted net assets remains the same, management fees will increase as a percentage of the Company’s net income. While the MSA provides for a reduction of future payments due to an overpayment to the Manager, for example as a result of the Lugano Investigation, the timeline of such reductions is subject to negotiation between the Company and the Manager and may delay the return of any overpayments.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The fees to be paid to our Manager pursuant to the Management Services Agreement, and the offsetting management services agreements and the profit allocation to be paid to certain persons who are employees and partners of our Manager, as Holders of the Allocation Interests, pursuant to the LLC Agreement may significantly reduce the amount of earnings and cash available for distribution to our shareholders.</w:t>
      </w:r>
    </w:p>
    <w:p>
      <w:pPr>
        <w:pStyle w:val="TextBody"/>
        <w:bidi w:val="0"/>
        <w:spacing w:lineRule="auto" w:line="288" w:before="120" w:after="283"/>
        <w:jc w:val="both"/>
        <w:rPr/>
      </w:pPr>
      <w:r>
        <w:rPr>
          <w:rFonts w:ascii="Arial;sans-serif" w:hAnsi="Arial;sans-serif"/>
          <w:b w:val="false"/>
          <w:color w:val="000000"/>
          <w:sz w:val="20"/>
        </w:rPr>
        <w:t>Under the Management Services Agreement, the Company will be obligated to pay management fees to and, subject to certain conditions, reimburse the costs and out-of-pocket expenses of our Manager incurred on behalf of the Company in connection with the provision of services to the Company. Similarly, our businesses will be obligated to pay fees to and reimburse the costs and expenses of our Manager pursuant to any offsetting management services agreements entered into between our Manager and one of our businesses. In addition, Sostratus LLC, as Holder of the Allocation Interests, will be entitled to receive profit allocations. While it is difficult to quantify with any certainty the actual amount of any such payments in the future, we do expect that such amounts could be substantial. See the section entitled Part 3, Item 13. “</w:t>
      </w:r>
      <w:hyperlink w:anchor="i1c8fbf41abdb4a90b1f02abaa0b14bbd_211">
        <w:r>
          <w:rPr>
            <w:rStyle w:val="InternetLink"/>
            <w:rFonts w:ascii="Arial;sans-serif" w:hAnsi="Arial;sans-serif"/>
            <w:b w:val="false"/>
            <w:color w:val="0000FF"/>
            <w:sz w:val="20"/>
            <w:u w:val="single"/>
          </w:rPr>
          <w:t xml:space="preserve">Certain Relationships and Related Transactions, and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pPr>
      <w:hyperlink w:anchor="i1c8fbf41abdb4a90b1f02abaa0b14bbd_211">
        <w:r>
          <w:rPr>
            <w:rStyle w:val="InternetLink"/>
            <w:rFonts w:ascii="Arial;sans-serif" w:hAnsi="Arial;sans-serif"/>
            <w:b w:val="false"/>
            <w:color w:val="0000FF"/>
            <w:sz w:val="20"/>
            <w:u w:val="single"/>
          </w:rPr>
          <w:t>Director Independence</w:t>
        </w:r>
      </w:hyperlink>
      <w:r>
        <w:rPr>
          <w:color w:val="000000"/>
        </w:rPr>
        <w:t xml:space="preserve">” </w:t>
      </w:r>
      <w:r>
        <w:rPr>
          <w:rFonts w:ascii="Arial;sans-serif" w:hAnsi="Arial;sans-serif"/>
          <w:b w:val="false"/>
          <w:color w:val="000000"/>
          <w:sz w:val="20"/>
        </w:rPr>
        <w:t>for more information about these payment obligations of the Company. The management fees and profit allocation will be payment obligations of the Company and, as a result, will be paid, along with other Company obligations, prior to the payment of distributions to shareholders. As a result, the payment of these amounts may significantly reduce the amount of earnings and cash available for distribution to our shareholders.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Manager’s influence on conducting our operations, including on our conducting of transactions, gives it the ability to increase its fees, which may reduce the amount of earnings and cash available for distribution to our shareholders.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Under the terms of the Management Services Agreement, the Company will pay our Manager a base management fee and, if specified performance measure is met under certain circumstances, an incentive management fee. The base management fee is calculated as a percentage (which varies based on our size) of the Company’s adjusted net assets for certain items and is unrelated to net income or any other performance base or measure. Our Manager controls and may advise us to consummate transactions, incur third party debt or conduct our operations in a manner that, in our Manager’s reasonable discretion, are necessary to the future growth of our businesses and are in the best interests of our shareholders. These transactions, however, may increase the amount of fees paid to our Manager. Our Manager’s recommendations and influence over our operations and transaction activity may result in actions that increase adjusted net assets and, consequently, the fees payable to our Manager, which could reduce cash available for our other obligations and distributions.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profit allocation may induce our Manager to make suboptimal decisions regarding our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Sostratus LLC, as Holder of our Allocation Interests, will receive a profit allocation based on ongoing cash flows and capital gains in excess of a hurdle rate. Certain persons who are employees and partners of our Manager are owners of Sostratus LLC. In this respect, a calculation and payment of profit allocation may be triggered upon the sale of one of our businesses. As a result, our Manager may be incentivized to recommend the sale of one or more of our businesses to the Company’s Board at a time that may not be optimal for our shareholders.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The obligations to pay management fees and profit allocation may cause the Company to liquidate assets or incur debt.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we do not have sufficient liquid assets to pay the management fees and profit allocation when such payments are due, we may be required to liquidate assets or incur debt in order to make such payments. This circumstance could materially adversely affect our liquidity and ability to make distributions to our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Specific to Our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Risks Related to Arnold</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Arnold's operations and the prior operations of predecessor companies expose it to the risk of material environmental liabilities, which could have a negative effect on its financial condition or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Arnold may be subject to potential liabilities related to the remediation of environmental hazards and to claims of personal injuries or property damages that may be caused by hazardous substance releases and exposures, mainly because of past operations and the operations of predecessor companies. Arnold continues to incur remedial response and voluntary clean-up costs for site contamination, for which we may not be fully indemnified, and are a party to lawsuits and claims associated with environmental and safety matters, including past production of products containing hazardous materials. Arnold also may become party to various legal proceedings relating to alleged impacts from pollutants released into the environment. Various federal, state, local and foreign governments regulate the discharge of materials into the environment and can impose substantial fines and criminal sanctions for violations. In addition, changes in laws, regulations and enforcement of policies, the discovery of previously unknown contamination or information related to individual sites, the establishment of stricter state or federal toxicity standards with respect to certain contaminants, or the imposition of new clean-up requirements or remedial techniques could require Arnold to incur additional costs in the future that would have a negative effect on its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Risks Related to Sterno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Sterno's products operate at high temperatures and use flammable fuels, each of which could subject our business to product liability claims, which could adversely affect its reputation and reduce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demand.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Sterno's products expose it to potential product liability claims typical of fuel based heating products. The fuels Sterno uses in its products are flammable and may be toxic if ingested. Accidents involving Sterno's products may have an adverse effect on its reputation and reduce demand for its products. In addition, Sterno may be held responsible for damages beyond its insurance coverage and we may not be able to procure adequate insurance coverage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Risks Related to Velocity Outdoor</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Velocity’s products are subject to product safety and liability lawsuits, which could materially adversely affect its financial condition, business and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a manufacturer of archery products, Velocity is involved in various litigation matters that occur in the ordinary course of business. Not all users of its products will observe all proper safety practices. Failure to observe proper safety practices may result in injuries that give rise to product liability and personal injury claims and lawsuits, as well as claims for breach of contract, loss of profits and consequential damages.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If any unresolved lawsuits or claims are determined adversely, they could have a material adverse effect on Velocity, its financial condition, business and results of operations. As more of Velocity’s products are sold to and used by its consumers, the likelihood of product liability claims being made against it increases. In addition, the running of statutes of limitations in the U.S. for personal injuries to minor children may be suspended during the child’s legal minority. Therefore, it is possible that accidents resulting in injuries to minors may not give rise to lawsuits until a number of years later.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Velocity's product liability insurance may not be sufficient to cover all liabilities incurred in connection with such claims and the financial consequences of these claims and lawsuits will have a material adverse effect on its business, financial condition, liquidity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180" w:after="283"/>
        <w:jc w:val="both"/>
        <w:rPr/>
      </w:pPr>
      <w:r>
        <w:rPr>
          <w:rFonts w:ascii="Arial;sans-serif" w:hAnsi="Arial;sans-serif"/>
          <w:b/>
          <w:i/>
          <w:color w:val="000000"/>
          <w:sz w:val="20"/>
        </w:rPr>
        <w:t>Our operations face continuing cybersecurity risks, including information technology and artificial intelligence (“AI”) system or process failures and data breaches, which may result in unexpected and significant remediation costs, increased liabilities, and reputational damage.</w:t>
      </w:r>
      <w:r>
        <w:rPr>
          <w:color w:val="000000"/>
        </w:rPr>
        <w:t xml:space="preserv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and our businesses, use a variety of information technology systems in the ordinary course of business, which are potentially vulnerable to cybersecurity attacks, including cybersecurity attacks on our information technology infrastructure and attempts by others to gain access to our proprietary or sensitive information. Cybersecurity threats continue to increase in frequency and sophistication and new developments in the fields of generative AI, machine learning, and robotics may create new vulnerabilities and cybersecurity risks. In addition, our increasing reliance on third-party service providers, including those that may incorporate AI-enabled tools into their products and services, may increase our cybersecurity exposure and reduce our ability to directly control the confidentiality, integrity and availability of our systems and data.</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 successful cybersecurity attack could interrupt or disrupt our information technology systems, or those of our third-party service providers, and may cause us to incur excessive costs or suffer reputational harm. Cybersecurity attacks are being conducted by sophisticated and organized groups and individuals with a wide range of motives and expertise, especially given increased vulnerability of corporate information technology systems as distributed work environments have become prevalent.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The procedures and controls we use to monitor these threats and mitigate our exposure may not be sufficient to prevent cybersecurity incidents. The results of these incidents could include misstated financial data, theft of trade secrets or other intellectual property, liability for disclosure of confidential customer, supplier or employee information, increased costs arising from the implementation of additional security protective measures, litigation and reputational damage, which could materially adversely affect our financial condition, business and results of operations. Any remedial costs or other liabilities related to cybersecurity incidents may not be fully insured or indemnified by other means.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cybersecurity has become a top priority for global lawmakers and regulators, and some jurisdictions have enacted laws requiring companies to notify regulators and individuals of security breaches. If we fail to comply with the relevant and increasingly complex laws and regulations, we could suffer financial losses, a disruption of our business, liability to investors, regulatory intervention or reputational damage.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Impairment of our goodwill, indefinite-lived intangible assets or other long-lived assets could result in significant charges that would adversely impact our future operating results.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 significant portion of our long-term assets are comprised of intangible assets, including goodwill and indefinite lived intangible assets recorded as a result of past acquisitions. We assess the potential impairment of goodwill and indefinite lived intangible assets on an annual basis, as well as whenever events or changes in circumstances indicate that the carrying value may not be recoverable. If our analysis indicates that an individual asset’s carrying value exceeds its fair market value, we will record a loss equal to the excess of the individual asset’s carrying value over its fair value. The impairment testing steps require significant amounts of judgment and subjectivity.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Factors that could trigger impairment include the following: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significant underperformance relative to historical or projected future operating results;</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significant changes in the manner of or use of the acquired assets or the strategy for our overall business;</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significant negative industry or economic trends;</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significant decline in our stock price for a sustained period;</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changes in our organization or management reporting structure could result in additional reporting units, which may require alternative methods of estimating fair values or greater desegregation or aggregation in our analysis by reporting unit; and</w:t>
      </w:r>
    </w:p>
    <w:p>
      <w:pPr>
        <w:pStyle w:val="TextBody"/>
        <w:bidi w:val="0"/>
        <w:spacing w:lineRule="auto" w:line="288" w:before="40" w:after="283"/>
        <w:ind w:left="0" w:right="0" w:hanging="360"/>
        <w:jc w:val="both"/>
        <w:rPr/>
      </w:pPr>
      <w:r>
        <w:rPr>
          <w:color w:val="000000"/>
        </w:rPr>
        <w:t>•</w:t>
      </w:r>
      <w:r>
        <w:rPr>
          <w:rFonts w:ascii="Arial;sans-serif" w:hAnsi="Arial;sans-serif"/>
          <w:b w:val="false"/>
          <w:color w:val="000000"/>
          <w:sz w:val="20"/>
        </w:rPr>
        <w:t>a decline in our market capitalization below net book value.</w:t>
      </w:r>
    </w:p>
    <w:p>
      <w:pPr>
        <w:pStyle w:val="TextBody"/>
        <w:bidi w:val="0"/>
        <w:spacing w:lineRule="auto" w:line="288" w:before="180" w:after="283"/>
        <w:jc w:val="both"/>
        <w:rPr/>
      </w:pPr>
      <w:r>
        <w:rPr>
          <w:rFonts w:ascii="Arial;sans-serif" w:hAnsi="Arial;sans-serif"/>
          <w:b w:val="false"/>
          <w:color w:val="000000"/>
          <w:sz w:val="20"/>
        </w:rPr>
        <w:t>As of December 31, 2025, we had identified indefinite lived intangible assets with a carrying value in our financial statements of $30.8 million, and goodw</w:t>
      </w:r>
      <w:r>
        <w:rPr>
          <w:rFonts w:ascii="Arial;sans-serif" w:hAnsi="Arial;sans-serif"/>
          <w:b w:val="false"/>
          <w:color w:val="000000"/>
          <w:sz w:val="20"/>
          <w:shd w:fill="FFFFFF" w:val="clear"/>
        </w:rPr>
        <w:t>ill of $895.4 million</w:t>
      </w:r>
      <w:r>
        <w:rPr>
          <w:rFonts w:ascii="Arial;sans-serif" w:hAnsi="Arial;sans-serif"/>
          <w:b w:val="false"/>
          <w:color w:val="000000"/>
          <w:sz w:val="20"/>
        </w:rPr>
        <w:t>.</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businesses are subject to unplanned business interruptions which may expose us to costly litigation, harm our reputation, and relationships with our customers, and adversely affect our performance.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Operational interruptions and unplanned events at one or more of our production facilities, such as explosions, fires, inclement weather, natural disasters, accidents, and transportation and supply interruptions could cause substantial losses in our production capacity. Furthermore, because customers may be dependent on planned deliveries from us, customers that have to reschedule their own operations due to our delivery delays may be able to pursue financial claims against us, and we may incur costs to correct such problems in addition to any liability resulting from such claims. Such interruptions may also harm our reputation among actual and potential customers, potentially resulting in a loss of business. To the extent these losses are not covered by insurance, our financial position, results of operations and cash flows may be adversely affected by such events.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Disruptions in our supply chain or increases in the cost or reduced availability of raw materials, components, or finished goods could materially adversely affect our businesses’ operations and profitability.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businesses require a reliable supply of various raw materials, components and, in some cases, finished goods to manufacture and distribute their products. The availability, quality, and pricing of these inputs can fluctuate significantly due to factors largely outside our control, including inflationary pressures, changes in market demand, capacity constraints, transportation and logistics disruptions, labor shortages, natural disasters, geopolitical events, regulatory instability, and changes in trade policy (including tariffs and import/export restrictions).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select suppliers based on total value (including price, delivery and quality), taking into consideration their production capacities and financial condition; however, we cannot assure that suppliers will be able to satisfy our needs on a timely basis or at acceptable prices. Adverse financial conditions (including bankruptcies), reduced levels of production, operational issues, or other problems experienced by our suppliers may result in shortages, delays, or quality issues, which could disrupt our production schedules, increase our costs, and reduce our ability to deliver products to customers on time.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If we experience a significant or prolonged shortage of critical inputs, we may be required to identify alternate suppliers, redesign products, substitute materials, pay higher prices (including expedited shipping or spot-market purchases), or carry higher inventory levels, any of which could increase working capital requirements and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margins. In addition, if we are unable to meet our customers’ demand due to input shortages or supply chain disruptions, we may experience lost sales, customer dissatisfaction, damage to customer relationships, and potential contractual claims (including claims arising from our customers’ own production interruptions). We may not be able to pass through cost increases to customers on a timely basis, if at all.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Any of these events could materially and adversely affect our businesses’ results of operations, financial condition, and cash flows, which in turn could materially and adversely affect us.</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We could be adversely affected if we experience shortages of components from our suppliers or if disruptions in the supply chain lead to parts shortages for our customers.</w:t>
      </w:r>
    </w:p>
    <w:p>
      <w:pPr>
        <w:pStyle w:val="TextBody"/>
        <w:bidi w:val="0"/>
        <w:spacing w:lineRule="auto" w:line="288" w:before="120" w:after="283"/>
        <w:jc w:val="both"/>
        <w:rPr/>
      </w:pPr>
      <w:r>
        <w:rPr>
          <w:rFonts w:ascii="Arial;sans-serif" w:hAnsi="Arial;sans-serif"/>
          <w:b w:val="false"/>
          <w:color w:val="000000"/>
          <w:sz w:val="20"/>
        </w:rPr>
        <w:t>A portion of our annual cost of sales is driven by the purchase of goods. We select our suppliers based on total value (including price, delivery and quality), taking into consideration their production capacities and financial condition, and we expect that they will be able to support our needs. Adverse financial conditions, including bankruptcies of our suppliers, reduced levels of production, natural disasters, staffing shortages, supply chain issues or other problems experienced by our suppliers may result in shortages or delays in their supply of components to us. Any significant production disruption could have a material impact on our operations, operating results and financial condition.</w:t>
      </w:r>
      <w:r>
        <w:rPr>
          <w:color w:val="000000"/>
        </w:rPr>
        <w:t xml:space="preserve"> </w:t>
      </w:r>
      <w:r>
        <w:rPr>
          <w:rFonts w:ascii="Arial;sans-serif" w:hAnsi="Arial;sans-serif"/>
          <w:b w:val="false"/>
          <w:color w:val="000000"/>
          <w:sz w:val="20"/>
        </w:rPr>
        <w:t>If we were to experience a significant or prolonged shortage of critical components from our suppliers, we may be unable to meet our production schedules for some of our key products and to ship such products to our customers in a timely fashion, which would adversely affect our sales, profitability and customer relations.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businesses rely and may rely on their intellectual property and licenses to use others’ intellectual property, for competitive advantage. If our businesses are unable to protect their intellectual property, are unable to obtain or retain licenses to use other’s intellectual property, or if they infringe upon or are alleged to have infringed upon others’ intellectual property, we may be subject to costly litigation or lose our competitive advantage which could have a material adverse effect on their financial condition, business and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Each business's success depends in part on their, or licenses to use others’, brand names, proprietary technology and manufacturing techniques. These businesses rely on a combination of patents, trademarks, copyrights, trade secrets, confidentiality procedures and contractual provisions to protect their intellectual property rights. The steps they have taken to protect their intellectual property rights may not prevent third parties from using their intellectual property and other proprietary information without their authorization or independently developing intellectual property and other proprietary information that is similar. In addition, the laws of foreign countries may not protect our businesses’ intellectual property rights effectively or to the same extent as the laws of the United States.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Stopping unauthorized use of their proprietary information and intellectual property and defending claims that they have made unauthorized use of others’ proprietary information or intellectual property, may be difficult, time-consuming and costly for our businesses. Their use of others' intellectual property and proprietary information, and the use by others of their intellectual property and proprietary information, could reduce or eliminate any competitive advantage they have developed, cause them to lose sales or otherwise harm their business.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businesses may become involved in legal proceedings and claims in the future either to protect their intellectual property or to defend allegations that they have infringed upon others’ intellectual property rights. These claims and any resulting litigation could subject them to significant liability for damages and invalidate their property rights. In addition, these lawsuits, regardless of their merits, could be time consuming and expensive to resolve and could divert management’s time and attention. The costs associated with any of these actions could be substantial and could have a material adverse effect on their financial condition, business and results of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businesses are and may be subject to federal, state and foreign environmental laws and regulations that expose them to potential financial liability. Complying with applicable environmental laws requires significant resources, and if our businesses fail to comply, they could be subject to substantial liability.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Some of the facilities and operations of our businesses are and may be subject to a variety of federal, state and foreign environmental laws and regulations including laws and regulations pertaining to the handling, storage and transportation of raw materials, products and wastes, which require and will continue to require significant expenditures to remain in compliance with such laws and regulations currently in place and in the future. These laws and regulations are subject to a changing regulatory environment and the requirements thereunder may substantially change in the future. Compliance with current and future environmental laws is a major consideration for our businesses as any material violations of these laws can lead to substantial liability, revocations of discharge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permits, fines or penalties. Because some of our businesses use hazardous materials and generate hazardous wastes in their operations, they may be subject to potential financial liability for costs associated with the investigation and remediation of their own sites, or sites at which they have arranged for the disposal of hazardous wastes, if such sites become contaminated. Even if they fully comply with applicable environmental laws and are not directly at fault for the contamination, our businesses may still be liable. Our businesses may also be held liable for damages caused by environmental and other conditions that existed prior to our acquisition of the assets, business or operations involved, whether or not such damages are subject to indemnification from a prior owner. Costs associated with these risks could have a material adverse effect on our financial condition, business and results of operations.</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Certain of our businesses are subject to increased product regulations which may cause an increase to our expenses or result in increased litigation in the event of non-compliance.</w:t>
      </w:r>
    </w:p>
    <w:p>
      <w:pPr>
        <w:pStyle w:val="TextBody"/>
        <w:bidi w:val="0"/>
        <w:spacing w:lineRule="auto" w:line="288" w:before="120" w:after="283"/>
        <w:jc w:val="both"/>
        <w:rPr/>
      </w:pPr>
      <w:r>
        <w:rPr>
          <w:rFonts w:ascii="Arial;sans-serif" w:hAnsi="Arial;sans-serif"/>
          <w:b w:val="false"/>
          <w:color w:val="000000"/>
          <w:sz w:val="20"/>
          <w:shd w:fill="FFFFFF" w:val="clear"/>
        </w:rPr>
        <w:t xml:space="preserve">Certain of our businesses are subject to increasingly stringent and complex domestic and foreign product labeling, performance, environmental and safety standards, laws and other regulations, including those pertaining to PFAS a group of chemicals used to make fluoropolymer coatings and products that resist heat, oil, stains, grease, and water. </w:t>
      </w:r>
      <w:r>
        <w:rPr>
          <w:rFonts w:ascii="Arial;sans-serif" w:hAnsi="Arial;sans-serif"/>
          <w:b w:val="false"/>
          <w:color w:val="000000"/>
          <w:sz w:val="20"/>
        </w:rPr>
        <w:t xml:space="preserve">Regulators have increased scrutiny of PFAS, including by designating certain PFAS as hazardous substances under U.S. federal environmental laws and by adopting additional state-level bans, reporting obligations, and labeling requirements for PFAS in various consumer and industrial product categories. </w:t>
      </w:r>
      <w:r>
        <w:rPr>
          <w:rFonts w:ascii="Arial;sans-serif" w:hAnsi="Arial;sans-serif"/>
          <w:b w:val="false"/>
          <w:color w:val="000000"/>
          <w:sz w:val="20"/>
          <w:shd w:fill="FFFFFF" w:val="clear"/>
        </w:rPr>
        <w:t>These requirements could result in greater expense associated with compliance efforts, and failure to comply with these regulations could result in a delay, non-delivery, recall, or destruction of inventory shipments during key seasons, a loss of advance orders from wholesale customers or in other financial penalties. Significant or continuing non-compliance with these standards and laws could disrupt our business and harm our reputation.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Defects in the products provided by our companies could result in financial or other damages to their customers, which could result in reduced demand for our companies’ products and/or liability claims against our companies.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manufacturers and distributors of consumer products, certain of our companies are subject to various laws, rules and regulations, which may empower governmental agencies and authorities to exclude from the market products that are found to be unsafe or hazardous. Under certain circumstances, a governmental authority could require our companies to repurchase or recall one or more of their products. Additionally, laws regulating certain consumer products exist in some cities and states, as well as in other countries in which they sell their products, where more restrictive laws and regulations exist or may be adopted in the future. Any repurchase or recall of such products could be costly and could damage the reputation of our companies. If any of our companies were required to remove, or voluntarily remove, their products from the market, their reputation may be tarnished and they may have large quantities of finished products that they cannot sell. Additionally, our companies may be subject to regulatory actions that could harm their reputations, adversely impact the values of their brands and/or increase the cost of production.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companies also face exposure to product liability claims in the event that one of their products is alleged to have resulted in property damage, bodily injury or other adverse effects. Defects in products could result in customer dissatisfaction or a reduction in, or cancellation of, future purchases or liability claims against our companies. If these defects occur frequently, our reputation may be impaired permanently. Defects in products could also result in financial or other damages to customers, for which our companies may be asked or required to compensate their customers, in the form of substantial monetary judgments or otherwise. Additionally, rapidly changing safety standards may not render unsaleable products that complied with previously-applicable safety standards. As a result, these types of claims could have a material adverse effect on our businesses, results of operations and financial condition.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Our businesses are subject to certain risks associated with their foreign operations or business they conduct in foreign jurisdictions.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Some of our businesses have and may have operations or conduct business outside the United States. Certain risks are inherent in operating or conducting business in foreign jurisdictions, including exposure to local economic conditions; difficulties in enforcing agreements and collecting receivables through certain foreign legal systems; longer payment cycles for foreign customers; adverse currency exchange controls; exposure to risks associated with changes in foreign exchange rates; potential adverse changes in political environments; actual or threatened geopolitical conflict; withholding taxes and restrictions on the withdrawal of foreign investments and earnings; export and import restrictions, including with regards to tariffs; difficulties in enforcing intellectual property rights;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required compliance with a variety of foreign laws and regulations. These risks individually and collectively have the potential to negatively impact our financial condition, business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2"/>
        </w:rPr>
      </w:pPr>
      <w:r>
        <w:rPr>
          <w:rFonts w:ascii="Arial;sans-serif" w:hAnsi="Arial;sans-serif"/>
          <w:b/>
          <w:color w:val="000000"/>
          <w:sz w:val="22"/>
        </w:rPr>
        <w:t>ITEM 1B. UNRESOLVED STAFF COMMENTS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2"/>
          <w:shd w:fill="FFFFFF" w:val="clear"/>
        </w:rPr>
      </w:pPr>
      <w:r>
        <w:rPr>
          <w:rFonts w:ascii="Arial;sans-serif" w:hAnsi="Arial;sans-serif"/>
          <w:b/>
          <w:color w:val="000000"/>
          <w:sz w:val="22"/>
          <w:shd w:fill="FFFFFF" w:val="clear"/>
        </w:rPr>
        <w:t>ITEM 1C. CYBERSECURITY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Risk Management and Strategy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Cybersecurity risk management and strategy is overseen both as a critical component of our overall risk management program and as a standalone program. We have implemented a risk-based, cross-functional approach to identifying, preventing, and mitigating cybersecurity threats and incidents, while also implementing controls and procedures that provide for the prompt and appropriate escalation of cybersecurity incidents so that decisions regarding the remediation, reporting, and public disclosure of such incidents can be made by management in a timely manner. Our cybersecurity program is designed to leverage people, processes, and technology to identify cybersecurity threats quickly and respond to them effectively. To that end, we utilize a variety of mechanisms such as risk assessments using applicable industry-specific cybersecurity frameworks such as the National Institute of Standards and Technology, control gap analyses, penetration testing, vulnerability scanning, cyber insurance that aligns with our subsidiaries’ risk profiles, and other internal assessments. We also engage external third-party service providers, where appropriate, to assess, test, or otherwise assist with aspects of our security processes.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are committed to protecting the security and integrity of our systems, networks, databases, and applications. We routinely invest in our information technology infrastructure and in the development and implementation of stronger cybersecurity programs and processes, including risk management and assessment measures, security and event monitoring capabilities, and prevention and protection capabilities. Our employees also undergo mandatory annual security awareness training to enhance their understanding of cybersecurity threats and to strengthen their ability to identify and escalate potential cybersecurity events. Additionally, in fiscal year 2024, our full Board received training from an outside service provider on cybersecurity and data privacy in addition to the cyber awareness training that the Board regularly receives. These and other tools allow us to more effectively assess the cybersecurity risks presented by the rapidly evolving technological landscape and to evaluate the potential vulnerabilities that these threats may attempt to generate and exploit.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are also aware of the cybersecurity risks inherent in the use of third-party service providers. To mitigate such risks, we apply a risk-based approach extending to providers across our supply chain who have access to our customer and employee data and our systems. This is done as part of our overall enterprise risk process. In addition, cybersecurity considerations affect the selection and oversight of our third-party service providers.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 date, our business strategy, results of operations, and financial condition have not been, and are not reasonably likely to be,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cybersecurity-related risks, see Item 1A “Risk Factors” of this Form 10-K.</w:t>
      </w:r>
    </w:p>
    <w:p>
      <w:pPr>
        <w:pStyle w:val="TextBody"/>
        <w:bidi w:val="0"/>
        <w:spacing w:lineRule="auto" w:line="276" w:before="180" w:after="283"/>
        <w:jc w:val="both"/>
        <w:rPr>
          <w:rFonts w:ascii="Arial;sans-serif" w:hAnsi="Arial;sans-serif"/>
          <w:b/>
          <w:i/>
          <w:color w:val="000000"/>
          <w:sz w:val="20"/>
        </w:rPr>
      </w:pPr>
      <w:r>
        <w:rPr>
          <w:rFonts w:ascii="Arial;sans-serif" w:hAnsi="Arial;sans-serif"/>
          <w:b/>
          <w:i/>
          <w:color w:val="000000"/>
          <w:sz w:val="20"/>
        </w:rPr>
        <w:t>Cybersecurity Governance</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Board and Audit Committee Oversight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Board considers cybersecurity risk as part of its overall risk oversight function and has delegated oversight of cybersecurity risks to the Audit Committee. The Audit Committee is responsible for, in part, (i) reviewing and monitoring emerging cybersecurity developments and threats; (ii) evaluating the risks such developments and threats pose to our systems, data, finances, and other components of our business; (iii) ensuring compliance with cyber-related legal, regulatory, and other disclosure requirements; and (iv) assessing the Company’s network security and information security policies and practices, risk mitigation strategies, and related internal controls. Where appropriate, the Audit Committee reports any findings and recommendations to the full Board for consideration.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Both the Board and the Audit Committee periodically review the measures we have implemented to identify and mitigate cybersecurity risks. As part of such reviews, our Board and Audit Committee receive and consider reports and presentations from members of our management team responsible for overseeing cybersecurity risk management. These periodic reviews address various topics including evolving regulatory standards, recent developments, vulnerability assessments, third-party reviews, and other information security topics that senior management deems necessary.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Management’s Cybersecurity Role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management is responsible for the day-to-day assessment and management of cybersecurity risks. Members of our senior management, comprising our Compliance Committee, regularly monitor and evaluate cybersecurity risks and trends, and report any material developments to the Audit Committee of the Board, including through delivery of periodic reports and presentations as described above. We have also established protocols by which cybersecurity incidents that meet established reporting thresholds are escalated internally and, where appropriate, reported to the Audit Committee or the Board in a timely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2"/>
        </w:rPr>
      </w:pPr>
      <w:r>
        <w:rPr>
          <w:rFonts w:ascii="Arial;sans-serif" w:hAnsi="Arial;sans-serif"/>
          <w:b/>
          <w:color w:val="000000"/>
          <w:sz w:val="22"/>
        </w:rPr>
        <w:t>ITEM 2. PROPERTIES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is a summary as of December 31, 2025 of the physical properties owned or leased by our businesses that we consider materially important to those businesses.</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 xml:space="preserve">5.11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 is headquartered in Costa Mesa, California and leases offices and warehouse space in locations worldwide. The summary below outlines 5.11's primary leased offices and warehouse space.</w:t>
      </w:r>
    </w:p>
    <w:tbl>
      <w:tblPr>
        <w:tblW w:w="5731" w:type="dxa"/>
        <w:jc w:val="center"/>
        <w:tblInd w:w="0" w:type="dxa"/>
        <w:tblLayout w:type="fixed"/>
        <w:tblCellMar>
          <w:top w:w="28" w:type="dxa"/>
          <w:left w:w="28" w:type="dxa"/>
          <w:bottom w:w="28" w:type="dxa"/>
          <w:right w:w="28" w:type="dxa"/>
        </w:tblCellMar>
      </w:tblPr>
      <w:tblGrid>
        <w:gridCol w:w="1015"/>
        <w:gridCol w:w="892"/>
        <w:gridCol w:w="897"/>
        <w:gridCol w:w="109"/>
        <w:gridCol w:w="109"/>
        <w:gridCol w:w="109"/>
        <w:gridCol w:w="412"/>
        <w:gridCol w:w="414"/>
        <w:gridCol w:w="351"/>
        <w:gridCol w:w="109"/>
        <w:gridCol w:w="109"/>
        <w:gridCol w:w="109"/>
        <w:gridCol w:w="320"/>
        <w:gridCol w:w="320"/>
        <w:gridCol w:w="456"/>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Use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Costa Mesa,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39,650 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Manteca,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Warehouse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Bankstown, Australia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Malmo, Sweden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Kowloon Bay, Hong Kong,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addition, at December 31, 2025, 5.11 leased space for 123 retail stores, ranging in size from 3,250 square feet to 10,000 square feet, with an average square footage of 5,000 square feet.</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BOA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BOA is headquartered in Denver, Colorado and leases offices and warehouse space in locations worldwide. The summary below outlines BOA's primary leased offices and warehouse space.</w:t>
      </w:r>
    </w:p>
    <w:tbl>
      <w:tblPr>
        <w:tblW w:w="5032" w:type="dxa"/>
        <w:jc w:val="center"/>
        <w:tblInd w:w="0" w:type="dxa"/>
        <w:tblLayout w:type="fixed"/>
        <w:tblCellMar>
          <w:top w:w="28" w:type="dxa"/>
          <w:left w:w="28" w:type="dxa"/>
          <w:bottom w:w="28" w:type="dxa"/>
          <w:right w:w="28" w:type="dxa"/>
        </w:tblCellMar>
      </w:tblPr>
      <w:tblGrid>
        <w:gridCol w:w="592"/>
        <w:gridCol w:w="519"/>
        <w:gridCol w:w="524"/>
        <w:gridCol w:w="109"/>
        <w:gridCol w:w="109"/>
        <w:gridCol w:w="109"/>
        <w:gridCol w:w="379"/>
        <w:gridCol w:w="379"/>
        <w:gridCol w:w="381"/>
        <w:gridCol w:w="109"/>
        <w:gridCol w:w="109"/>
        <w:gridCol w:w="109"/>
        <w:gridCol w:w="468"/>
        <w:gridCol w:w="468"/>
        <w:gridCol w:w="668"/>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w:t>
            </w:r>
          </w:p>
        </w:tc>
      </w:tr>
      <w:tr>
        <w:trPr/>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Denver,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Mondsee, Austria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 Kong,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PrimaLoft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PrimaLoft is headquartered in Latham, New York. The summary below outlines PrimaLoft's primary leased office space.</w:t>
      </w:r>
    </w:p>
    <w:tbl>
      <w:tblPr>
        <w:tblW w:w="4612" w:type="dxa"/>
        <w:jc w:val="center"/>
        <w:tblInd w:w="0" w:type="dxa"/>
        <w:tblLayout w:type="fixed"/>
        <w:tblCellMar>
          <w:top w:w="28" w:type="dxa"/>
          <w:left w:w="28" w:type="dxa"/>
          <w:bottom w:w="28" w:type="dxa"/>
          <w:right w:w="28" w:type="dxa"/>
        </w:tblCellMar>
      </w:tblPr>
      <w:tblGrid>
        <w:gridCol w:w="483"/>
        <w:gridCol w:w="424"/>
        <w:gridCol w:w="428"/>
        <w:gridCol w:w="109"/>
        <w:gridCol w:w="109"/>
        <w:gridCol w:w="109"/>
        <w:gridCol w:w="379"/>
        <w:gridCol w:w="379"/>
        <w:gridCol w:w="381"/>
        <w:gridCol w:w="109"/>
        <w:gridCol w:w="109"/>
        <w:gridCol w:w="109"/>
        <w:gridCol w:w="433"/>
        <w:gridCol w:w="433"/>
        <w:gridCol w:w="618"/>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w:t>
            </w:r>
          </w:p>
        </w:tc>
      </w:tr>
      <w:tr>
        <w:trPr/>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Latham,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Xiamen,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The Honey Pot Co.</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Honey Pot Co. is headquartered in Atlanta, Georgia and leases office space of approximately 10,000 square feet.</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Velocity Outdoor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Velocity's Ravin subsidiary leases an 85,000 square foot manufacturing facility in Superior, Wisconsin. Its King's Camo subsidiary leases a 14,000 square foot manufacturing facility in Lindon, Utah.</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Altor Solutions</w:t>
      </w:r>
    </w:p>
    <w:p>
      <w:pPr>
        <w:pStyle w:val="TextBody"/>
        <w:bidi w:val="0"/>
        <w:spacing w:lineRule="auto" w:line="288" w:before="120" w:after="283"/>
        <w:jc w:val="both"/>
        <w:rPr/>
      </w:pPr>
      <w:r>
        <w:rPr>
          <w:rFonts w:ascii="Arial;sans-serif" w:hAnsi="Arial;sans-serif"/>
          <w:b w:val="false"/>
          <w:color w:val="000000"/>
          <w:sz w:val="20"/>
        </w:rPr>
        <w:t>Altor is headquartered in St. Louis, Missouri and operat</w:t>
      </w:r>
      <w:r>
        <w:rPr>
          <w:rFonts w:ascii="Arial;sans-serif" w:hAnsi="Arial;sans-serif"/>
          <w:b w:val="false"/>
          <w:color w:val="000000"/>
          <w:sz w:val="20"/>
          <w:shd w:fill="FFFFFF" w:val="clear"/>
        </w:rPr>
        <w:t>es 19 moldi</w:t>
      </w:r>
      <w:r>
        <w:rPr>
          <w:rFonts w:ascii="Arial;sans-serif" w:hAnsi="Arial;sans-serif"/>
          <w:b w:val="false"/>
          <w:color w:val="000000"/>
          <w:sz w:val="20"/>
        </w:rPr>
        <w:t>ng and fabricating facilities across North America. Altor owned the New Albany, IN, Bloomsburg, PA and El Dorado Springs, MO locations at December 31, 2025 but entered into a sale-leaseback arrangement for these properties subsequent to year-end. All other locations are leased. The summary below outlines Altor's primary property locations.</w:t>
      </w:r>
    </w:p>
    <w:tbl>
      <w:tblPr>
        <w:tblW w:w="6781" w:type="dxa"/>
        <w:jc w:val="center"/>
        <w:tblInd w:w="0" w:type="dxa"/>
        <w:tblLayout w:type="fixed"/>
        <w:tblCellMar>
          <w:top w:w="28" w:type="dxa"/>
          <w:left w:w="28" w:type="dxa"/>
          <w:bottom w:w="28" w:type="dxa"/>
          <w:right w:w="28" w:type="dxa"/>
        </w:tblCellMar>
      </w:tblPr>
      <w:tblGrid>
        <w:gridCol w:w="945"/>
        <w:gridCol w:w="829"/>
        <w:gridCol w:w="836"/>
        <w:gridCol w:w="109"/>
        <w:gridCol w:w="109"/>
        <w:gridCol w:w="109"/>
        <w:gridCol w:w="413"/>
        <w:gridCol w:w="413"/>
        <w:gridCol w:w="381"/>
        <w:gridCol w:w="109"/>
        <w:gridCol w:w="109"/>
        <w:gridCol w:w="109"/>
        <w:gridCol w:w="675"/>
        <w:gridCol w:w="675"/>
        <w:gridCol w:w="960"/>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Anderson, South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133,250 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Belcamp,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337,865 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Bloomsburg, 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 Dorado Springs,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Fort Madison, Iowa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Newcomerstown, Ohio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Huntington Beach,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Jackson, 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Keller, Texas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131,073 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Chesterfield, Missouri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Office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Albany,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Andover, 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Plymouth, 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Rome,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170,884 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Springfield, 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34,895 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 Petersburg,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91,588 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Vernon,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91,645 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Waxahachie, 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198,450 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Rosa Jaurequi,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Tijuana,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Manufacturing/Warehouse</w:t>
            </w:r>
          </w:p>
        </w:tc>
      </w:tr>
    </w:tbl>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Arnold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Arnold is headquartered in Rochester, New York and has eleven manufacturing facilities. Arnold owns the Ogallala, NE and the Greenville, OH locations. All other locations are leased. The summary below outlines Arnold's primary property locations.</w:t>
      </w:r>
    </w:p>
    <w:tbl>
      <w:tblPr>
        <w:tblW w:w="5084" w:type="dxa"/>
        <w:jc w:val="center"/>
        <w:tblInd w:w="0" w:type="dxa"/>
        <w:tblLayout w:type="fixed"/>
        <w:tblCellMar>
          <w:top w:w="28" w:type="dxa"/>
          <w:left w:w="28" w:type="dxa"/>
          <w:bottom w:w="28" w:type="dxa"/>
          <w:right w:w="28" w:type="dxa"/>
        </w:tblCellMar>
      </w:tblPr>
      <w:tblGrid>
        <w:gridCol w:w="586"/>
        <w:gridCol w:w="514"/>
        <w:gridCol w:w="519"/>
        <w:gridCol w:w="109"/>
        <w:gridCol w:w="109"/>
        <w:gridCol w:w="109"/>
        <w:gridCol w:w="434"/>
        <w:gridCol w:w="392"/>
        <w:gridCol w:w="381"/>
        <w:gridCol w:w="109"/>
        <w:gridCol w:w="109"/>
        <w:gridCol w:w="109"/>
        <w:gridCol w:w="468"/>
        <w:gridCol w:w="468"/>
        <w:gridCol w:w="668"/>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Use</w:t>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Marietta,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Norfolk, 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Rochester, 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Ogallala, 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Greenville, OH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70,908 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Woodstock,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124,995 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Middleton, WI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Sheffield,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before="0" w:after="0"/>
        <w:ind w:left="0" w:right="0" w:firstLine="720"/>
        <w:jc w:val="left"/>
        <w:rPr/>
      </w:pPr>
      <w:r>
        <w:rPr/>
      </w:r>
    </w:p>
    <w:tbl>
      <w:tblPr>
        <w:tblW w:w="5638" w:type="dxa"/>
        <w:jc w:val="center"/>
        <w:tblInd w:w="0" w:type="dxa"/>
        <w:tblLayout w:type="fixed"/>
        <w:tblCellMar>
          <w:top w:w="28" w:type="dxa"/>
          <w:left w:w="28" w:type="dxa"/>
          <w:bottom w:w="28" w:type="dxa"/>
          <w:right w:w="28" w:type="dxa"/>
        </w:tblCellMar>
      </w:tblPr>
      <w:tblGrid>
        <w:gridCol w:w="886"/>
        <w:gridCol w:w="777"/>
        <w:gridCol w:w="781"/>
        <w:gridCol w:w="109"/>
        <w:gridCol w:w="109"/>
        <w:gridCol w:w="109"/>
        <w:gridCol w:w="412"/>
        <w:gridCol w:w="414"/>
        <w:gridCol w:w="109"/>
        <w:gridCol w:w="109"/>
        <w:gridCol w:w="109"/>
        <w:gridCol w:w="109"/>
        <w:gridCol w:w="470"/>
        <w:gridCol w:w="470"/>
        <w:gridCol w:w="665"/>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Lupfig, Switzerland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Guangdong Province,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ChonBuri, Thailand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Sterno </w:t>
      </w:r>
    </w:p>
    <w:p>
      <w:pPr>
        <w:pStyle w:val="TextBody"/>
        <w:bidi w:val="0"/>
        <w:spacing w:lineRule="auto" w:line="288" w:before="120" w:after="283"/>
        <w:jc w:val="both"/>
        <w:rPr/>
      </w:pPr>
      <w:r>
        <w:rPr>
          <w:rFonts w:ascii="Arial;sans-serif" w:hAnsi="Arial;sans-serif"/>
          <w:b w:val="false"/>
          <w:color w:val="000000"/>
          <w:sz w:val="20"/>
          <w:shd w:fill="FFFFFF" w:val="clear"/>
        </w:rPr>
        <w:t>Sterno is headquartered in Texarkana, Texas. Sterno owns manufacturing and production facilities in Memphis, Tennessee, Texarkana, Texas and LaPorte, Indiana. All other p</w:t>
      </w:r>
      <w:r>
        <w:rPr>
          <w:rFonts w:ascii="Arial;sans-serif" w:hAnsi="Arial;sans-serif"/>
          <w:b w:val="false"/>
          <w:color w:val="000000"/>
          <w:sz w:val="20"/>
        </w:rPr>
        <w:t>roperties are leased. The summary below outlines Sterno's primary property locations.</w:t>
      </w:r>
    </w:p>
    <w:tbl>
      <w:tblPr>
        <w:tblW w:w="5265" w:type="dxa"/>
        <w:jc w:val="center"/>
        <w:tblInd w:w="0" w:type="dxa"/>
        <w:tblLayout w:type="fixed"/>
        <w:tblCellMar>
          <w:top w:w="28" w:type="dxa"/>
          <w:left w:w="28" w:type="dxa"/>
          <w:bottom w:w="28" w:type="dxa"/>
          <w:right w:w="28" w:type="dxa"/>
        </w:tblCellMar>
      </w:tblPr>
      <w:tblGrid>
        <w:gridCol w:w="552"/>
        <w:gridCol w:w="486"/>
        <w:gridCol w:w="491"/>
        <w:gridCol w:w="109"/>
        <w:gridCol w:w="109"/>
        <w:gridCol w:w="109"/>
        <w:gridCol w:w="413"/>
        <w:gridCol w:w="413"/>
        <w:gridCol w:w="381"/>
        <w:gridCol w:w="109"/>
        <w:gridCol w:w="109"/>
        <w:gridCol w:w="109"/>
        <w:gridCol w:w="548"/>
        <w:gridCol w:w="548"/>
        <w:gridCol w:w="779"/>
      </w:tblGrid>
      <w:tr>
        <w:trPr/>
        <w:tc>
          <w:tcPr>
            <w:tcW w:w="5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w:t>
            </w:r>
          </w:p>
        </w:tc>
      </w:tr>
      <w:tr>
        <w:trPr/>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Memphis, 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193,390 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Office/Manufacturing</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Texarkana,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332,871 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Office/Manufacturing</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 Porte,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Manufacturing</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Provo, 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171,361 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Office/Warehouse</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Spanish Fork, 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585,904 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Warehouse</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Bentonville, 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w:t>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Corporate</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Our corporate offices are located in Westport, Connecticut and Costa Mesa, California, where we utilize space provided by our Manager. We reimburse our Manager for a portion of the facilities cost based on the space used by staff who dedicate their time to the Company.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that our properties and the terms of their leases at each of our businesses are sufficient to meet our present needs and we do not anticipate any difficulty in securing additional space, as needed, on acceptable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2"/>
          <w:shd w:fill="FFFFFF" w:val="clear"/>
        </w:rPr>
      </w:pPr>
      <w:r>
        <w:rPr>
          <w:rFonts w:ascii="Arial;sans-serif" w:hAnsi="Arial;sans-serif"/>
          <w:b/>
          <w:color w:val="000000"/>
          <w:sz w:val="22"/>
          <w:shd w:fill="FFFFFF" w:val="clear"/>
        </w:rPr>
        <w:t>ITEM 3. LEGAL PROCEEDINGS</w:t>
      </w:r>
    </w:p>
    <w:p>
      <w:pPr>
        <w:pStyle w:val="TextBody"/>
        <w:bidi w:val="0"/>
        <w:spacing w:lineRule="auto" w:line="288" w:before="180" w:after="283"/>
        <w:jc w:val="both"/>
        <w:rPr/>
      </w:pPr>
      <w:r>
        <w:rPr>
          <w:rFonts w:ascii="Arial;sans-serif" w:hAnsi="Arial;sans-serif"/>
          <w:b w:val="false"/>
          <w:color w:val="000000"/>
          <w:sz w:val="20"/>
          <w:shd w:fill="FFFFFF" w:val="clear"/>
        </w:rPr>
        <w:t>In the normal course of business, we are</w:t>
      </w:r>
      <w:r>
        <w:rPr>
          <w:color w:val="000000"/>
        </w:rPr>
        <w:t xml:space="preserve"> </w:t>
      </w:r>
      <w:r>
        <w:rPr>
          <w:rFonts w:ascii="Arial;sans-serif" w:hAnsi="Arial;sans-serif"/>
          <w:b w:val="false"/>
          <w:color w:val="000000"/>
          <w:sz w:val="20"/>
        </w:rPr>
        <w:t>involved in various claims and legal proceedings. In addition, we are involved in legal proceedings and are subject to requests for information, investigations and inquiries arising from or relating to the Lugano Investigation, the restatement of our previously issued financial statements, our delayed periodic reporting in 2025, and related financing and disclosure matters. These matters include securities class action lawsuits and derivative actions that were commenced against the Company, as well as litigation and claims involving Lugano. These proceedings, investigations and inquiries are in varying stages and are inherently uncertain. We may incur substantial costs in connection with the defense, settlement or resolution of these matters, and the outcome of any such matters may adversely affect our business, financial condition, results of operations and cash flows.</w:t>
      </w:r>
    </w:p>
    <w:p>
      <w:pPr>
        <w:pStyle w:val="TextBody"/>
        <w:bidi w:val="0"/>
        <w:spacing w:lineRule="auto" w:line="288" w:before="180" w:after="283"/>
        <w:jc w:val="both"/>
        <w:rPr/>
      </w:pPr>
      <w:r>
        <w:rPr>
          <w:rFonts w:ascii="Arial;sans-serif" w:hAnsi="Arial;sans-serif"/>
          <w:b w:val="false"/>
          <w:color w:val="000000"/>
          <w:sz w:val="20"/>
        </w:rPr>
        <w:t>Additional information regarding these matters, including the nature of the claims asserted, the relief sought, and, where applicable, our current assessment of reasonably possible losses, is included in “</w:t>
      </w:r>
      <w:hyperlink w:anchor="i1c8fbf41abdb4a90b1f02abaa0b14bbd_313">
        <w:r>
          <w:rPr>
            <w:rStyle w:val="InternetLink"/>
            <w:rFonts w:ascii="Arial;sans-serif" w:hAnsi="Arial;sans-serif"/>
            <w:b w:val="false"/>
            <w:color w:val="0000FF"/>
            <w:sz w:val="20"/>
            <w:u w:val="single"/>
          </w:rPr>
          <w:t>Note P—Commitments and Contingencies</w:t>
        </w:r>
      </w:hyperlink>
      <w:r>
        <w:rPr>
          <w:color w:val="000000"/>
        </w:rPr>
        <w:t xml:space="preserve">” </w:t>
      </w:r>
      <w:r>
        <w:rPr>
          <w:rFonts w:ascii="Arial;sans-serif" w:hAnsi="Arial;sans-serif"/>
          <w:b w:val="false"/>
          <w:color w:val="000000"/>
          <w:sz w:val="20"/>
        </w:rPr>
        <w:t>to the consolidated financial statements included elsewhere in this Form 10-K.</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Arnold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Arnold subsidiary was named as co-defendant, together with 300 West LLC (“300 West”), in a suit filed in the Twenty-Second Judicial Circuit, McHenry County, Illinois, Chancery Division (Case No. 13CH1046) on June 14, 2013 by the State of Illinois (the “Marengo Litigation”). Arnold leases a site in Marengo, McHenry County, Illinois (the “Site”) from 300 West. Since 2008, Arnold and 300 West have been a part of the Illinois Remediation Program with respect to the Site. In the Marengo Litigation, the State of Illinois claimed that 300 West and Arnold discharged chlorinated volatile organic compounds into the groundwater onsite, which has since migrated off-Site into private drinking wells. The State of Illinois sought injunctive relief and civil penalties. In June of 2016, the parties entered into a consent order (as amended and restated up to and through the date hereof, the “Consent Order”). 300 West, at its expense, connected residents whose drinking water was impacted by the alleged release to the City of Marengo’s public water supply, as required by the Consent Order. The Consent Order also requires Arnold and 300 West to submit to the Illinois Environmental Protection Agency ("IEPA") a comprehensive plan detailing steps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taken by 300 West and Arnold to remediate on- and off-site soil and groundwater contamination. Discussions between Arnold and 300 West and the IEPA regarding the remediation plan are ongoing. The Consent Order also requires the ultimate settlement of any stipulated and civil penalties related to the Marengo Litigation. In May of 2021, the McHenry County State’s Attorney joined the Marengo Litigation as a plaintiff. In June 2024, Arnold issued a notice to 300 West to terminate its lease for the Marengo site and subsequently moved to a new location in Woodstock, Illinois. Arnold and 300 West are still in discussion regarding maintenance and repair to the Marengo property. The Marengo lease ended on December 31, 2024.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Certain damages incurred by Arnold in connection with the Marengo Litigation are subject to indemnification pursuant to the Stock Purchase Agreement, among SPS Technologies, LLC (“SPS”), SPS Technologies Limited (“SPS Ltd.”), Precision Castparts Corp. (collectively with SPS and SPS Ltd., the “SPS Entities”), Arnold and Audax Private Equity Fund, L.P., dated December 20, 2004, and prior consents to indemnification given by the SPS Entities. Arnold has cooperated with the governmental agencies in the Marengo Litigation investigations and proceedings, as well as the obligations agreed to pursuant to the Consent Order. We do not believe that the outcome of the Marengo Litigation will have a material adverse effect on its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2"/>
        </w:rPr>
      </w:pPr>
      <w:r>
        <w:rPr>
          <w:rFonts w:ascii="Arial;sans-serif" w:hAnsi="Arial;sans-serif"/>
          <w:b/>
          <w:color w:val="000000"/>
          <w:sz w:val="22"/>
        </w:rPr>
        <w:t>ITEM 4. MINE SAFETY DISCLOSURES</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ITEM 5. MARKET FOR REGISTRANT'S COMMON EQUITY, RELATED STOCKHOLDER MATTERS AND ISSUER PURCHASES OF EQUITY SECURITIES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common shares of Trust stock have traded on NYSE under the symbol “CODI”. In January 2026, the NYSE notified the Company that it was not in compliance with certain NYSE corporate governance listing standards due to the Company’s failure to hold an annual meeting during fiscal 2025, and a “.BC” indicator was appended to the Company’s ticker symbols. The Company intends to regain compliance by holding an annual meeting as soon as practicable. During 2025, the Company also received NYSE notices related to the timing of periodic report filings, which was resolved through the filing with the SEC of the Company’s Forms 10-Q for the periods ended March 31, June 30, and September 30, 2025.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Common Stock Holders</w:t>
      </w:r>
    </w:p>
    <w:p>
      <w:pPr>
        <w:pStyle w:val="TextBody"/>
        <w:bidi w:val="0"/>
        <w:spacing w:lineRule="auto" w:line="288" w:before="120" w:after="283"/>
        <w:jc w:val="both"/>
        <w:rPr/>
      </w:pPr>
      <w:r>
        <w:rPr>
          <w:rFonts w:ascii="Arial;sans-serif" w:hAnsi="Arial;sans-serif"/>
          <w:b w:val="false"/>
          <w:color w:val="000000"/>
          <w:sz w:val="20"/>
        </w:rPr>
        <w:t>On December 31, 2025 there</w:t>
      </w:r>
      <w:r>
        <w:rPr>
          <w:color w:val="000000"/>
          <w:shd w:fill="FFFFFF" w:val="clear"/>
        </w:rPr>
        <w:t xml:space="preserve"> </w:t>
      </w:r>
      <w:r>
        <w:rPr>
          <w:rFonts w:ascii="Arial;sans-serif" w:hAnsi="Arial;sans-serif"/>
          <w:b w:val="false"/>
          <w:color w:val="000000"/>
          <w:sz w:val="20"/>
          <w:shd w:fill="FFFFFF" w:val="clear"/>
        </w:rPr>
        <w:t>were 13 shareholders of record</w:t>
      </w:r>
      <w:r>
        <w:rPr>
          <w:color w:val="000000"/>
        </w:rPr>
        <w:t xml:space="preserve"> </w:t>
      </w:r>
      <w:r>
        <w:rPr>
          <w:rFonts w:ascii="Arial;sans-serif" w:hAnsi="Arial;sans-serif"/>
          <w:b w:val="false"/>
          <w:color w:val="000000"/>
          <w:sz w:val="20"/>
        </w:rPr>
        <w:t>of our common stock. The number of shareholders of record includes banks and brokers who act as nominees, each of whom may represent more than one shareholder.</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COMPARATIVE PERFORMANCE OF SHARES OF TRUST COMMON STOCK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performance graph shown below compares the change in cumulative total shareholder return on common shares of Trust stock with the NYSE Composite Index and the NYSE Financial Sector Index for the previous five years, through the year ended December 31, 2025. The graph sets the beginning value of common shares of Trust stock and the indices at $100, and assumes that all quarterly dividends were reinvested at the time of payment. This graph does not forecast future performance of common shares of Trust stock.</w:t>
      </w:r>
    </w:p>
    <w:p>
      <w:pPr>
        <w:pStyle w:val="TextBody"/>
        <w:bidi w:val="0"/>
        <w:spacing w:before="0" w:after="0"/>
        <w:jc w:val="left"/>
        <w:rPr/>
      </w:pPr>
      <w:r>
        <w:rPr/>
      </w:r>
    </w:p>
    <w:p>
      <w:pPr>
        <w:pStyle w:val="TextBody"/>
        <w:bidi w:val="0"/>
        <w:spacing w:before="0" w:after="0"/>
        <w:jc w:val="center"/>
        <w:rPr/>
      </w:pPr>
      <w:r>
        <w:rPr/>
        <w:drawing>
          <wp:inline distT="0" distB="0" distL="0" distR="0">
            <wp:extent cx="5715000" cy="3810000"/>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3"/>
                    <a:stretch>
                      <a:fillRect/>
                    </a:stretch>
                  </pic:blipFill>
                  <pic:spPr bwMode="auto">
                    <a:xfrm>
                      <a:off x="0" y="0"/>
                      <a:ext cx="5715000" cy="3810000"/>
                    </a:xfrm>
                    <a:prstGeom prst="rect">
                      <a:avLst/>
                    </a:prstGeom>
                  </pic:spPr>
                </pic:pic>
              </a:graphicData>
            </a:graphic>
          </wp:inline>
        </w:drawing>
      </w:r>
      <w:bookmarkStart w:id="1" w:name="i-2"/>
      <w:bookmarkEnd w:id="1"/>
    </w:p>
    <w:tbl>
      <w:tblPr>
        <w:tblW w:w="9605" w:type="dxa"/>
        <w:jc w:val="left"/>
        <w:tblInd w:w="0" w:type="dxa"/>
        <w:tblLayout w:type="fixed"/>
        <w:tblCellMar>
          <w:top w:w="28" w:type="dxa"/>
          <w:left w:w="28" w:type="dxa"/>
          <w:bottom w:w="28" w:type="dxa"/>
          <w:right w:w="28" w:type="dxa"/>
        </w:tblCellMar>
      </w:tblPr>
      <w:tblGrid>
        <w:gridCol w:w="834"/>
        <w:gridCol w:w="732"/>
        <w:gridCol w:w="743"/>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Data</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Compass Diversified Holdings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before="0" w:after="0"/>
        <w:ind w:left="0" w:right="0" w:firstLine="720"/>
        <w:jc w:val="left"/>
        <w:rPr/>
      </w:pPr>
      <w:r>
        <w:rPr/>
      </w:r>
    </w:p>
    <w:tbl>
      <w:tblPr>
        <w:tblW w:w="9605" w:type="dxa"/>
        <w:jc w:val="left"/>
        <w:tblInd w:w="0" w:type="dxa"/>
        <w:tblLayout w:type="fixed"/>
        <w:tblCellMar>
          <w:top w:w="28" w:type="dxa"/>
          <w:left w:w="28" w:type="dxa"/>
          <w:bottom w:w="28" w:type="dxa"/>
          <w:right w:w="28" w:type="dxa"/>
        </w:tblCellMar>
      </w:tblPr>
      <w:tblGrid>
        <w:gridCol w:w="803"/>
        <w:gridCol w:w="707"/>
        <w:gridCol w:w="7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NYSE Composite Index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NYSE Financial Sector Index</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Distributions</w:t>
      </w:r>
    </w:p>
    <w:p>
      <w:pPr>
        <w:pStyle w:val="TextBody"/>
        <w:bidi w:val="0"/>
        <w:spacing w:lineRule="auto" w:line="288" w:before="120" w:after="283"/>
        <w:jc w:val="both"/>
        <w:rPr/>
      </w:pPr>
      <w:r>
        <w:rPr>
          <w:rFonts w:ascii="Arial;sans-serif" w:hAnsi="Arial;sans-serif"/>
          <w:b w:val="false"/>
          <w:color w:val="000000"/>
          <w:sz w:val="20"/>
          <w:shd w:fill="FFFFFF" w:val="clear"/>
        </w:rPr>
        <w:t>During the year ended December 31, 2025 we declared and paid cash distributions of $0.50 to our common shareholders. The common share distribution was suspended by the Board of Directors of the Company in May 2025 and no common distributions were paid after April 2025. During the year ended December 31, 2024 and December 31, 2023, we declared and paid cash distributions of $1.00 to our common shareholders. The common cash distributions should generally constitute “qualified dividends” for U.S. federal income tax purposes t</w:t>
      </w:r>
      <w:r>
        <w:rPr>
          <w:rFonts w:ascii="Arial;sans-serif" w:hAnsi="Arial;sans-serif"/>
          <w:b w:val="false"/>
          <w:color w:val="000000"/>
          <w:sz w:val="20"/>
        </w:rPr>
        <w:t xml:space="preserve">o the extent paid from “earnings and profits” (as determined under U.S. federal income tax principles), provided that the requisite holding period is met. To the extent that the amount of the cash distributions exceeds earnings and profits, such distribution will first be treated as a non-taxable return of capital to the extent of the holder’s adjusted tax basis in the shares, and thereafter be treated as capital gain from the sale or exchange of such shares. The Company expects cash distributions will exceed earnings and profits in the 2025 taxable year.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Board has full authority and discretion to determine whether or not a distribution by the Company should be declared and paid to the Trust and in turn to our shareholders, as well as the amount and timing of any distribution. In light of the Lugano Investigation and related matters, on May 27, 2025, the Company announced that it suspended the quarterly cash distribution historically paid to common shareholders in order to preserve cash and protect long-term value until such time as the Company’s board of directors deems it appropriate to resume such distributions.</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Recent Sales of Unregistered Securities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None</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2"/>
        </w:rPr>
      </w:pPr>
      <w:r>
        <w:rPr>
          <w:rFonts w:ascii="Arial;sans-serif" w:hAnsi="Arial;sans-serif"/>
          <w:b/>
          <w:color w:val="000000"/>
          <w:sz w:val="22"/>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ITEM 7. MANAGEMENT’S DISCUSSION AND ANALYSIS OF FINANCIAL CONDITION AND RESULTS OF OPERATIONS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This Item 7 contains forward-looking statements. Forward-looking statements in this Annual Report on Form 10-K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sections entitled “Forward-Looking Statements” and “Risk Factors” included elsewhere in this Annual Report.</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Compass Diversified Holdings, a Delaware statutory trust, was formed in Delaware on November 18, 2005. Compass Group Diversified Holdings LLC, a Delaware limited liability company, was also formed on November 18, 2005. In accordance with the Trust Agreement, the Trust is the sole owner of 100% of the Trust Interests (as defined in the LLC Agreement of the Company). Pursuant to the LLC Agreement, the Company has outstanding an identical number of Trust Interests as the number of outstanding shares of the Trust. Sostratus LLC owns all of our Allocation Interests. The Company is the operating entity with a board of directors and corporate governance responsibilities similar to those of a Delaware corporation.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Trust and the LLC were formed to acquire and manage a group of small and middle-market businesses headquartered in North America. We characterize small and middle market businesses as those that generate annual cash flows of up to $100 million. We focus on companies of this size because we believe they are better able to achieve growth rates above those of their relevant industries and efforts to improve earnings and cash flow are often more effective in companies of this size. In pursuing new acquisitions, we seek businesses with the following characteristics: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North American base of operations;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Stable and growing earnings and cashflow;</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Significant market share in defensible industry niches (i.e., has a “reason to exist”);</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Solid and proven management team with meaningful incentives;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Low technological and/or product obsolescence risk; and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Diversified customer and supplier bases.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management team’s strategy for our subsidiaries involves: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Utilizing structured incentive compensation programs tailored to each business to attract and retain talented managers;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Assisting management in its analysis and pursuit of prudent organic cash flow growth strategies;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Identifying and working with management to execute attractive external growth and acquisition opportunities; and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Forming strong subsidiary-level boards of directors, including independent directors, to supplement management in developing and implementing strategic goals and objectives.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management team leverages a network of intermediaries, advisors, and other sources of opportunities who expose us to potential acquisitions. Through these relationships, we regularly evaluate a range of potential acquisition opportunities. Our management team also has experience navigating complex acquisition situations, including corporate spin-offs, family-owned business transitions, management buy-outs, and reorganizations. We believe this flexibility, creativity, experience and expertise in structuring transactions provides a strategic advantage to us in executing non-traditional and complex transactions tailored to fit a specific acquisition target.</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Lugano Investigation and Restatement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previously disclosed, following concerns reported to the Company’s management, the Company commenced the Lugano Investigation. As a result of the Lugano Investigation, the Company determined that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previously issued financial statements for fiscal years 2022, 2023, 2024, and the first three fiscal quarters of 2025 including other interim and full-year financial information should no longer be relied upon. The Company corrected these errors in its 2024 Form 10-K/A which was filed on December 8, 2025, and its Quarterly Reports on Form 10-Q for the first, second, and third quarters of 2025, which were filed on December 18, 2025, December 29, 2025 and January 14, 2026 respectively. The financial information discussed herein reflects the correction of these errors.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Initial public offering (subsequent acquisitions and dispositions)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May 16, 2006, we completed our initial public offering of 13,500,000 shares of the Trust (the “IPO”). Subsequent to the IPO the Board engaged our Manager to externally manage the day-to-day operations and affairs of the Company, oversee the management and operations of the businesses and perform those services customarily performed by executive officers of a public company.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tables below reflect summarized information relating to our acquisitions and dispositions from the date of our IPO through December 31, 2025 (in thousands):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Acquisitions</w:t>
      </w:r>
    </w:p>
    <w:tbl>
      <w:tblPr>
        <w:tblW w:w="10173" w:type="dxa"/>
        <w:jc w:val="center"/>
        <w:tblInd w:w="0" w:type="dxa"/>
        <w:tblLayout w:type="fixed"/>
        <w:tblCellMar>
          <w:top w:w="28" w:type="dxa"/>
          <w:left w:w="28" w:type="dxa"/>
          <w:bottom w:w="28" w:type="dxa"/>
          <w:right w:w="28" w:type="dxa"/>
        </w:tblCellMar>
      </w:tblPr>
      <w:tblGrid>
        <w:gridCol w:w="868"/>
        <w:gridCol w:w="761"/>
        <w:gridCol w:w="770"/>
        <w:gridCol w:w="109"/>
        <w:gridCol w:w="109"/>
        <w:gridCol w:w="109"/>
        <w:gridCol w:w="589"/>
        <w:gridCol w:w="589"/>
        <w:gridCol w:w="591"/>
        <w:gridCol w:w="109"/>
        <w:gridCol w:w="109"/>
        <w:gridCol w:w="109"/>
        <w:gridCol w:w="320"/>
        <w:gridCol w:w="1254"/>
        <w:gridCol w:w="165"/>
        <w:gridCol w:w="109"/>
        <w:gridCol w:w="109"/>
        <w:gridCol w:w="109"/>
        <w:gridCol w:w="347"/>
        <w:gridCol w:w="347"/>
        <w:gridCol w:w="347"/>
        <w:gridCol w:w="347"/>
        <w:gridCol w:w="347"/>
        <w:gridCol w:w="347"/>
        <w:gridCol w:w="347"/>
        <w:gridCol w:w="347"/>
        <w:gridCol w:w="509"/>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Ownership Interest - December 31, 2025</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CODI 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Diluted</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CBS Holdings (Staffmark) </w:t>
            </w:r>
            <w:r>
              <w:rPr>
                <w:rFonts w:ascii="Arial;sans-serif" w:hAnsi="Arial;sans-serif"/>
                <w:b/>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May 16, 2006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Crosman </w:t>
            </w:r>
            <w:r>
              <w:rPr>
                <w:rFonts w:ascii="Arial;sans-serif" w:hAnsi="Arial;sans-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May 16,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Advanced Circuits </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May 16,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Silvue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May 16, 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Tridien</w:t>
            </w:r>
            <w:r>
              <w:rPr>
                <w:color w:val="000000"/>
              </w:rPr>
              <w:t xml:space="preserve"> </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1,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Aeroglide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28,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Halo </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28,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Furniture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31, 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FOX </w:t>
            </w:r>
            <w:r>
              <w:rPr>
                <w:rFonts w:ascii="Arial;sans-serif" w:hAnsi="Arial;sans-serif"/>
                <w:b/>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4,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Liberty Safe</w:t>
            </w:r>
            <w:r>
              <w:rPr>
                <w:color w:val="000000"/>
              </w:rPr>
              <w:t xml:space="preserve"> </w:t>
            </w:r>
            <w:r>
              <w:rPr>
                <w:rFonts w:ascii="Arial;sans-serif" w:hAnsi="Arial;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31, 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Ergobaby </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16, 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CamelBak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24,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251,400 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Arnold Magnetics </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5,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82.8%</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Clean Earth</w:t>
            </w:r>
            <w:r>
              <w:rPr>
                <w:color w:val="000000"/>
              </w:rPr>
              <w:t xml:space="preserve"> </w:t>
            </w:r>
            <w:r>
              <w:rPr>
                <w:rFonts w:ascii="Arial;sans-serif" w:hAnsi="Arial;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7,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251,400 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Sterno </w:t>
            </w:r>
            <w:r>
              <w:rPr>
                <w:rFonts w:ascii="Arial;sans-serif" w:hAnsi="Arial;sans-serif"/>
                <w:b/>
                <w:color w:val="000000"/>
                <w:sz w:val="12"/>
              </w:rPr>
              <w:t>(3)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10,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98.4%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92.2%</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Manitoba Harvest </w:t>
            </w:r>
            <w:r>
              <w:rPr>
                <w:rFonts w:ascii="Arial;sans-serif" w:hAnsi="Arial;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10,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5.11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408,200 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97.8%</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87.6%</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Velocity Outdoor </w:t>
            </w:r>
            <w:r>
              <w:rPr>
                <w:rFonts w:ascii="Arial;sans-serif" w:hAnsi="Arial;sans-serif"/>
                <w:b/>
                <w:color w:val="000000"/>
                <w:sz w:val="12"/>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93.2%</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Altor Solutions</w:t>
            </w:r>
            <w:r>
              <w:rPr>
                <w:color w:val="000000"/>
              </w:rPr>
              <w:t xml:space="preserve"> </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15,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90.5%</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Marucci Sports </w:t>
            </w:r>
            <w:r>
              <w:rPr>
                <w:rFonts w:ascii="Arial;sans-serif" w:hAnsi="Arial;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20,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16,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456,800 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82.8%</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Lugano</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541,100 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90.7%</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84.7%</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85.0%</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76.5%</w:t>
            </w:r>
          </w:p>
        </w:tc>
      </w:tr>
    </w:tbl>
    <w:p>
      <w:pPr>
        <w:pStyle w:val="TextBody"/>
        <w:bidi w:val="0"/>
        <w:spacing w:lineRule="auto" w:line="288" w:before="120" w:after="283"/>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18"/>
        </w:rPr>
        <w:t xml:space="preserve">The total purchase price for CBS Holdings includes the acquisition of Staffmark Investment LLC in January 2008 for a purchase price of $128.6 million. The Company renamed its CBS Personnel business Staffmark subsequent to the acquisition. </w:t>
      </w:r>
    </w:p>
    <w:p>
      <w:pPr>
        <w:pStyle w:val="TextBody"/>
        <w:bidi w:val="0"/>
        <w:spacing w:lineRule="auto" w:line="288" w:before="120" w:after="283"/>
        <w:jc w:val="both"/>
        <w:rPr/>
      </w:pPr>
      <w:r>
        <w:rPr>
          <w:rFonts w:ascii="Arial;sans-serif" w:hAnsi="Arial;sans-serif"/>
          <w:b/>
          <w:color w:val="000000"/>
          <w:sz w:val="13"/>
        </w:rPr>
        <w:t>(2)</w:t>
      </w:r>
      <w:r>
        <w:rPr>
          <w:color w:val="000000"/>
        </w:rPr>
        <w:t xml:space="preserve"> </w:t>
      </w:r>
      <w:r>
        <w:rPr>
          <w:rFonts w:ascii="Arial;sans-serif" w:hAnsi="Arial;sans-serif"/>
          <w:b w:val="false"/>
          <w:color w:val="000000"/>
          <w:sz w:val="18"/>
        </w:rPr>
        <w:t xml:space="preserve">Velocity Outdoor (formerly "Crosman Corporation") was purchased by the Company in May 2006 and subsequently sold in January 2007. We reacquired Velocity Outdoor in June 2017. </w:t>
      </w:r>
    </w:p>
    <w:p>
      <w:pPr>
        <w:pStyle w:val="TextBody"/>
        <w:bidi w:val="0"/>
        <w:spacing w:lineRule="auto" w:line="288" w:before="120" w:after="283"/>
        <w:jc w:val="both"/>
        <w:rPr/>
      </w:pPr>
      <w:r>
        <w:rPr>
          <w:rFonts w:ascii="Arial;sans-serif" w:hAnsi="Arial;sans-serif"/>
          <w:b/>
          <w:color w:val="000000"/>
          <w:sz w:val="13"/>
        </w:rPr>
        <w:t>(3)</w:t>
      </w:r>
      <w:r>
        <w:rPr>
          <w:color w:val="000000"/>
        </w:rPr>
        <w:t xml:space="preserve"> </w:t>
      </w:r>
      <w:r>
        <w:rPr>
          <w:rFonts w:ascii="Arial;sans-serif" w:hAnsi="Arial;sans-serif"/>
          <w:b w:val="false"/>
          <w:color w:val="000000"/>
          <w:sz w:val="18"/>
        </w:rPr>
        <w:t>The total purchase price does not reflect add-on acquisitions made by our businesses subsequent to their purchase by the Company unless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color w:val="000000"/>
          <w:sz w:val="13"/>
        </w:rPr>
        <w:t xml:space="preserve">(4) </w:t>
      </w:r>
      <w:r>
        <w:rPr>
          <w:rFonts w:ascii="Arial;sans-serif" w:hAnsi="Arial;sans-serif"/>
          <w:b w:val="false"/>
          <w:color w:val="000000"/>
          <w:sz w:val="18"/>
        </w:rPr>
        <w:t>FOX completed an IPO of its common stock in August 2013 in which we sold a 22% interest in FOX, reducing our ownership interest to 53.9%. In July 2014, FOX completed a secondary offering in which we sold a 12% interest in FOX, reducing our ownership interest to 41% and resulting in the deconsolidation of FOX from our financial results. We subsequently sold our remaining shares of FOX and now hold no ownership interest in FOX. We recognized total net proceeds from the sale of our FOX shares of approximately $465.1 million.</w:t>
      </w:r>
    </w:p>
    <w:p>
      <w:pPr>
        <w:pStyle w:val="TextBody"/>
        <w:bidi w:val="0"/>
        <w:spacing w:lineRule="auto" w:line="288" w:before="120" w:after="283"/>
        <w:jc w:val="both"/>
        <w:rPr/>
      </w:pPr>
      <w:r>
        <w:rPr>
          <w:rFonts w:ascii="Arial;sans-serif" w:hAnsi="Arial;sans-serif"/>
          <w:b/>
          <w:color w:val="000000"/>
          <w:sz w:val="13"/>
        </w:rPr>
        <w:t>(5)</w:t>
      </w:r>
      <w:r>
        <w:rPr>
          <w:color w:val="000000"/>
        </w:rPr>
        <w:t xml:space="preserve"> </w:t>
      </w:r>
      <w:r>
        <w:rPr>
          <w:rFonts w:ascii="Arial;sans-serif" w:hAnsi="Arial;sans-serif"/>
          <w:b w:val="false"/>
          <w:color w:val="000000"/>
          <w:sz w:val="18"/>
        </w:rPr>
        <w:t>The total purchase price of Sterno includes the acquisition of Rimports in February 2018 for a purchase price of $154.4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Lugano was deconsolidated on November 16, 2025. The Company retained its equity interest in Lugano at December 31, 2025.</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Dispositions</w:t>
      </w:r>
    </w:p>
    <w:tbl>
      <w:tblPr>
        <w:tblW w:w="10205" w:type="dxa"/>
        <w:jc w:val="center"/>
        <w:tblInd w:w="0" w:type="dxa"/>
        <w:tblLayout w:type="fixed"/>
        <w:tblCellMar>
          <w:top w:w="28" w:type="dxa"/>
          <w:left w:w="28" w:type="dxa"/>
          <w:bottom w:w="28" w:type="dxa"/>
          <w:right w:w="28" w:type="dxa"/>
        </w:tblCellMar>
      </w:tblPr>
      <w:tblGrid>
        <w:gridCol w:w="585"/>
        <w:gridCol w:w="512"/>
        <w:gridCol w:w="525"/>
        <w:gridCol w:w="109"/>
        <w:gridCol w:w="109"/>
        <w:gridCol w:w="109"/>
        <w:gridCol w:w="543"/>
        <w:gridCol w:w="543"/>
        <w:gridCol w:w="545"/>
        <w:gridCol w:w="109"/>
        <w:gridCol w:w="109"/>
        <w:gridCol w:w="109"/>
        <w:gridCol w:w="211"/>
        <w:gridCol w:w="826"/>
        <w:gridCol w:w="109"/>
        <w:gridCol w:w="109"/>
        <w:gridCol w:w="109"/>
        <w:gridCol w:w="109"/>
        <w:gridCol w:w="466"/>
        <w:gridCol w:w="1829"/>
        <w:gridCol w:w="241"/>
        <w:gridCol w:w="109"/>
        <w:gridCol w:w="109"/>
        <w:gridCol w:w="109"/>
        <w:gridCol w:w="346"/>
        <w:gridCol w:w="1357"/>
        <w:gridCol w:w="259"/>
      </w:tblGrid>
      <w:tr>
        <w:trPr/>
        <w:tc>
          <w:tcPr>
            <w:tcW w:w="58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Business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Date of Disposition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Sale Price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CODI Proceeds from Disposition </w:t>
            </w:r>
            <w:r>
              <w:rPr>
                <w:rFonts w:ascii="Arial;sans-serif" w:hAnsi="Arial;sans-serif"/>
                <w:b/>
                <w:color w:val="000000"/>
                <w:sz w:val="11"/>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Gain (loss) recognized</w:t>
            </w:r>
            <w:r>
              <w:rPr>
                <w:color w:val="000000"/>
              </w:rPr>
              <w:t xml:space="preserve"> </w:t>
            </w:r>
            <w:r>
              <w:rPr>
                <w:rFonts w:ascii="Arial;sans-serif" w:hAnsi="Arial;sans-serif"/>
                <w:b/>
                <w:color w:val="000000"/>
                <w:sz w:val="10"/>
              </w:rPr>
              <w:t>(2)</w:t>
            </w:r>
          </w:p>
        </w:tc>
      </w:tr>
      <w:tr>
        <w:trPr/>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Crosman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5, 2007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35,800 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Aeroglide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24, 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Silvue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25, 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Staffmark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17, 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May 1, 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CamelBak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American Furniture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5, 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Tridien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September 21, 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428,700 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Manitoba Harvest</w:t>
            </w:r>
            <w:r>
              <w:rPr>
                <w:color w:val="000000"/>
              </w:rPr>
              <w:t xml:space="preserve"> </w:t>
            </w:r>
            <w:r>
              <w:rPr>
                <w:rFonts w:ascii="Arial;sans-serif" w:hAnsi="Arial;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28,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219,700 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Clean Earth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June 28,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560,520 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Liberty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Advanced Circuits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Marucci Sports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November 14,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244,700 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Ergobaby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December 27,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3"/>
        </w:rPr>
        <w:t xml:space="preserve">(1) </w:t>
      </w:r>
      <w:r>
        <w:rPr>
          <w:rFonts w:ascii="Arial;sans-serif" w:hAnsi="Arial;sans-serif"/>
          <w:b w:val="false"/>
          <w:color w:val="000000"/>
          <w:sz w:val="18"/>
        </w:rPr>
        <w:t>CODI portion of the net proceeds from disposition includes debt and equity proceeds and reflects the accounting for the redemption of the sold business's minority shareholders and transaction expenses.</w:t>
      </w:r>
    </w:p>
    <w:p>
      <w:pPr>
        <w:pStyle w:val="TextBody"/>
        <w:bidi w:val="0"/>
        <w:spacing w:lineRule="auto" w:line="288" w:before="120" w:after="283"/>
        <w:jc w:val="both"/>
        <w:rPr/>
      </w:pPr>
      <w:r>
        <w:rPr>
          <w:rFonts w:ascii="Arial;sans-serif" w:hAnsi="Arial;sans-serif"/>
          <w:b/>
          <w:color w:val="000000"/>
          <w:sz w:val="12"/>
        </w:rPr>
        <w:t xml:space="preserve">(2) </w:t>
      </w:r>
      <w:r>
        <w:rPr>
          <w:rFonts w:ascii="Arial;sans-serif" w:hAnsi="Arial;sans-serif"/>
          <w:b w:val="false"/>
          <w:color w:val="000000"/>
          <w:sz w:val="18"/>
        </w:rPr>
        <w:t>Gain (loss) recognized on sale of our businesses is calculated by deducting our total invested capital from the net sale proceeds received and does not include any applicable income tax.</w:t>
      </w:r>
    </w:p>
    <w:p>
      <w:pPr>
        <w:pStyle w:val="TextBody"/>
        <w:bidi w:val="0"/>
        <w:spacing w:lineRule="auto" w:line="288" w:before="120" w:after="283"/>
        <w:jc w:val="both"/>
        <w:rPr/>
      </w:pPr>
      <w:r>
        <w:rPr>
          <w:rFonts w:ascii="Arial;sans-serif" w:hAnsi="Arial;sans-serif"/>
          <w:b/>
          <w:color w:val="000000"/>
          <w:sz w:val="13"/>
        </w:rPr>
        <w:t xml:space="preserve">(3) </w:t>
      </w:r>
      <w:r>
        <w:rPr>
          <w:rFonts w:ascii="Arial;sans-serif" w:hAnsi="Arial;sans-serif"/>
          <w:b w:val="false"/>
          <w:color w:val="000000"/>
          <w:sz w:val="18"/>
        </w:rPr>
        <w:t xml:space="preserve">Sale price of Manitoba Harvest was C$370 million. Translation to USD is as of the date of sale. </w:t>
      </w:r>
    </w:p>
    <w:p>
      <w:pPr>
        <w:pStyle w:val="TextBody"/>
        <w:bidi w:val="0"/>
        <w:spacing w:lineRule="auto" w:line="288" w:before="180" w:after="283"/>
        <w:jc w:val="both"/>
        <w:rPr/>
      </w:pPr>
      <w:r>
        <w:rPr>
          <w:rFonts w:ascii="Arial;sans-serif" w:hAnsi="Arial;sans-serif"/>
          <w:b/>
          <w:color w:val="000000"/>
          <w:sz w:val="20"/>
        </w:rPr>
        <w:t>*</w:t>
      </w:r>
      <w:r>
        <w:rPr>
          <w:color w:val="000000"/>
        </w:rPr>
        <w:t xml:space="preserve"> </w:t>
      </w:r>
      <w:r>
        <w:rPr>
          <w:rFonts w:ascii="Arial;sans-serif" w:hAnsi="Arial;sans-serif"/>
          <w:b w:val="false"/>
          <w:color w:val="000000"/>
          <w:sz w:val="20"/>
        </w:rPr>
        <w:t>We made loans to and purchased a controlling interest in FOX on January 4, 2008, for approximately $80.4 million. In August 2013, FOX completed an initial public offering of its common stock. As a result of the initial public offering, our ownership interest in FOX was reduced to approximately 53.9%. No gain was reflected as a result of the sale of our FOX shares in the initial public offering because our majority classification of FOX did not change. FOX used a portion of their net proceeds received from the sale of their shares as well as proceeds from a new external FOX credit facility to repay $61.5 million in outstanding indebtedness to us under their existing credit facility with us. In July 2014, through a secondary offering, our ownership in FOX was lowered from approximately 54% to approximately 41%, and as a result we deconsolidated FOX as of July 10, 2014. In March and August 2016, through two more secondary offerings and a share repurchase by FOX, our ownership in the outstanding common stock of FOX was further lowered to approximately 23% as of September 30, 2016. In November 2016, through another secondary offering, our ownership in the outstanding common stock of FOX was further lowered to approximately 14%. On March 13, 2017, FOX closed on a secondary public offering of 5,108,718 shares of FOX common stock held by the Company, which represented our remaining interest in FOX. We recognized total net proceeds from the sales of our FOX shares of approximately $465.1 million, plus proceeds from the repayment of the FOX credit facility of $61.5 million upon completion of their initial public offering, and a total gain of $428.7 million.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are dependent on the earnings of, and cash receipts from, the businesses that we own in order to meet our corporate overhead and management fee expenses and to pay distributions. The earnings and cash receipts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businesses are generally lowest in the first quarter, and strongest in the third and fourth quarter, of each fiscal year. These earnings and cash receipts, net of any non-controlling interest in these businesses, are available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meet capital expenditure requirements, management fees and corporate overhead charges;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support working capital needs of our businesses and corporate overhead;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be distributed by the Trust to shareholders.</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2025 Recent Events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Lugano Bankruptcy and Deconsolidation </w:t>
      </w:r>
    </w:p>
    <w:p>
      <w:pPr>
        <w:pStyle w:val="TextBody"/>
        <w:bidi w:val="0"/>
        <w:spacing w:lineRule="auto" w:line="288" w:before="120" w:after="283"/>
        <w:jc w:val="both"/>
        <w:rPr/>
      </w:pPr>
      <w:r>
        <w:rPr>
          <w:rFonts w:ascii="Arial;sans-serif" w:hAnsi="Arial;sans-serif"/>
          <w:b w:val="false"/>
          <w:color w:val="000000"/>
          <w:sz w:val="20"/>
        </w:rPr>
        <w:t>On November 16, 2025, Lugano and certain of its subsidiaries filed the Lugano Bankruptcy. As a result of the Lugano Bankruptcy, effective November 16, 202</w:t>
      </w:r>
      <w:r>
        <w:rPr>
          <w:rFonts w:ascii="Arial;sans-serif" w:hAnsi="Arial;sans-serif"/>
          <w:b w:val="false"/>
          <w:color w:val="000000"/>
          <w:sz w:val="20"/>
          <w:shd w:fill="FFFFFF" w:val="clear"/>
        </w:rPr>
        <w:t xml:space="preserve">5, Lugano and its subsidiaries were deconsolidated from the Company’s financial statements pursuant to ASC 810 - </w:t>
      </w:r>
      <w:r>
        <w:rPr>
          <w:rFonts w:ascii="Arial;sans-serif" w:hAnsi="Arial;sans-serif"/>
          <w:b w:val="false"/>
          <w:i/>
          <w:color w:val="000000"/>
          <w:sz w:val="20"/>
        </w:rPr>
        <w:t>Consolidation</w:t>
      </w:r>
      <w:r>
        <w:rPr>
          <w:rFonts w:ascii="Arial;sans-serif" w:hAnsi="Arial;sans-serif"/>
          <w:b w:val="false"/>
          <w:color w:val="000000"/>
          <w:sz w:val="20"/>
          <w:shd w:fill="FFFFFF" w:val="clear"/>
        </w:rPr>
        <w:t>. Refer to "</w:t>
      </w:r>
      <w:hyperlink w:anchor="i1c8fbf41abdb4a90b1f02abaa0b14bbd_2779">
        <w:r>
          <w:rPr>
            <w:rStyle w:val="InternetLink"/>
            <w:rFonts w:ascii="Arial;sans-serif" w:hAnsi="Arial;sans-serif"/>
            <w:b w:val="false"/>
            <w:color w:val="0000FF"/>
            <w:sz w:val="20"/>
            <w:u w:val="single"/>
            <w:shd w:fill="FFFFFF" w:val="clear"/>
          </w:rPr>
          <w:t>Note C - Deconsolidation</w:t>
        </w:r>
      </w:hyperlink>
      <w:r>
        <w:rPr>
          <w:rFonts w:ascii="Arial;sans-serif" w:hAnsi="Arial;sans-serif"/>
          <w:b w:val="false"/>
          <w:color w:val="000000"/>
          <w:sz w:val="20"/>
          <w:shd w:fill="FFFFFF" w:val="clear"/>
        </w:rPr>
        <w:t>" in the accompanying notes to the consolidated financial statements for additional information.</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Amendments and Waivers under the 2022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2025, in connection with the Lugano matters and related events of default, the Company entered into the Forbearance Agreements and amendments under its 2022 Credit Facility to provide the Company with time to complete the restatement process and address Lugano-related defaults. These interim arrangements were superseded by the Fifth Amendment to the Credit Agreement and related Transaction Letter described below.</w:t>
      </w:r>
    </w:p>
    <w:p>
      <w:pPr>
        <w:pStyle w:val="TextBody"/>
        <w:bidi w:val="0"/>
        <w:spacing w:lineRule="auto" w:line="288" w:before="180" w:after="283"/>
        <w:jc w:val="both"/>
        <w:rPr/>
      </w:pPr>
      <w:r>
        <w:rPr>
          <w:rFonts w:ascii="Arial;sans-serif" w:hAnsi="Arial;sans-serif"/>
          <w:b w:val="false"/>
          <w:color w:val="000000"/>
          <w:sz w:val="20"/>
        </w:rPr>
        <w:t>On December 19, 2025, the Company entered into the Fifth Amendment and the related Transaction Letter with the Administrative Agent and the required Lenders. Among other things, the Fifth Amendment and Transaction Letter (i) waived specified Lugano-related events of default that were outstanding prior to the Fifth Amendment, (ii) set the aggregate revolving commitments at $100.0 million, (iii) revised pricing and certain financial and other covenant requirements, including revised financial covenant levels for periods after the quarter ended March 31, 2025, (iv) imposed additional reporting and budgeting requirements (including periodic cash flow forecasting) and restrictions related to Lugano bankruptcy matters, (v) required the Company to use 100% of net cash proceeds from certain dispositions and deleveraging transactions to repay indebtedness, and (vi) imposed additional limitations on certain restricted payments and management fee payments. The Transaction Letter also provides for milestone fees payable to the lenders if certain leverage thresholds are not achieved on specified dates. Please see "</w:t>
      </w:r>
      <w:hyperlink w:anchor="i1c8fbf41abdb4a90b1f02abaa0b14bbd_289">
        <w:r>
          <w:rPr>
            <w:rStyle w:val="InternetLink"/>
            <w:rFonts w:ascii="Arial;sans-serif" w:hAnsi="Arial;sans-serif"/>
            <w:b w:val="false"/>
            <w:color w:val="0000FF"/>
            <w:sz w:val="20"/>
            <w:u w:val="single"/>
          </w:rPr>
          <w:t>Note I - Debt</w:t>
        </w:r>
      </w:hyperlink>
      <w:r>
        <w:rPr>
          <w:color w:val="000000"/>
        </w:rPr>
        <w:t xml:space="preserve">” </w:t>
      </w:r>
      <w:r>
        <w:rPr>
          <w:rFonts w:ascii="Arial;sans-serif" w:hAnsi="Arial;sans-serif"/>
          <w:b w:val="false"/>
          <w:color w:val="000000"/>
          <w:sz w:val="20"/>
        </w:rPr>
        <w:t>in the notes to the consolidated financial statements for additional information concerning the 2022 Credit Facility.</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Indenture Forbearance and Related PIK Payments</w:t>
      </w:r>
    </w:p>
    <w:p>
      <w:pPr>
        <w:pStyle w:val="TextBody"/>
        <w:bidi w:val="0"/>
        <w:spacing w:lineRule="auto" w:line="288" w:before="120" w:after="283"/>
        <w:jc w:val="both"/>
        <w:rPr/>
      </w:pPr>
      <w:r>
        <w:rPr>
          <w:rFonts w:ascii="Arial;sans-serif" w:hAnsi="Arial;sans-serif"/>
          <w:b w:val="false"/>
          <w:color w:val="000000"/>
          <w:sz w:val="20"/>
        </w:rPr>
        <w:t>On August 29, 2025, the Company entered into the Indenture Forbearance Agreement with certain holders of its senior notes to provide additional time to complete its restatement and file its delayed periodic reports, and in connection therewith the Company agreed to pay the PIK Payments, which were effected through supplemental indentures dated September 9, 2025. Please see "</w:t>
      </w:r>
      <w:hyperlink w:anchor="i1c8fbf41abdb4a90b1f02abaa0b14bbd_289">
        <w:r>
          <w:rPr>
            <w:rStyle w:val="InternetLink"/>
          </w:rPr>
          <w:t xml:space="preserve">Note </w:t>
        </w:r>
      </w:hyperlink>
      <w:hyperlink w:anchor="i1c8fbf41abdb4a90b1f02abaa0b14bbd_289">
        <w:r>
          <w:rPr>
            <w:rStyle w:val="InternetLink"/>
          </w:rPr>
          <w:t>I - Debt</w:t>
        </w:r>
      </w:hyperlink>
      <w:r>
        <w:rPr>
          <w:color w:val="000000"/>
        </w:rPr>
        <w:t xml:space="preserve">” </w:t>
      </w:r>
      <w:r>
        <w:rPr>
          <w:rFonts w:ascii="Arial;sans-serif" w:hAnsi="Arial;sans-serif"/>
          <w:b w:val="false"/>
          <w:color w:val="000000"/>
          <w:sz w:val="20"/>
        </w:rPr>
        <w:t>in the notes to the consolidated financial statements for additional information concerning the Senior Notes.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2025 Distributions</w:t>
      </w:r>
    </w:p>
    <w:p>
      <w:pPr>
        <w:pStyle w:val="TextBody"/>
        <w:bidi w:val="0"/>
        <w:spacing w:lineRule="auto" w:line="288" w:before="180" w:after="283"/>
        <w:jc w:val="both"/>
        <w:rPr/>
      </w:pPr>
      <w:r>
        <w:rPr>
          <w:rFonts w:ascii="Arial;sans-serif" w:hAnsi="Arial;sans-serif"/>
          <w:b w:val="false"/>
          <w:i/>
          <w:color w:val="000000"/>
          <w:sz w:val="20"/>
        </w:rPr>
        <w:t>Common shares</w:t>
      </w:r>
      <w:r>
        <w:rPr>
          <w:color w:val="000000"/>
        </w:rPr>
        <w:t xml:space="preserve"> </w:t>
      </w:r>
      <w:r>
        <w:rPr>
          <w:rFonts w:ascii="Arial;sans-serif" w:hAnsi="Arial;sans-serif"/>
          <w:b w:val="false"/>
          <w:color w:val="000000"/>
          <w:sz w:val="20"/>
        </w:rPr>
        <w:t>- For the 2025 fiscal year we declared distributions to our common shareholders totali</w:t>
      </w:r>
      <w:r>
        <w:rPr>
          <w:rFonts w:ascii="Arial;sans-serif" w:hAnsi="Arial;sans-serif"/>
          <w:b w:val="false"/>
          <w:color w:val="000000"/>
          <w:sz w:val="20"/>
          <w:shd w:fill="FFFFFF" w:val="clear"/>
        </w:rPr>
        <w:t xml:space="preserve">ng $0.50 </w:t>
      </w:r>
      <w:r>
        <w:rPr>
          <w:rFonts w:ascii="Arial;sans-serif" w:hAnsi="Arial;sans-serif"/>
          <w:b w:val="false"/>
          <w:color w:val="000000"/>
          <w:sz w:val="20"/>
        </w:rPr>
        <w:t>per share. On May 27, 2025, the Company announced that it suspended the quarterly cash distribution historically paid to common shareholders. No common distributions were paid subsequent to April 24, 2025.</w:t>
      </w:r>
    </w:p>
    <w:p>
      <w:pPr>
        <w:pStyle w:val="TextBody"/>
        <w:bidi w:val="0"/>
        <w:spacing w:lineRule="auto" w:line="288" w:before="120" w:after="283"/>
        <w:jc w:val="both"/>
        <w:rPr/>
      </w:pPr>
      <w:r>
        <w:rPr>
          <w:rFonts w:ascii="Arial;sans-serif" w:hAnsi="Arial;sans-serif"/>
          <w:b w:val="false"/>
          <w:i/>
          <w:color w:val="000000"/>
          <w:sz w:val="20"/>
        </w:rPr>
        <w:t>Preferred shares</w:t>
      </w:r>
      <w:r>
        <w:rPr>
          <w:color w:val="000000"/>
        </w:rPr>
        <w:t xml:space="preserve"> </w:t>
      </w:r>
      <w:r>
        <w:rPr>
          <w:rFonts w:ascii="Arial;sans-serif" w:hAnsi="Arial;sans-serif"/>
          <w:b w:val="false"/>
          <w:color w:val="000000"/>
          <w:sz w:val="20"/>
        </w:rPr>
        <w:t xml:space="preserve">- For the 2025 fiscal year we declared distributions to our preferred shareholders totaling $1.8125 per share on our Series A Preferred Shares, $1.96875 on our Series B Preferred Shares and $1.96875 on our Series C Preferred Shares. </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2026 Outlook and Significant Trends Impacting our Subsidiary Businesses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Macroeconomic Trends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macroeconomic environment remains choppy, as geopolitical uncertainty and evolving trade dynamics continue to impact the operating environment; however, we believe that our diversified businesses have characteristics that may help them navigate these conditions, including leading positions in a number of categories and a disciplined focus on operating execution. We continue to monitor how changing market conditions and trade-related costs may impact consumer sentiment and behavior, particularly for discretionary categories purchased by low- and middle-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income consumers. While inflation moderated domestically in 2025, price levels for certain inputs remain elevated, and labor costs continue to create margin pressure in certain parts of our business. Although the Federal Reserve reduced interest rates in 2025, the outlook for monetary policy remains uncertain and financial conditions may remain volatile in 2026. Ultimately, our focus remains on disciplined capital allocation, operating execution and balance sheet strength, supported by our permanent capital structure and the quality of our subsidiaries.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Geopolitics and Trade Policy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Geopolitical conditions were volatile throughout 2025 and we expect geopolitical uncertainty to persist in 2026. Our subsidiaries have, over time, taken actions to diversify sourcing and reduce concentrated exposure to China; however, trade-war dynamics have broadened, and the risk of new or expanded tariffs across multiple regions and product categories remains a headwind. The rare earth and strategic minerals dispute created significant disruption for one of our subsidiaries, Arnold Magnetic Technologies, including constraints on its ability to ship certain products out of China due to heightened export licensing requirements. Over the longer term, these dynamics could support higher demand for Arnold’s solutions as customers seek more resilient and predictable sourcing and supply chain alternatives; however, the timing and magnitude of any such demand shift remains uncertain. During 2025, our businesses incurred increased costs and working capital requirements due to inventory pre-buys and front-loading of goods ahead of anticipated tariff actions and supply uncertainty. The extent to which similar actions are needed in 2026 will depend on the timing and scope of trade policy changes and the level of supply chain disruption. The Company continues to monitor tariff policies and tariff announcements, including various executive orders issued subsequent to year-end and will adjust its strategies to mitigate the impact of tariffs as trade policy evolves.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 xml:space="preserve">Technology and AI Investment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AI-related investment has been a meaningful contributor to global economic activity, but the durability of that cycle and its broader impacts remain uncertain. The effect of AI adoption on productivity and employment trends is unclear over the short, medium, and long term. We remain focused on targeted, ROI-driven technology investments to enhance operational efficiency at the subsidiary level, while maintaining disciplined capital allocation as these technologies evolve.</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Business Outlook</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near-term focus is on strengthening the balance sheet and enhancing financial flexibility. In 2026, we expect to prioritize deleveraging through organic free cash flow generation and selective strategic actions, while continuing to execute our strategy and operating playbook across our subsidiaries.</w:t>
      </w:r>
    </w:p>
    <w:p>
      <w:pPr>
        <w:pStyle w:val="TextBody"/>
        <w:bidi w:val="0"/>
        <w:spacing w:lineRule="auto" w:line="288" w:before="180" w:after="283"/>
        <w:jc w:val="both"/>
        <w:rPr/>
      </w:pPr>
      <w:r>
        <w:rPr>
          <w:rFonts w:ascii="Arial;sans-serif" w:hAnsi="Arial;sans-serif"/>
          <w:b w:val="false"/>
          <w:color w:val="000000"/>
          <w:sz w:val="20"/>
          <w:shd w:fill="FFFFFF" w:val="clear"/>
        </w:rPr>
        <w:t>The Company anticipa</w:t>
      </w:r>
      <w:r>
        <w:rPr>
          <w:rFonts w:ascii="Arial;sans-serif" w:hAnsi="Arial;sans-serif"/>
          <w:b w:val="false"/>
          <w:color w:val="000000"/>
          <w:sz w:val="20"/>
        </w:rPr>
        <w:t>tes that the areas of focus for 2026, which are generally applicable to each of our businesses,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Generating free cash flow through increased net income, disciplined capital investment, and effective working capital management, while maintaining flexibility amid a choppy operating environment;</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Driving profitable growth through new product development, expanded distribution, and new customer acquisition where returns are attractive;</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Managing pricing and costs by implementing pricing actions where appropriate and executing productivity and cost initiatives to protect margins in the face of inflation, tariffs, and other input cost volatility;</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Evaluating strategic alternatives and actions for certain businesses, where doing so would enhance financial flexibility and improve risk-adjusted returns;</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Pursuing opportunities to take market share where possible in our niche market-leading businesses as customers prioritize reliability, quality, and supplier resiliency;</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 xml:space="preserve">Continuing to strengthen our supply chain resilience through supplier diversification, improved planning and inventory management, and ongoing enhancements in manufacturing and operational capabilities; </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Leveraging technology, including targeted AI initiatives, to improve efficiency, decision-making, and service levels, while maintaining a disciplined, ROI-driven approach to investment; and</w:t>
      </w:r>
    </w:p>
    <w:p>
      <w:pPr>
        <w:pStyle w:val="TextBody"/>
        <w:bidi w:val="0"/>
        <w:spacing w:lineRule="auto" w:line="288" w:before="80" w:after="283"/>
        <w:ind w:left="0" w:right="0" w:hanging="360"/>
        <w:jc w:val="both"/>
        <w:rPr/>
      </w:pPr>
      <w:r>
        <w:rPr>
          <w:color w:val="000000"/>
        </w:rPr>
        <w:t>•</w:t>
      </w:r>
      <w:r>
        <w:rPr>
          <w:rFonts w:ascii="Arial;sans-serif" w:hAnsi="Arial;sans-serif"/>
          <w:b w:val="false"/>
          <w:color w:val="000000"/>
          <w:sz w:val="20"/>
        </w:rPr>
        <w:t>Continuing to enhance our governance and oversight practices, and, as appropriate,</w:t>
      </w:r>
      <w:r>
        <w:rPr>
          <w:color w:val="000000"/>
        </w:rPr>
        <w:t xml:space="preserve"> </w:t>
      </w:r>
      <w:r>
        <w:rPr>
          <w:rFonts w:ascii="Arial;sans-serif" w:hAnsi="Arial;sans-serif"/>
          <w:b w:val="false"/>
          <w:color w:val="000000"/>
          <w:sz w:val="20"/>
        </w:rPr>
        <w:t>financial reporting processes and internal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Results of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following discussion reflects a comparison of the historical results of operations of our consolidated business for the years ended December 31, 2025, 2024 and 2023, and components of the results of operations as well as those components presented as a percent of net revenues, for each of our businesses on a standalone basis.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Lugano Bankruptcy</w:t>
      </w:r>
    </w:p>
    <w:p>
      <w:pPr>
        <w:pStyle w:val="TextBody"/>
        <w:bidi w:val="0"/>
        <w:spacing w:lineRule="auto" w:line="288" w:before="120" w:after="283"/>
        <w:jc w:val="both"/>
        <w:rPr/>
      </w:pPr>
      <w:r>
        <w:rPr>
          <w:rFonts w:ascii="Arial;sans-serif" w:hAnsi="Arial;sans-serif"/>
          <w:b w:val="false"/>
          <w:color w:val="000000"/>
          <w:sz w:val="20"/>
        </w:rPr>
        <w:t xml:space="preserve">In November 2025, Lugano and certain of its subsidiaries filed the Lugano Bankruptcy. As a result of the bankruptcy filing, the Company no longer maintained a controlling financial interest in Lugano and, accordingly, deconsolidated Lugano and its subsidiaries in accordance with ASC 810 - </w:t>
      </w:r>
      <w:r>
        <w:rPr>
          <w:rFonts w:ascii="Arial;sans-serif" w:hAnsi="Arial;sans-serif"/>
          <w:b w:val="false"/>
          <w:i/>
          <w:color w:val="000000"/>
          <w:sz w:val="20"/>
        </w:rPr>
        <w:t>Consolidation</w:t>
      </w:r>
      <w:r>
        <w:rPr>
          <w:rFonts w:ascii="Arial;sans-serif" w:hAnsi="Arial;sans-serif"/>
          <w:b w:val="false"/>
          <w:color w:val="000000"/>
          <w:sz w:val="20"/>
        </w:rPr>
        <w:t>. The results of operations of Lugano are included in the Company’s consolidated results through the date control was lost. From that date forward, Lugano is no longer included as an operating segment of the Company. Following deconsolidation, the Company’s continuing involvement with Lugano is limited to its claims in the bankruptcy proceedings, including any secured positions. Any retained interest recognized in connection with deconsolidation was measured at fair value and reflects the Company’s estimate of recoveries expected from the bankruptcy proceedings as of December 31, 2025.</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Acquisition of The Honey Pot Co.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acquired The Honey Pot Co. in January 2024. In the following results of operations, we provide (i) our actual Consolidated Results of Operations for the years ended December 31, 2025, 2024 and 2023, which includes the historical results of operations of each of our businesses (operating segments) from the date of acquisition in accordance with generally accepted accounting principles in the United States ("GAAP" or "US GAAP") and (ii) comparative historical components of the results of operations for each of our businesses on a standalone basis (“Results of Operations – Our Businesses”), for each of the years ended December 31, 2025, 2024 and 2023, where all years presented include relevant pro-forma adjustments for pre-acquisition periods and explanations where applicable. For the 2024 acquisition of The Honey Pot Co., the pro forma results of operations have been prepared as if we purchased this business on January 1, 2023. We believe this presentation enhances the discussion and provides a more meaningful comparison of operating results. The following operating results of our businesses are not necessarily indicative of the results to be expected for a full year, going forward.</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All dollar amounts in the financial tables are presented in thousands. References in the financial tables to percentage changes that are not meaningful are denoted by "NM."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Consolidated Results of Operations — Compass Diversified Holdings</w:t>
      </w:r>
    </w:p>
    <w:tbl>
      <w:tblPr>
        <w:tblW w:w="10205" w:type="dxa"/>
        <w:jc w:val="center"/>
        <w:tblInd w:w="0" w:type="dxa"/>
        <w:tblLayout w:type="fixed"/>
        <w:tblCellMar>
          <w:top w:w="28" w:type="dxa"/>
          <w:left w:w="28" w:type="dxa"/>
          <w:bottom w:w="28" w:type="dxa"/>
          <w:right w:w="28" w:type="dxa"/>
        </w:tblCellMar>
      </w:tblPr>
      <w:tblGrid>
        <w:gridCol w:w="1921"/>
        <w:gridCol w:w="1685"/>
        <w:gridCol w:w="1684"/>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92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Year Ended December 31, </w:t>
            </w:r>
          </w:p>
        </w:tc>
      </w:tr>
      <w:tr>
        <w:trPr/>
        <w:tc>
          <w:tcPr>
            <w:tcW w:w="5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5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674,720 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(69,409)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sale of Crosman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deconsolidation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(266,453)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(327,822)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(274,651)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Net revenues</w:t>
      </w:r>
    </w:p>
    <w:p>
      <w:pPr>
        <w:pStyle w:val="TextBody"/>
        <w:bidi w:val="0"/>
        <w:spacing w:lineRule="auto" w:line="288" w:before="120" w:after="283"/>
        <w:jc w:val="both"/>
        <w:rPr/>
      </w:pPr>
      <w:r>
        <w:rPr>
          <w:rFonts w:ascii="Arial;sans-serif" w:hAnsi="Arial;sans-serif"/>
          <w:b w:val="false"/>
          <w:color w:val="000000"/>
          <w:sz w:val="20"/>
        </w:rPr>
        <w:t xml:space="preserve">Net revenues for the year ended December 31, 2025 increased by approximately $85.6 million or 4.8% compared to the corresponding period in 2024. During the year ended December 31, 2025, we saw notable increases in net revenue at 5.11 ($19.7 million increase), Lugano ($18.7 million increase), PrimaLoft ($2.3 million increase), The Honey Pot Co. ($35.2 million increase) and Altor ($64.0 million increase). The Honey Pot Co. was acquired on January 31, 2024 and had an incremental revenue increase of $24.4 million year over year. The increase in net revenue at Altor was attributable to the acquisition of Lifoam in October 2024. The increase in revenue at Lugano was due to an expansion of their salon footprint during the latter half of 2024 and into 2025. These increases in net revenue were offset by decreases in net revenue at Velocity ($20.0 million decrease, primarily due to the sale of Crosman, Velocity's airgun division, in April 2024), Arnold ($20.9 million decrease) and Sterno ($12.9 million decrease). </w:t>
      </w:r>
      <w:r>
        <w:rPr>
          <w:rFonts w:ascii="Arial;sans-serif" w:hAnsi="Arial;sans-serif"/>
          <w:b w:val="false"/>
          <w:color w:val="000000"/>
          <w:sz w:val="20"/>
          <w:shd w:fill="FFFFFF" w:val="clear"/>
        </w:rPr>
        <w:t>Refer to "Part II, Item 7. "Management’s Discussion and Analysis of Financial Condition and Results of Operations" under the heading "Results of Operations - Our Businesses" for a more detailed analysis of net revenue by operating segment.</w:t>
      </w:r>
    </w:p>
    <w:p>
      <w:pPr>
        <w:pStyle w:val="TextBody"/>
        <w:bidi w:val="0"/>
        <w:spacing w:lineRule="auto" w:line="288" w:before="180" w:after="283"/>
        <w:jc w:val="both"/>
        <w:rPr/>
      </w:pPr>
      <w:r>
        <w:rPr>
          <w:rFonts w:ascii="Arial;sans-serif" w:hAnsi="Arial;sans-serif"/>
          <w:b w:val="false"/>
          <w:color w:val="000000"/>
          <w:sz w:val="20"/>
          <w:shd w:fill="FFFFFF" w:val="clear"/>
        </w:rPr>
        <w:t xml:space="preserve">We do not generate any revenues apart from those generated by the businesses we own. We may generate interest income on the investment of available funds but expect such earnings to be minimal. Our investment in our </w:t>
      </w:r>
      <w:r>
        <w:rPr>
          <w:rFonts w:ascii="Arial;sans-serif" w:hAnsi="Arial;sans-serif"/>
          <w:b w:val="false"/>
          <w:color w:val="000000"/>
          <w:sz w:val="20"/>
        </w:rPr>
        <w:t>businesses is typically in the form of loans from the Company to such businesses, as well as equity interests in those businesses. Cash flows coming to the Trust and the Company are the result of interest payments on those loans, amortization of those loans and additional principal payments on those loans. However, on a consolidated basis these items will be eliminated.</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Cost of revenues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 consolidated basis, cost of revenues increased approximately $21.6 million during the year ended December 31, 2025, compared to the corresponding period in 2024, primarily as a result of the increase in net revenues at certain of our subsidiaries. We saw notable increases in cost of revenues at Lugano ($9.1 million increase), The Honey Pot Co. ($4.9 million increase) and Altor ($55.8 million increase) that correspond to the revenue increases noted above. We also saw a decrease in cost of revenues at Velocity ($17.1 million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Arnold ($10.4 million decrease) and Sterno ($19.0 million decrease) that corresponded to the decrease in revenue noted above. </w:t>
      </w:r>
    </w:p>
    <w:p>
      <w:pPr>
        <w:pStyle w:val="TextBody"/>
        <w:bidi w:val="0"/>
        <w:spacing w:lineRule="auto" w:line="288" w:before="120" w:after="283"/>
        <w:jc w:val="both"/>
        <w:rPr/>
      </w:pPr>
      <w:r>
        <w:rPr>
          <w:rFonts w:ascii="Arial;sans-serif" w:hAnsi="Arial;sans-serif"/>
          <w:b w:val="false"/>
          <w:color w:val="000000"/>
          <w:sz w:val="20"/>
        </w:rPr>
        <w:t>Gross profit as a percentage of net revenues was approximately 43.5% in the year ended December 31, 2025 compared to 42.0% in the year ended December 31, 2024. The increase in gross profit as a percentage of net revenues in the year ended December 31, 2025 as compared to the year ended December 31, 2024 is primarily attributable to the mix of products sold, with the increase in gross profit attributable to our branded consumer products</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Our branded consumer businesses had gross profit as a percentage of net revenues </w:t>
      </w:r>
      <w:r>
        <w:rPr>
          <w:rFonts w:ascii="Arial;sans-serif" w:hAnsi="Arial;sans-serif"/>
          <w:b w:val="false"/>
          <w:color w:val="000000"/>
          <w:sz w:val="20"/>
          <w:shd w:fill="FFFFFF" w:val="clear"/>
        </w:rPr>
        <w:t xml:space="preserve">of </w:t>
      </w:r>
      <w:r>
        <w:rPr>
          <w:rFonts w:ascii="Arial;sans-serif" w:hAnsi="Arial;sans-serif"/>
          <w:b w:val="false"/>
          <w:color w:val="000000"/>
          <w:sz w:val="20"/>
        </w:rPr>
        <w:t>55.0%</w:t>
      </w:r>
      <w:r>
        <w:rPr>
          <w:color w:val="000000"/>
          <w:shd w:fill="FFFFFF" w:val="clear"/>
        </w:rPr>
        <w:t xml:space="preserve"> </w:t>
      </w:r>
      <w:r>
        <w:rPr>
          <w:rFonts w:ascii="Arial;sans-serif" w:hAnsi="Arial;sans-serif"/>
          <w:b w:val="false"/>
          <w:color w:val="000000"/>
          <w:sz w:val="20"/>
          <w:shd w:fill="FFFFFF" w:val="clear"/>
        </w:rPr>
        <w:t xml:space="preserve">in the 2025 as compared to </w:t>
      </w:r>
      <w:r>
        <w:rPr>
          <w:rFonts w:ascii="Arial;sans-serif" w:hAnsi="Arial;sans-serif"/>
          <w:b w:val="false"/>
          <w:color w:val="000000"/>
          <w:sz w:val="20"/>
        </w:rPr>
        <w:t>52.2%</w:t>
      </w:r>
      <w:r>
        <w:rPr>
          <w:color w:val="000000"/>
          <w:shd w:fill="FFFFFF" w:val="clear"/>
        </w:rPr>
        <w:t xml:space="preserve"> </w:t>
      </w:r>
      <w:r>
        <w:rPr>
          <w:rFonts w:ascii="Arial;sans-serif" w:hAnsi="Arial;sans-serif"/>
          <w:b w:val="false"/>
          <w:color w:val="000000"/>
          <w:sz w:val="20"/>
          <w:shd w:fill="FFFFFF" w:val="clear"/>
        </w:rPr>
        <w:t xml:space="preserve">in 2024, while our industrial businesses had gross profit as a percentage of net revenues of </w:t>
      </w:r>
      <w:r>
        <w:rPr>
          <w:rFonts w:ascii="Arial;sans-serif" w:hAnsi="Arial;sans-serif"/>
          <w:b w:val="false"/>
          <w:color w:val="000000"/>
          <w:sz w:val="20"/>
        </w:rPr>
        <w:t>26.5%</w:t>
      </w:r>
      <w:r>
        <w:rPr>
          <w:color w:val="000000"/>
          <w:shd w:fill="FFFFFF" w:val="clear"/>
        </w:rPr>
        <w:t xml:space="preserve"> </w:t>
      </w:r>
      <w:r>
        <w:rPr>
          <w:rFonts w:ascii="Arial;sans-serif" w:hAnsi="Arial;sans-serif"/>
          <w:b w:val="false"/>
          <w:color w:val="000000"/>
          <w:sz w:val="20"/>
          <w:shd w:fill="FFFFFF" w:val="clear"/>
        </w:rPr>
        <w:t xml:space="preserve">in 2025 as compared to </w:t>
      </w:r>
      <w:r>
        <w:rPr>
          <w:rFonts w:ascii="Arial;sans-serif" w:hAnsi="Arial;sans-serif"/>
          <w:b w:val="false"/>
          <w:color w:val="000000"/>
          <w:sz w:val="20"/>
        </w:rPr>
        <w:t>27.1%</w:t>
      </w:r>
      <w:r>
        <w:rPr>
          <w:color w:val="000000"/>
          <w:shd w:fill="FFFFFF" w:val="clear"/>
        </w:rPr>
        <w:t xml:space="preserve"> </w:t>
      </w:r>
      <w:r>
        <w:rPr>
          <w:rFonts w:ascii="Arial;sans-serif" w:hAnsi="Arial;sans-serif"/>
          <w:b w:val="false"/>
          <w:color w:val="000000"/>
          <w:sz w:val="20"/>
          <w:shd w:fill="FFFFFF" w:val="clear"/>
        </w:rPr>
        <w:t>in 2023. Refer to Part II, Item 7. "Management’s Discussion and Analysis of Financial Condition and Results of Operations" under the heading "Results of Operations - Our Businesses"</w:t>
      </w:r>
      <w:r>
        <w:rPr>
          <w:color w:val="000000"/>
        </w:rPr>
        <w:t xml:space="preserve"> </w:t>
      </w:r>
      <w:r>
        <w:rPr>
          <w:rFonts w:ascii="Arial;sans-serif" w:hAnsi="Arial;sans-serif"/>
          <w:b w:val="false"/>
          <w:color w:val="000000"/>
          <w:sz w:val="20"/>
        </w:rPr>
        <w:t>for a more detailed analysis of gross profit by business segment.</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 xml:space="preserve">Consolidated selling, general and administrative expense increased approximately $73.2 million during the year ended December 31, 2025, compared to the corresponding period in 2024, driven primarily by increases at Corporate ($60.0 million increase), 5.11 ($9.6 million increase) and Altor ($12.1 million increase) due to the acquisition of Lifoam in the prior year and related integration costs. The increase in selling, general and administrative expense was partially offset by a decrease in expense at Velocity after their disposition of the Crosman product line in the second quarter of 2024, and at </w:t>
      </w:r>
      <w:r>
        <w:rPr>
          <w:rFonts w:ascii="Arial;sans-serif" w:hAnsi="Arial;sans-serif"/>
          <w:b w:val="false"/>
          <w:color w:val="000000"/>
          <w:sz w:val="20"/>
          <w:shd w:fill="FFFFFF" w:val="clear"/>
        </w:rPr>
        <w:t>Arnold (</w:t>
      </w:r>
      <w:r>
        <w:rPr>
          <w:rFonts w:ascii="Arial;sans-serif" w:hAnsi="Arial;sans-serif"/>
          <w:b w:val="false"/>
          <w:color w:val="000000"/>
          <w:sz w:val="20"/>
        </w:rPr>
        <w:t xml:space="preserve">$6.4 million decrease) due to non-recurring costs incurred in the prior year associated with the move of two of their facilities in the United States. </w:t>
      </w:r>
      <w:r>
        <w:rPr>
          <w:rFonts w:ascii="Arial;sans-serif" w:hAnsi="Arial;sans-serif"/>
          <w:b w:val="false"/>
          <w:color w:val="000000"/>
          <w:sz w:val="20"/>
          <w:shd w:fill="FFFFFF" w:val="clear"/>
        </w:rPr>
        <w:t xml:space="preserve">Refer to "Results of Operations - Business Segments" for a more detailed analysis of selling, general and administrative </w:t>
      </w:r>
      <w:r>
        <w:rPr>
          <w:rFonts w:ascii="Arial;sans-serif" w:hAnsi="Arial;sans-serif"/>
          <w:b w:val="false"/>
          <w:color w:val="000000"/>
          <w:sz w:val="20"/>
        </w:rPr>
        <w:t xml:space="preserve">expense by subsidiary business segment.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At the corporate level, general and administrative expense was $79.7 million in 2025 and $19.7 million in 2024. The increase in corporate general and administrative expense in 2025 related to the ongoing costs of an investigation at our Lugano subsidiary. The Company incurred $60.8 million in the year ended December 31, 2025 related to the investigation at Lugano, which began in April 2025. The Company also saw increased legal and professional fees incurred during 2025, offset by decreases in salary and bonus expense. </w:t>
      </w:r>
    </w:p>
    <w:p>
      <w:pPr>
        <w:pStyle w:val="TextBody"/>
        <w:bidi w:val="0"/>
        <w:spacing w:lineRule="auto" w:line="288" w:before="18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Fees to Manager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Under the MSA, we pay CGM (i) a base management fee equal to (a) 2% of the Company’s adjusted net assets when the adjusted net assets are less than or equal to $3.5 billion (the “Initial Threshold Fee”), (b) the Initial Threshold Fee plus 1.25% of the amount of adjusted net assets exceeding $3.5 billion when the adjusted net assets are more than $3.5 billion but less than $10 billion, or (c) 1.5% of the adjusted net assets when the adjusted net assets are $10 billion or more, and (ii) an incentive management fee equal to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w:t>
      </w:r>
    </w:p>
    <w:p>
      <w:pPr>
        <w:pStyle w:val="TextBody"/>
        <w:bidi w:val="0"/>
        <w:spacing w:lineRule="auto" w:line="288" w:before="180" w:after="283"/>
        <w:jc w:val="both"/>
        <w:rPr/>
      </w:pPr>
      <w:r>
        <w:rPr>
          <w:rFonts w:ascii="Arial;sans-serif" w:hAnsi="Arial;sans-serif"/>
          <w:b w:val="false"/>
          <w:color w:val="000000"/>
          <w:sz w:val="20"/>
          <w:shd w:fill="FFFFFF" w:val="clear"/>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calculated the aggregate amount of excess management fees paid as of December 31, 2025 as $33.8 million and recorded an asset that reduced the management fee expense for the year ended December 31, 2025. F</w:t>
      </w:r>
      <w:r>
        <w:rPr>
          <w:rFonts w:ascii="Arial;sans-serif" w:hAnsi="Arial;sans-serif"/>
          <w:b w:val="false"/>
          <w:color w:val="000000"/>
          <w:sz w:val="20"/>
        </w:rPr>
        <w:t>or the year ended December 31, 2025, we incurred management fee expense of approximately $17.9 million as compared to $74.8 million in fees in the year ended December 31, 2024, with the reduction in the 2025 management fee expense reflecting the adjustment for excess management fees recorded.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Amortization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Amortization expense for the year ended December 31, 2025 decreased $1.7 million to $93.2 million as compared to the prior year, due to the reduction in expense associated with the sale of Crosman in the second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certain intangibles at Sterno that were fully amortized in 2024, partially offset by the amortization expense associated with the intangibles that were recognized in conjunction with the purchase price allocation for Lifoam, the add-on acquisition that Altor completed in the fourth quarter of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Impairment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a result of the preliminary findings of the Lugano Investigation, the Company determined that a triggering event had occurred in the second quarter of 2025 and tested the long-lived assets of Lugano for impairment. The impairment testing indicated that the fair value of the assets was less than the carrying value and the Company recorded impairment expense to write the long-lived assets down to fair value. The write down of the long-lived assets resulted in the Company recording impairment expense of $29.5 million related to property, plant and equipment and $1.9 million related to right-of-use assets in the quarter ended June 30, 2025. The right-of-use asset related to a retail salon in Toronto, Canada which had not yet opened. </w:t>
      </w:r>
    </w:p>
    <w:p>
      <w:pPr>
        <w:pStyle w:val="TextBody"/>
        <w:bidi w:val="0"/>
        <w:spacing w:lineRule="auto" w:line="288" w:before="120" w:after="283"/>
        <w:jc w:val="both"/>
        <w:rPr/>
      </w:pPr>
      <w:r>
        <w:rPr>
          <w:rFonts w:ascii="Arial;sans-serif" w:hAnsi="Arial;sans-serif"/>
          <w:b w:val="false"/>
          <w:color w:val="000000"/>
          <w:sz w:val="20"/>
        </w:rPr>
        <w:t xml:space="preserve">In connection with our annual goodwill impairment test in 2024, we tested the goodwill at the Velocity reporting unit quantitatively. </w:t>
      </w:r>
      <w:r>
        <w:rPr>
          <w:rFonts w:ascii="Arial;sans-serif" w:hAnsi="Arial;sans-serif"/>
          <w:b w:val="false"/>
          <w:color w:val="000000"/>
          <w:sz w:val="20"/>
          <w:shd w:fill="FFFFFF" w:val="clear"/>
        </w:rPr>
        <w:t xml:space="preserve">The impairment test resulted in Velocity recording impairment expense of </w:t>
      </w:r>
      <w:r>
        <w:rPr>
          <w:rFonts w:ascii="Arial;sans-serif" w:hAnsi="Arial;sans-serif"/>
          <w:b w:val="false"/>
          <w:color w:val="000000"/>
          <w:sz w:val="20"/>
        </w:rPr>
        <w:t>$8.2 million in the year ended December 31,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Interest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recorded interest expense totaling $175.3 million for the year ended December 31, 2025 compared to $122.8 million for the comparable period in 2024, an increase of $52.5 million. As consideration for entering into the Indenture Forbearance Agreement, the LLC agreed to pay to each holder of Notes such holder’s pro rata share of (a) an upfront fee, paid in kind by increasing the principal amount of the applicable series of Notes, equal to 1.75% of the aggregate principal amount of Notes outstanding, and (b) additional interest, paid in kind by increasing the principal amount of the applicable series of Notes, equal to the equivalent of a 5.00% per annum increase in the interest rate for the applicable series of Notes for the period between August 1, 2025 and October 24, 2025. The Company recorded $38.2 million in paid-in-kind interest expense in the third and fourth quarter of 2025 related to the upfront fee required by the Indenture Forbearance Agreement. The Company also incurred an increase in interest expense in the current year of $5.3 million as a result of the increase in the 2022 Term Loan that occurred in January 2025, and elevated interest rates as a result of the Forbearance Agreements and amendments related to the 2022 Credit Facility, offset by lower amounts outstanding on the 2022 Revolving Credit Facility in 2025 as compared to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interest expense also reflects an increase of $23.3 million in interest expense related to financing arrangements at our Lugano business incurred prior to the deconsolidation.</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Loss on debt modification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second quarter of 2025, the Company entered into a forbearance agreement which reduced the aggregate borrowing amount available for revolving commitments to $100 million from $600 million. As a result of the reduction in available revolving commitments, the Company recognized $2.8 million in loss on debt modification in the second quarter of 2025.</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Loss on Deconsolidation</w:t>
      </w:r>
    </w:p>
    <w:p>
      <w:pPr>
        <w:pStyle w:val="TextBody"/>
        <w:bidi w:val="0"/>
        <w:spacing w:lineRule="auto" w:line="288" w:before="120" w:after="283"/>
        <w:jc w:val="both"/>
        <w:rPr/>
      </w:pPr>
      <w:r>
        <w:rPr>
          <w:rFonts w:ascii="Arial;sans-serif" w:hAnsi="Arial;sans-serif"/>
          <w:b w:val="false"/>
          <w:color w:val="000000"/>
          <w:sz w:val="20"/>
          <w:shd w:fill="FFFFFF" w:val="clear"/>
        </w:rPr>
        <w:t>The Company recorded a Loss on deconsolidation of $111.9 million related to the deconsolidation of Lugano in the fourth quarter of 2025 as a result of the Lugano Bankruptcy. Refer to "</w:t>
      </w:r>
      <w:hyperlink w:anchor="i1c8fbf41abdb4a90b1f02abaa0b14bbd_2779">
        <w:r>
          <w:rPr>
            <w:rStyle w:val="InternetLink"/>
          </w:rPr>
          <w:t xml:space="preserve">Note – C </w:t>
        </w:r>
      </w:hyperlink>
      <w:hyperlink w:anchor="i1c8fbf41abdb4a90b1f02abaa0b14bbd_2779">
        <w:r>
          <w:rPr>
            <w:rStyle w:val="InternetLink"/>
          </w:rPr>
          <w:t>Deconsolidation</w:t>
        </w:r>
      </w:hyperlink>
      <w:r>
        <w:rPr>
          <w:rFonts w:ascii="Arial;sans-serif" w:hAnsi="Arial;sans-serif"/>
          <w:b w:val="false"/>
          <w:color w:val="000000"/>
          <w:sz w:val="20"/>
          <w:shd w:fill="FFFFFF" w:val="clear"/>
        </w:rPr>
        <w:t>" in the Consolidated Financial Statements for additional information.</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Provision for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had income tax benefit of $0.9 million during the year ended December 31, 2025 compared to income tax expense of $18.6 million in 2024, a decrease of $19.6 million. Our effective tax rate in the year ended December 31, 2025 was 0.3%, compared to an effective income tax rate of (6.0)% during the same period in 2024. Our tax rate is affected by recurring items, such as tax rates in foreign jurisdictions and the relative amounts of income we earn in those jurisdictions. It is also affected by discrete items that may occur in any given year but are not consistent from year to year. In addition to state income taxes, the items with the most significant impact on the difference between our statutory U.S. federal income tax rate of 21% and our effective income tax rate in 2025 was the limitations on the net operating loss carryforwards and the deconsolidation of Lugano, while in 2024 the most significant impact was the limitations on net operating loss carryforwards, utilization of tax credits at our subsidiaries, and the loss on the sale of Crosman in the second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 xml:space="preserve">Year ended December 31, 2024 as compared to the Year ended December 31, 2023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 xml:space="preserve">Net revenues </w:t>
      </w:r>
    </w:p>
    <w:p>
      <w:pPr>
        <w:pStyle w:val="TextBody"/>
        <w:bidi w:val="0"/>
        <w:spacing w:lineRule="auto" w:line="288" w:before="120" w:after="283"/>
        <w:jc w:val="both"/>
        <w:rPr/>
      </w:pPr>
      <w:r>
        <w:rPr>
          <w:rFonts w:ascii="Arial;sans-serif" w:hAnsi="Arial;sans-serif"/>
          <w:b w:val="false"/>
          <w:color w:val="000000"/>
          <w:sz w:val="20"/>
        </w:rPr>
        <w:t>Net revenues for the year ended December 31, 2024 increased by approximately $98.1 million or 5.8% compared to the corresponding period in 2023. During the year ended December 31, 2024, we saw notable increases in net revenue at BOA ($35.0 million increase), Lugano ($27.2 million increase), PrimaLoft ($7.2 million increase) and Arnold ($5.2 million increase), offset by decreases in net revenue at Velocity ($75.8 million decrease, primarily due to the sale of Crosman, Velocity's airgun division, in April 2024) and Sterno ($5.4 million decrease). The Honey Pot Co., which we acquired on January 31, 2024, contributed $104.6 million in net revenues in 2024 post-acquisition.</w:t>
      </w:r>
      <w:r>
        <w:rPr>
          <w:color w:val="000000"/>
          <w:shd w:fill="FFFFFF" w:val="clear"/>
        </w:rPr>
        <w:t xml:space="preserve"> </w:t>
      </w:r>
      <w:r>
        <w:rPr>
          <w:rFonts w:ascii="Arial;sans-serif" w:hAnsi="Arial;sans-serif"/>
          <w:b w:val="false"/>
          <w:color w:val="000000"/>
          <w:sz w:val="20"/>
          <w:shd w:fill="FFFFFF" w:val="clear"/>
        </w:rPr>
        <w:t>Refer to "Part II, Item 7. "Management’s Discussion and Analysis of Financial Condition and Results of Operations" under the heading "Results of Operations - Our Businesses" for a more detailed analysis of net revenue by operating segment.</w:t>
      </w:r>
    </w:p>
    <w:p>
      <w:pPr>
        <w:pStyle w:val="TextBody"/>
        <w:bidi w:val="0"/>
        <w:spacing w:lineRule="auto" w:line="288" w:before="180" w:after="283"/>
        <w:jc w:val="both"/>
        <w:rPr/>
      </w:pPr>
      <w:r>
        <w:rPr>
          <w:rFonts w:ascii="Arial;sans-serif" w:hAnsi="Arial;sans-serif"/>
          <w:b w:val="false"/>
          <w:color w:val="000000"/>
          <w:sz w:val="20"/>
          <w:shd w:fill="FFFFFF" w:val="clear"/>
        </w:rPr>
        <w:t xml:space="preserve">We do not generate any revenues apart from those generated by the businesses we own. We may generate interest income on the investment of available funds but expect such earnings to be minimal. Our investment in our </w:t>
      </w:r>
      <w:r>
        <w:rPr>
          <w:rFonts w:ascii="Arial;sans-serif" w:hAnsi="Arial;sans-serif"/>
          <w:b w:val="false"/>
          <w:color w:val="000000"/>
          <w:sz w:val="20"/>
        </w:rPr>
        <w:t>businesses is typically in the form of loans from the Company to such businesses, as well as equity interests in those businesses. Cash flows coming to the Trust and the Company are the result of interest payments on those loans, amortization of those loans and additional principal payments on those loans. However, on a consolidated basis these items will be eliminated.</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Cost of revenues</w:t>
      </w:r>
    </w:p>
    <w:p>
      <w:pPr>
        <w:pStyle w:val="TextBody"/>
        <w:bidi w:val="0"/>
        <w:spacing w:lineRule="auto" w:line="288" w:before="120" w:after="283"/>
        <w:jc w:val="both"/>
        <w:rPr/>
      </w:pPr>
      <w:r>
        <w:rPr>
          <w:rFonts w:ascii="Arial;sans-serif" w:hAnsi="Arial;sans-serif"/>
          <w:b w:val="false"/>
          <w:color w:val="000000"/>
          <w:sz w:val="20"/>
        </w:rPr>
        <w:t>On a consolidated basis, cost of revenues increased approximately $22.4 million during the year ended December 31, 2024, compared to the corresponding period in 2023, primarily as a result of the increase in net revenues at certain of our subsidiaries. We saw notable increases in cost of revenues at BOA ($8.8 million increase), Lugano ($6.2 million increase) and Arnold ($8.9 million increase) that correspond to the revenue increases noted above. We also saw a decrease in cost of revenues at Velocity ($57.0 million decrease) and Sterno ($12.1 million decrease) that corresponded to the decrease in revenue noted above. The Honey Pot Co. had cost of revenues of $53.3 million in 2024 post-acquisition. Gross profit as a percentage of net revenues was approximately 42.0% in the year ended December 31, 2024 compared to 39.9% in the year ended December 31, 2023. The increase in gross profit as a percentage of net revenues in the year ended December 31, 2024 as compared to the year ended December 31, 2023 is primarily attributable to the mix of products sold, with increases in net revenue at our higher margin businesses</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Our branded consumer businesses had gross profit as a percentage of net revenues </w:t>
      </w:r>
      <w:r>
        <w:rPr>
          <w:rFonts w:ascii="Arial;sans-serif" w:hAnsi="Arial;sans-serif"/>
          <w:b w:val="false"/>
          <w:color w:val="000000"/>
          <w:sz w:val="20"/>
          <w:shd w:fill="FFFFFF" w:val="clear"/>
        </w:rPr>
        <w:t xml:space="preserve">of </w:t>
      </w:r>
      <w:r>
        <w:rPr>
          <w:rFonts w:ascii="Arial;sans-serif" w:hAnsi="Arial;sans-serif"/>
          <w:b w:val="false"/>
          <w:color w:val="000000"/>
          <w:sz w:val="20"/>
        </w:rPr>
        <w:t>52.2%</w:t>
      </w:r>
      <w:r>
        <w:rPr>
          <w:color w:val="000000"/>
          <w:shd w:fill="FFFFFF" w:val="clear"/>
        </w:rPr>
        <w:t xml:space="preserve"> </w:t>
      </w:r>
      <w:r>
        <w:rPr>
          <w:rFonts w:ascii="Arial;sans-serif" w:hAnsi="Arial;sans-serif"/>
          <w:b w:val="false"/>
          <w:color w:val="000000"/>
          <w:sz w:val="20"/>
          <w:shd w:fill="FFFFFF" w:val="clear"/>
        </w:rPr>
        <w:t xml:space="preserve">in the 2024 as compared to </w:t>
      </w:r>
      <w:r>
        <w:rPr>
          <w:rFonts w:ascii="Arial;sans-serif" w:hAnsi="Arial;sans-serif"/>
          <w:b w:val="false"/>
          <w:color w:val="000000"/>
          <w:sz w:val="20"/>
        </w:rPr>
        <w:t>49.2%</w:t>
      </w:r>
      <w:r>
        <w:rPr>
          <w:color w:val="000000"/>
          <w:shd w:fill="FFFFFF" w:val="clear"/>
        </w:rPr>
        <w:t xml:space="preserve"> </w:t>
      </w:r>
      <w:r>
        <w:rPr>
          <w:rFonts w:ascii="Arial;sans-serif" w:hAnsi="Arial;sans-serif"/>
          <w:b w:val="false"/>
          <w:color w:val="000000"/>
          <w:sz w:val="20"/>
          <w:shd w:fill="FFFFFF" w:val="clear"/>
        </w:rPr>
        <w:t>in 2023, while our industrial businesses had gross profit as a percentage of net revenues of 27.1% in 2024 as compared to 27.7% in 2023. Refer to Part II, Item 7. "Management’s Discussion and Analysis of Financial Condition and Results of Operations" under the heading "Results of Operations - Our Businesses"</w:t>
      </w:r>
      <w:r>
        <w:rPr>
          <w:color w:val="000000"/>
        </w:rPr>
        <w:t xml:space="preserve"> </w:t>
      </w:r>
      <w:r>
        <w:rPr>
          <w:rFonts w:ascii="Arial;sans-serif" w:hAnsi="Arial;sans-serif"/>
          <w:b w:val="false"/>
          <w:color w:val="000000"/>
          <w:sz w:val="20"/>
        </w:rPr>
        <w:t>for a more detailed analysis of gross profit by business segment.</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Consolidated selling, general and administrative expense increased approximately $85.5 million during the year ended December 31, 2024, compared to the corresponding period in 2023. We saw increases in selling, general and administrative expenses at several of our consumer brands due to increased investment in marketing and headcount, and increases in employee compensation, particularly Lugano ($29.6 million of the increase</w:t>
      </w:r>
      <w:r>
        <w:rPr>
          <w:rFonts w:ascii="Arial;sans-serif" w:hAnsi="Arial;sans-serif"/>
          <w:b w:val="false"/>
          <w:color w:val="000000"/>
          <w:sz w:val="20"/>
          <w:shd w:fill="FFFFFF" w:val="clear"/>
        </w:rPr>
        <w:t>) with spending associated with the opening of new salons in the latter part of 2023 and 2024. The Honey Pot Co. had selling, general and administrative expense of $37.7 million in the 2024 post-acquisition period, of which $3.5 million was transaction costs and $2.6 million was integration service fees associated with the acquisition. Our Arnold operating segment also saw a notable increase in selling, general and administrative costs in 2024 (</w:t>
      </w:r>
      <w:r>
        <w:rPr>
          <w:rFonts w:ascii="Arial;sans-serif" w:hAnsi="Arial;sans-serif"/>
          <w:b w:val="false"/>
          <w:color w:val="000000"/>
          <w:sz w:val="20"/>
        </w:rPr>
        <w:t xml:space="preserve">$10.3 million increase) as compared to the prior year due to non-recurring costs incurred associated with the move of two of their facilities in the United States. </w:t>
      </w:r>
      <w:r>
        <w:rPr>
          <w:rFonts w:ascii="Arial;sans-serif" w:hAnsi="Arial;sans-serif"/>
          <w:b w:val="false"/>
          <w:color w:val="000000"/>
          <w:sz w:val="20"/>
          <w:shd w:fill="FFFFFF" w:val="clear"/>
        </w:rPr>
        <w:t xml:space="preserve">Refer to "Results of Operations - Business Segments" for a more detailed analysis of selling, general and administrative </w:t>
      </w:r>
      <w:r>
        <w:rPr>
          <w:rFonts w:ascii="Arial;sans-serif" w:hAnsi="Arial;sans-serif"/>
          <w:b w:val="false"/>
          <w:color w:val="000000"/>
          <w:sz w:val="20"/>
        </w:rPr>
        <w:t>expense by subsidiary business segment. At the corporate level, general and administrative expense was $19.7 million in 2024 and $18.2 million in 2023, an increase of $1.5 million. The increase in corporate general and administrative expense in 2024 related to severance paid to our former chief financial officer, who departed during the third quarter, and professional fees associated with the recruitment of our new chief financial officer.</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Fees to Manager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During the year ended December 31, 2024 and 2023, we paid CGM a quarterly management fee equal to 0.5% (2.0% annually) of our consolidated adjusted net assets. We accrue for the management fee on a quarterly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 xml:space="preserve">For the year ended December 31, 2024, we incurred approximately $74.8 million in management fees as compared to $67.9 million in fees in the year ended December 31, 2023. The increase in management fees is primarily attributable to our acquisition of The Honey Pot Co. in 2024, and increases in net asset balances at certain of our businesses in 2024. </w:t>
      </w:r>
      <w:r>
        <w:rPr>
          <w:rFonts w:ascii="Arial;sans-serif" w:hAnsi="Arial;sans-serif"/>
          <w:b w:val="false"/>
          <w:color w:val="000000"/>
          <w:sz w:val="20"/>
          <w:shd w:fill="FFFFFF" w:val="clear"/>
        </w:rPr>
        <w:t>CGM entered into a waiver of the MSA for a period through June 30, 2023 to receive a 1% annual management fee related to PrimaLoft, rather than the 2% called for under the MSA, which resulted in a lower management fee paid in the second half of 2022 and the first half of 2023 than would have normally been due. Additionally, CGM had entered into a waiver of the MSA at December 31, 2023 to exclude the cash balances held at the LLC from the calculation of the management fee.</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Amortization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Amortization expense for the year ended December 31, 2024 increased $11.2 million to $94.8 million as compared to the prior year, primarily as a result of the amortization expense associated with the intangibles that were recognized in conjunction with the purchase price allocation for The Honey Pot Co., which was acquired in January 2024, partially offset by the reduction in amortization expense at Velocity related to the intangible assets that were included in the sale of Crosman.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Impairment expense</w:t>
      </w:r>
    </w:p>
    <w:p>
      <w:pPr>
        <w:pStyle w:val="TextBody"/>
        <w:bidi w:val="0"/>
        <w:spacing w:lineRule="auto" w:line="288" w:before="120" w:after="283"/>
        <w:jc w:val="both"/>
        <w:rPr/>
      </w:pPr>
      <w:r>
        <w:rPr>
          <w:rFonts w:ascii="Arial;sans-serif" w:hAnsi="Arial;sans-serif"/>
          <w:b w:val="false"/>
          <w:color w:val="000000"/>
          <w:sz w:val="20"/>
        </w:rPr>
        <w:t xml:space="preserve">In connection with our annual goodwill impairment test in 2024, we tested the goodwill at the Velocity reporting unit quantitatively. </w:t>
      </w:r>
      <w:r>
        <w:rPr>
          <w:rFonts w:ascii="Arial;sans-serif" w:hAnsi="Arial;sans-serif"/>
          <w:b w:val="false"/>
          <w:color w:val="000000"/>
          <w:sz w:val="20"/>
          <w:shd w:fill="FFFFFF" w:val="clear"/>
        </w:rPr>
        <w:t>The impairment test resulted in Velocity recording impairment expense of $8.2 million in the year ended December 31, 2024.</w:t>
      </w:r>
    </w:p>
    <w:p>
      <w:pPr>
        <w:pStyle w:val="TextBody"/>
        <w:bidi w:val="0"/>
        <w:spacing w:lineRule="auto" w:line="288" w:before="180" w:after="283"/>
        <w:jc w:val="both"/>
        <w:rPr/>
      </w:pPr>
      <w:r>
        <w:rPr>
          <w:rFonts w:ascii="Arial;sans-serif" w:hAnsi="Arial;sans-serif"/>
          <w:b w:val="false"/>
          <w:color w:val="000000"/>
          <w:sz w:val="20"/>
        </w:rPr>
        <w:t>PrimaLoft performed an interim impairment test of their goodwill during the period ended December 31, 2023 as a result o</w:t>
      </w:r>
      <w:r>
        <w:rPr>
          <w:rFonts w:ascii="Arial;sans-serif" w:hAnsi="Arial;sans-serif"/>
          <w:b w:val="false"/>
          <w:color w:val="000000"/>
          <w:sz w:val="20"/>
          <w:shd w:fill="FFFFFF" w:val="clear"/>
        </w:rPr>
        <w:t>f operating results that were below forecast amounts that were used as the basis for the purchase price allocation at acquisition. Th</w:t>
      </w:r>
      <w:r>
        <w:rPr>
          <w:rFonts w:ascii="Arial;sans-serif" w:hAnsi="Arial;sans-serif"/>
          <w:b w:val="false"/>
          <w:color w:val="000000"/>
          <w:sz w:val="20"/>
        </w:rPr>
        <w:t>e impairment test resulted in PrimaLoft recording impairment ex</w:t>
      </w:r>
      <w:r>
        <w:rPr>
          <w:rFonts w:ascii="Arial;sans-serif" w:hAnsi="Arial;sans-serif"/>
          <w:b w:val="false"/>
          <w:color w:val="000000"/>
          <w:sz w:val="20"/>
          <w:shd w:fill="FFFFFF" w:val="clear"/>
        </w:rPr>
        <w:t xml:space="preserve">pense of $57.8 million.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Velocity performed an interim impairment test of their goodwill during the third quarter of 2023 as a result of operating results that were below the forecast that we used in the quantitative annual impairment test of Velocity at March 31, 2023. The impairment test resulted in Velocity recording $31.6 million impairment expense in the year ended December 31, 2023.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Lugano performed an interim impairment test of their long-lived assets at December 31, 2023 that resulted in a $1.2 million impairment charge related to the customer relationship intangible.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Interest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recorded interest expense totaling $122.8 million for the year ended December 31, 2024 compared to $109.9 million for the comparable period in 2023, an increase of $12.9 million. The increase in interest expense in 2024 reflects higher average amounts outstanding on our revolving credit facility in 2024, and an increase of $11.4 million in interest expense related to financing arrangements at our Lugano business.</w:t>
      </w:r>
    </w:p>
    <w:p>
      <w:pPr>
        <w:pStyle w:val="TextBody"/>
        <w:bidi w:val="0"/>
        <w:spacing w:lineRule="auto" w:line="288" w:before="120" w:after="283"/>
        <w:jc w:val="both"/>
        <w:rPr>
          <w:rFonts w:ascii="Arial;sans-serif" w:hAnsi="Arial;sans-serif"/>
          <w:b w:val="false"/>
          <w:i/>
          <w:color w:val="000000"/>
          <w:sz w:val="20"/>
          <w:u w:val="single"/>
        </w:rPr>
      </w:pPr>
      <w:r>
        <w:rPr>
          <w:rFonts w:ascii="Arial;sans-serif" w:hAnsi="Arial;sans-serif"/>
          <w:b w:val="false"/>
          <w:i/>
          <w:color w:val="000000"/>
          <w:sz w:val="20"/>
          <w:u w:val="single"/>
        </w:rPr>
        <w:t>Loss on Sale of Crosman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April 30, 2024, Velocity Outdoor sold Crosman, its airgun product division. Velocity recorded a loss on the sale of Crosman $24.2 million in the year ended December 31, 2024.</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Provision for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had income tax expense of $18.6 million during the year ended December 31, 2024 compared to income tax expense of $8.2 million in 2023, an increase of $10.4 million in 2024 as compared to 2023. Our effective tax rate in the year ended December 31, 2024 was (6.0)%, compared to an effective income tax rate of (3.1)% during the same period in 2023. Our tax rate is affected by recurring items, such as tax rates in foreign jurisdictions and the relative amounts of income we earn in those jurisdictions. It is also affected by discrete items that may occur in any given year but are not consistent from year to year. In addition to state income taxes, the items with the most significant impact on the difference between our statutory U.S. federal income tax rate of 21% and our effective income tax rate in 2024 was the limitations on the net operating loss carryforwards and utilization of tax credits at our subsidiaries, and the loss on the sale of Crosman in the second quarter of 2024.</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 — Our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categorize the businesses we own into two separate groups of businesses (i) branded consumer businesses, and (ii) industrial businesses. Branded consumer businesses are characterized as those businesses that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capitalize on a valuable brand name in their respective market sector. We believe that our branded consumer businesses have leading positions in their particular category. Industrial businesses are characterized as those businesses that focus on manufacturing and selling particular products or services within a specific market sector. We believe that our industrial businesses have leading positions in their specific market sector. We previously announced our desire to acquire businesses in the healthcare sector, with a focus on outsourced pharma, medical manufacturing services and provider services. We have not yet acquired a business in the healthcare sector.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Branded Consumer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5.11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5.11 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Results of Operations</w:t>
      </w:r>
    </w:p>
    <w:tbl>
      <w:tblPr>
        <w:tblW w:w="10205" w:type="dxa"/>
        <w:jc w:val="center"/>
        <w:tblInd w:w="0" w:type="dxa"/>
        <w:tblLayout w:type="fixed"/>
        <w:tblCellMar>
          <w:top w:w="28" w:type="dxa"/>
          <w:left w:w="28" w:type="dxa"/>
          <w:bottom w:w="28" w:type="dxa"/>
          <w:right w:w="28" w:type="dxa"/>
        </w:tblCellMar>
      </w:tblPr>
      <w:tblGrid>
        <w:gridCol w:w="1113"/>
        <w:gridCol w:w="979"/>
        <w:gridCol w:w="986"/>
        <w:gridCol w:w="109"/>
        <w:gridCol w:w="109"/>
        <w:gridCol w:w="109"/>
        <w:gridCol w:w="211"/>
        <w:gridCol w:w="826"/>
        <w:gridCol w:w="109"/>
        <w:gridCol w:w="308"/>
        <w:gridCol w:w="308"/>
        <w:gridCol w:w="271"/>
        <w:gridCol w:w="109"/>
        <w:gridCol w:w="109"/>
        <w:gridCol w:w="109"/>
        <w:gridCol w:w="211"/>
        <w:gridCol w:w="826"/>
        <w:gridCol w:w="109"/>
        <w:gridCol w:w="308"/>
        <w:gridCol w:w="308"/>
        <w:gridCol w:w="271"/>
        <w:gridCol w:w="109"/>
        <w:gridCol w:w="109"/>
        <w:gridCol w:w="109"/>
        <w:gridCol w:w="211"/>
        <w:gridCol w:w="826"/>
        <w:gridCol w:w="109"/>
        <w:gridCol w:w="308"/>
        <w:gridCol w:w="308"/>
        <w:gridCol w:w="318"/>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Segment 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shd w:fill="FFFFFF" w:val="clear"/>
        </w:rPr>
        <w:t xml:space="preserve">Net sales for the year ended December 31, 2025 were $551.8 million, an increase of $19.7 million, or 3.7%, compared to the same period in 2024. </w:t>
      </w:r>
      <w:r>
        <w:rPr>
          <w:rFonts w:ascii="Arial;sans-serif" w:hAnsi="Arial;sans-serif"/>
          <w:b w:val="false"/>
          <w:color w:val="000000"/>
          <w:sz w:val="20"/>
        </w:rPr>
        <w:t>The increase was driven primarily by a $19.5 million increase in domestic wholesale sales, reflecting strong demand and the fulfillment of large contracts; a $2.1 million increase in direct-to-consumer sales, resulting from higher full-price sales of new products; and a $2.8 million increase in international sales, supported by continued demand across key markets. These increases were partially offset by a $3.4 million decline in direct-to-agency sales, which are typically non-recurring.</w:t>
      </w:r>
    </w:p>
    <w:p>
      <w:pPr>
        <w:pStyle w:val="TextBody"/>
        <w:bidi w:val="0"/>
        <w:spacing w:lineRule="auto" w:line="288" w:before="180" w:after="120"/>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Gross profit as a percentage of net sales was 53.5% in the year ended December 31, 2025 as compared to 51.3% in the year ended December 31, 2024. Gross profit as a percentage of net sales was unfavorably impacted in the prior year by a non-recurring increase in specific inventory reserves for finished goods that include PFAS.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Selling, general and administrative expenses for the year ended December 31, 2025 increased to $234.2 million or 42.4% of net sales compared to $224.7 million or 42.2% of net sales for the year ended December 31, 2024. The increase in selling, general and administrative expense was primarily driven by non-recurring payroll costs associated with restructuring, higher performance-based bonuses, and increased marketing investments to support sales growth.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Segment operating income for the year ended December 31, 2025 was $51.4 million, an increase of $12.6 million when compared to the same period in 2024, based on the factors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i/>
          <w:color w:val="000000"/>
          <w:sz w:val="20"/>
        </w:rPr>
      </w:pPr>
      <w:r>
        <w:rPr>
          <w:rFonts w:ascii="Arial;sans-serif" w:hAnsi="Arial;sans-serif"/>
          <w:b/>
          <w:i/>
          <w:color w:val="000000"/>
          <w:sz w:val="20"/>
        </w:rPr>
        <w:t>Year ended December 31, 2024 compared to the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year ended December 31, 2024 were $532.2 million, a decrease of $0.9 million, or 0.2%, compared to the same period in 2023. This decrease was driven by a $10.4 million decrease in direct-to-consumer sales due to less promotional sales and lower off-price selling, as well as a $0.5 million decrease in domestic wholesale sales due to inventory availability. These increases were offset by a $9.0 million increase in international sales from strong demand and a $1.5 million increase in direct-to-agency sales due to the fulfillment of large contracts.</w:t>
      </w:r>
    </w:p>
    <w:p>
      <w:pPr>
        <w:pStyle w:val="TextBody"/>
        <w:bidi w:val="0"/>
        <w:spacing w:lineRule="auto" w:line="288" w:before="180" w:after="120"/>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Gross profit as a percentage of net sales was 51.3% in the year ended December 31, 2024 as compared to 52.0% in the year ended December 31, 2023. Gross profit as a percentage of net sales was unfavorably impacted by a non-recurring increase in specific inventory reserves for finished goods that include PFAS, which was offset slightly by favorability due to less promotional sales and lower off price selling in the current year versus the prior year.</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Selling, general and administrative expenses for the year ended December 31, 2024 increased to $224.7 million or 42.2% of net sales compared to $220.9 million or 41.4% of net sales for the year ended December 31, 2023. The increase in selling, general and administrative expense was due to an increase in payroll costs associated with retail stores, as well as an increase in sales, marketing, travel, bad debt, stock compensation expense and other expenses. These increases were partially offset by decreases in bonus related expenses.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Segment operating income for the year ended December 31, 2024 was $38.8 million, a decrease of $7.9 million when compared to the same period in 2023, based on the factors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i/>
          <w:color w:val="000000"/>
          <w:sz w:val="20"/>
        </w:rPr>
        <w:t>BOA</w:t>
      </w:r>
      <w:r>
        <w:rPr>
          <w:color w:val="000000"/>
        </w:rPr>
        <w:t xml:space="preserv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pPr>
      <w:r>
        <w:rPr>
          <w:rFonts w:ascii="Arial;sans-serif" w:hAnsi="Arial;sans-serif"/>
          <w:b w:val="false"/>
          <w:color w:val="000000"/>
          <w:sz w:val="20"/>
        </w:rPr>
        <w:t xml:space="preserve">BOA, </w:t>
      </w:r>
      <w:r>
        <w:rPr>
          <w:rFonts w:ascii="Arial;sans-serif" w:hAnsi="Arial;sans-serif"/>
          <w:b w:val="false"/>
          <w:color w:val="000000"/>
          <w:sz w:val="20"/>
          <w:shd w:fill="FFFFFF" w:val="clear"/>
        </w:rPr>
        <w:t xml:space="preserve">creator </w:t>
      </w:r>
      <w:r>
        <w:rPr>
          <w:rFonts w:ascii="Arial;sans-serif" w:hAnsi="Arial;sans-serif"/>
          <w:b w:val="false"/>
          <w:color w:val="000000"/>
          <w:sz w:val="20"/>
        </w:rPr>
        <w:t xml:space="preserve">of the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759"/>
        <w:gridCol w:w="667"/>
        <w:gridCol w:w="672"/>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7"/>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0"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Net sales for the year ended December 31, 2025 were $190.5 million, a decrease of $0.3 million or 0.2% when compared to net sales of $190.8 million for the year ended December 31, 2024</w:t>
      </w:r>
      <w:r>
        <w:rPr>
          <w:rFonts w:ascii="Arial;sans-serif" w:hAnsi="Arial;sans-serif"/>
          <w:b w:val="false"/>
          <w:color w:val="000000"/>
          <w:sz w:val="20"/>
          <w:shd w:fill="FFFFFF" w:val="clear"/>
        </w:rPr>
        <w:t xml:space="preserve">. BOA adult premium performance sales increased across key industries including Workwear, Cycling, Snow Sports, Outdoor, Helmets, and Performance Bracing, primarily as a result of market share gains, offset by reduced kids-based business in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pPr>
      <w:r>
        <w:rPr>
          <w:rFonts w:ascii="Arial;sans-serif" w:hAnsi="Arial;sans-serif"/>
          <w:b w:val="false"/>
          <w:color w:val="000000"/>
          <w:sz w:val="20"/>
        </w:rPr>
        <w:t xml:space="preserve">Gross profit was $122.4 million for the year ended December 31, 2025 as compared to $119.2 million for the year ended December 31, 2024. Gross profit as a percentage of net sales was 64.2% for the year ended December 31, 2025 compared to 62.5% for the same period in 2024. The increase in gross profit as a percentage of net sales was </w:t>
      </w:r>
      <w:r>
        <w:rPr>
          <w:rFonts w:ascii="Arial;sans-serif" w:hAnsi="Arial;sans-serif"/>
          <w:b w:val="false"/>
          <w:color w:val="000000"/>
          <w:sz w:val="20"/>
          <w:shd w:fill="FFFFFF" w:val="clear"/>
        </w:rPr>
        <w:t xml:space="preserve">driven by manufacturing efficiencies and product mix .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Selling, general and administrative expense for both the year ended December 31, 2025 and December 31, 2024 was $55.3 million, or 29.0% of net sales.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income was $50.0 million for the year ended December 31, 2025 as compared to $47.2 million in segment operating income in the year ended December 31, 2024, an increase of $2.9 million based on the factors noted above.</w:t>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2024 compared to the Year ended December 31, 2023</w:t>
      </w:r>
    </w:p>
    <w:p>
      <w:pPr>
        <w:pStyle w:val="TextBody"/>
        <w:bidi w:val="0"/>
        <w:spacing w:lineRule="auto" w:line="288" w:before="240" w:after="283"/>
        <w:jc w:val="left"/>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Net sales for the year ended December 31, 2024 were $190.8 million, an increase of $35.0 million or 22.5% when compared to net sales of $155.8 million for the year ended December 31, 2023</w:t>
      </w:r>
      <w:r>
        <w:rPr>
          <w:rFonts w:ascii="Arial;sans-serif" w:hAnsi="Arial;sans-serif"/>
          <w:b w:val="false"/>
          <w:color w:val="000000"/>
          <w:sz w:val="20"/>
          <w:shd w:fill="FFFFFF" w:val="clear"/>
        </w:rPr>
        <w:t xml:space="preserve">. </w:t>
      </w:r>
      <w:r>
        <w:rPr>
          <w:rFonts w:ascii="Arial;sans-serif" w:hAnsi="Arial;sans-serif"/>
          <w:b w:val="false"/>
          <w:color w:val="000000"/>
          <w:sz w:val="20"/>
        </w:rPr>
        <w:t>The increase was reflected across key industries including Cycling, Athletic, Workwear, Outdoor and Snow Sports. The increase in sales was a result of the improvement of end market inventory levels, coupled with market share gains in many of our key industries.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pPr>
      <w:r>
        <w:rPr>
          <w:rFonts w:ascii="Arial;sans-serif" w:hAnsi="Arial;sans-serif"/>
          <w:b w:val="false"/>
          <w:color w:val="000000"/>
          <w:sz w:val="20"/>
        </w:rPr>
        <w:t>Gross profit was $119.2 million for the year ended December 31, 2024 as compared to $93.0 million</w:t>
      </w:r>
      <w:r>
        <w:rPr>
          <w:color w:val="000000"/>
        </w:rPr>
        <w:t xml:space="preserve"> </w:t>
      </w:r>
      <w:r>
        <w:rPr>
          <w:rFonts w:ascii="Arial;sans-serif" w:hAnsi="Arial;sans-serif"/>
          <w:b w:val="false"/>
          <w:color w:val="000000"/>
          <w:sz w:val="20"/>
        </w:rPr>
        <w:t xml:space="preserve">for the year ended December 31, 2023. Gross profit as a percentage of net sales was 62.5% for the year ended December 31, 2024 compared to 59.7% for the same period in 2023. The increase in gross profit as a percentage of net sales was driven by manufacturing overhead leverage as well as product mix.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Selling, general and administrative expense for the year ended December 31, 2024 was $55.3 million, or 29.0% of net sales, compared to $49.0 million, or 31.5% of net sales for the year ended December 31, 2023. The increase in selling, general and administrative expense of $6.3 million in the current year was primarily due to increased employee costs related to BOA’s bonus plan as well as strategic investments in talent across the organization.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income was $47.2 million for the year ended December 31, 2024 as compared to $27.3 million in segment operating income in the year ended December 31, 2023, an increase of $19.9 million based on the factors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PrimaLoft</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Overview</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PrimaLoft Technologies 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9"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Results of Operations</w:t>
      </w:r>
    </w:p>
    <w:tbl>
      <w:tblPr>
        <w:tblW w:w="10205" w:type="dxa"/>
        <w:jc w:val="center"/>
        <w:tblInd w:w="0" w:type="dxa"/>
        <w:tblLayout w:type="fixed"/>
        <w:tblCellMar>
          <w:top w:w="28" w:type="dxa"/>
          <w:left w:w="28" w:type="dxa"/>
          <w:bottom w:w="28" w:type="dxa"/>
          <w:right w:w="28" w:type="dxa"/>
        </w:tblCellMar>
      </w:tblPr>
      <w:tblGrid>
        <w:gridCol w:w="857"/>
        <w:gridCol w:w="754"/>
        <w:gridCol w:w="759"/>
        <w:gridCol w:w="109"/>
        <w:gridCol w:w="109"/>
        <w:gridCol w:w="109"/>
        <w:gridCol w:w="211"/>
        <w:gridCol w:w="721"/>
        <w:gridCol w:w="109"/>
        <w:gridCol w:w="109"/>
        <w:gridCol w:w="109"/>
        <w:gridCol w:w="109"/>
        <w:gridCol w:w="308"/>
        <w:gridCol w:w="308"/>
        <w:gridCol w:w="271"/>
        <w:gridCol w:w="109"/>
        <w:gridCol w:w="109"/>
        <w:gridCol w:w="109"/>
        <w:gridCol w:w="211"/>
        <w:gridCol w:w="721"/>
        <w:gridCol w:w="109"/>
        <w:gridCol w:w="109"/>
        <w:gridCol w:w="109"/>
        <w:gridCol w:w="109"/>
        <w:gridCol w:w="308"/>
        <w:gridCol w:w="308"/>
        <w:gridCol w:w="271"/>
        <w:gridCol w:w="109"/>
        <w:gridCol w:w="109"/>
        <w:gridCol w:w="109"/>
        <w:gridCol w:w="211"/>
        <w:gridCol w:w="763"/>
        <w:gridCol w:w="109"/>
        <w:gridCol w:w="109"/>
        <w:gridCol w:w="109"/>
        <w:gridCol w:w="109"/>
        <w:gridCol w:w="308"/>
        <w:gridCol w:w="308"/>
        <w:gridCol w:w="318"/>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8"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 xml:space="preserve">Net sales for the year ended December 31, 2025 were $76.5 million, an increase of $2.3 million as compared to net sales of $74.2 million for the year ended December 31, 2024. The increase in net sales during the year ended </w:t>
      </w:r>
      <w:r>
        <w:rPr>
          <w:rFonts w:ascii="Arial;sans-serif" w:hAnsi="Arial;sans-serif"/>
          <w:b w:val="false"/>
          <w:color w:val="000000"/>
          <w:sz w:val="20"/>
          <w:shd w:fill="FFFFFF" w:val="clear"/>
        </w:rPr>
        <w:t xml:space="preserve">December 31, 2025 </w:t>
      </w:r>
      <w:r>
        <w:rPr>
          <w:rFonts w:ascii="Arial;sans-serif" w:hAnsi="Arial;sans-serif"/>
          <w:b w:val="false"/>
          <w:color w:val="000000"/>
          <w:sz w:val="20"/>
        </w:rPr>
        <w:t>is attributabl</w:t>
      </w:r>
      <w:r>
        <w:rPr>
          <w:rFonts w:ascii="Arial;sans-serif" w:hAnsi="Arial;sans-serif"/>
          <w:b w:val="false"/>
          <w:color w:val="000000"/>
          <w:sz w:val="20"/>
          <w:shd w:fill="FFFFFF" w:val="clear"/>
        </w:rPr>
        <w:t>e</w:t>
      </w:r>
      <w:r>
        <w:rPr>
          <w:color w:val="000000"/>
        </w:rPr>
        <w:t xml:space="preserve"> </w:t>
      </w:r>
      <w:r>
        <w:rPr>
          <w:rFonts w:ascii="Arial;sans-serif" w:hAnsi="Arial;sans-serif"/>
          <w:b w:val="false"/>
          <w:color w:val="000000"/>
          <w:sz w:val="20"/>
        </w:rPr>
        <w:t xml:space="preserve">to </w:t>
      </w:r>
      <w:r>
        <w:rPr>
          <w:rFonts w:ascii="Arial;sans-serif" w:hAnsi="Arial;sans-serif"/>
          <w:b w:val="false"/>
          <w:color w:val="000000"/>
          <w:sz w:val="20"/>
          <w:shd w:fill="FFFFFF" w:val="clear"/>
        </w:rPr>
        <w:t xml:space="preserve">new programs with European and Asia brand partners resulting in an increase in sales in the current year as compared to the year ended </w:t>
      </w:r>
      <w:r>
        <w:rPr>
          <w:rFonts w:ascii="Arial;sans-serif" w:hAnsi="Arial;sans-serif"/>
          <w:b w:val="false"/>
          <w:color w:val="000000"/>
          <w:sz w:val="20"/>
        </w:rPr>
        <w:t>December 31, 2024</w:t>
      </w:r>
      <w:r>
        <w:rPr>
          <w:rFonts w:ascii="Arial;sans-serif" w:hAnsi="Arial;sans-serif"/>
          <w:b w:val="false"/>
          <w:color w:val="000000"/>
          <w:sz w:val="20"/>
          <w:shd w:fill="FFFFFF" w:val="clear"/>
        </w:rPr>
        <w:t>, offset by a pullback in orders from PrimaLoft's brand partners as they remain cautious due to the economic uncertainties from the evolving tariff policy in the United States.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Gross profit for the year ended December 31, 2025 increased $2.3 million as compared to the year ended December 31, 2024, primarily due to the increase in net sales noted above. Gross profit as a percentage of net sales for the year ended December 31, 2025 was 63.8% as compared to 62.7% for the year ended December 31, 2024. The increase in gross profit as a percentage of net sales net sales was due to a decrease in sales of lower margin products in 2025 compared to the prior year and a reduction in manufacturing costs that was negotiated with third party contractors earlier in the year.</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 for the year ended December 31, 2025 was $23.1 million, or 30.2% of net sales compared to $20.7 million, or 27.9% of net sales for the year ended December 31, 2024. Selling, general and administrative expense increased as a percentage of net sales due to added headcount in 2025, an increase in marketing expenses and a one-time charge of $1.7 million to restructure contract agreements with a key third party supplier. This was offset by a reduction in severance payments and board of director fees of $0.9 million in 2025.</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income for the year ended December 31, 2025 was $3.9 million compared to segment operating of $4.0 million for the same period in 2024.</w:t>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2024 compared to the Pro forma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 xml:space="preserve">Net sales for the year ended December 31, 2024 were $74.2 million, an increase of $7.2 million as compared to net sales of $67.1 million for the year ended December 31, 2023. The increase in net sales during the year ended </w:t>
      </w:r>
      <w:r>
        <w:rPr>
          <w:rFonts w:ascii="Arial;sans-serif" w:hAnsi="Arial;sans-serif"/>
          <w:b w:val="false"/>
          <w:color w:val="000000"/>
          <w:sz w:val="20"/>
          <w:shd w:fill="FFFFFF" w:val="clear"/>
        </w:rPr>
        <w:t xml:space="preserve">December 31, 2024 </w:t>
      </w:r>
      <w:r>
        <w:rPr>
          <w:rFonts w:ascii="Arial;sans-serif" w:hAnsi="Arial;sans-serif"/>
          <w:b w:val="false"/>
          <w:color w:val="000000"/>
          <w:sz w:val="20"/>
        </w:rPr>
        <w:t>is attributabl</w:t>
      </w:r>
      <w:r>
        <w:rPr>
          <w:rFonts w:ascii="Arial;sans-serif" w:hAnsi="Arial;sans-serif"/>
          <w:b w:val="false"/>
          <w:color w:val="000000"/>
          <w:sz w:val="20"/>
          <w:shd w:fill="FFFFFF" w:val="clear"/>
        </w:rPr>
        <w:t>e</w:t>
      </w:r>
      <w:r>
        <w:rPr>
          <w:color w:val="000000"/>
        </w:rPr>
        <w:t xml:space="preserve"> </w:t>
      </w:r>
      <w:r>
        <w:rPr>
          <w:rFonts w:ascii="Arial;sans-serif" w:hAnsi="Arial;sans-serif"/>
          <w:b w:val="false"/>
          <w:color w:val="000000"/>
          <w:sz w:val="20"/>
        </w:rPr>
        <w:t xml:space="preserve">to inventory levels in the retail market normalizing, which has resulted in an increase in orders from retailers with brand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90"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Gross profit for the year ended December 31, 2024 increased $4.6 million as compared to the year ended December 31, 2023, primarily due to the increase in net sales noted above. Gross profit as a percentage of net sales for both the year ended December 31, 2024 and December 31, 2023 was 62.7%.</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Selling, general and administrative expense for the year ended December 31, 2024 was $20.7 million, or 27.9% of net sales compared to $19.4 million, or 29.0% of net sales for the year ended December 31, 2023. Selling, general and administrative expense in the prior period included $2.4 million in integration services fees associated with the Company's acquisition of PrimaLoft. Excluding the integration service fee, selling, general and administrative expense increased approximately $3.7 million due to an increase in stock compensation expense, bonus compensation and reorganization costs incur</w:t>
      </w:r>
      <w:r>
        <w:rPr>
          <w:rFonts w:ascii="Arial;sans-serif" w:hAnsi="Arial;sans-serif"/>
          <w:b w:val="false"/>
          <w:color w:val="000000"/>
          <w:sz w:val="20"/>
          <w:shd w:fill="FFFFFF" w:val="clear"/>
        </w:rPr>
        <w:t>red as PrimaLoft contin</w:t>
      </w:r>
      <w:r>
        <w:rPr>
          <w:rFonts w:ascii="Arial;sans-serif" w:hAnsi="Arial;sans-serif"/>
          <w:b w:val="false"/>
          <w:color w:val="000000"/>
          <w:sz w:val="20"/>
        </w:rPr>
        <w:t>ues to focus on future growth.</w:t>
      </w:r>
    </w:p>
    <w:p>
      <w:pPr>
        <w:pStyle w:val="TextBody"/>
        <w:bidi w:val="0"/>
        <w:spacing w:lineRule="auto" w:line="288" w:before="12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Impairment expense</w:t>
      </w:r>
    </w:p>
    <w:p>
      <w:pPr>
        <w:pStyle w:val="TextBody"/>
        <w:bidi w:val="0"/>
        <w:spacing w:lineRule="auto" w:line="288" w:before="120" w:after="283"/>
        <w:jc w:val="both"/>
        <w:rPr/>
      </w:pPr>
      <w:r>
        <w:rPr>
          <w:rFonts w:ascii="Arial;sans-serif" w:hAnsi="Arial;sans-serif"/>
          <w:b w:val="false"/>
          <w:color w:val="000000"/>
          <w:sz w:val="20"/>
        </w:rPr>
        <w:t>PrimaLoft performed an interim impairment test of their goodwill as of December 31, 2023 as a result of operating results that were below</w:t>
      </w:r>
      <w:r>
        <w:rPr>
          <w:color w:val="000000"/>
          <w:shd w:fill="FFFFFF" w:val="clear"/>
        </w:rPr>
        <w:t xml:space="preserve"> </w:t>
      </w:r>
      <w:r>
        <w:rPr>
          <w:rFonts w:ascii="Arial;sans-serif" w:hAnsi="Arial;sans-serif"/>
          <w:b w:val="false"/>
          <w:color w:val="000000"/>
          <w:sz w:val="20"/>
          <w:shd w:fill="FFFFFF" w:val="clear"/>
        </w:rPr>
        <w:t>forecast amounts that were used as the basis for the purchase price allocation at acquisition</w:t>
      </w:r>
      <w:r>
        <w:rPr>
          <w:rFonts w:ascii="Arial;sans-serif" w:hAnsi="Arial;sans-serif"/>
          <w:b w:val="false"/>
          <w:color w:val="000000"/>
          <w:sz w:val="20"/>
        </w:rPr>
        <w:t>. The impairment test resulted in PrimaLoft recording impairment expense of $57.8 million in the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 (loss)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income for the year ended December 31, 2024 was $4.0 million compared to segment operating loss of $57.1 million for the same period in 2023, primarily as a result of the goodwill impairment recorded in the fourth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The Honey Pot Co.</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Honey Pot Co. is a leading “better-for-you” feminine care brand, powered by plant-derived ingredients and clinically tested formulas. Founded in 2012, The Honey Pot Co. is rooted in the belief that all products should be made with healthy and efficacious ingredients that are kind to and safe for skin. The Honey Pot Co.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Results of Operations</w:t>
      </w:r>
    </w:p>
    <w:p>
      <w:pPr>
        <w:pStyle w:val="TextBody"/>
        <w:bidi w:val="0"/>
        <w:spacing w:lineRule="auto" w:line="288" w:before="120" w:after="283"/>
        <w:jc w:val="both"/>
        <w:rPr/>
      </w:pPr>
      <w:r>
        <w:rPr>
          <w:rFonts w:ascii="Arial;sans-serif" w:hAnsi="Arial;sans-serif"/>
          <w:b w:val="false"/>
          <w:color w:val="000000"/>
          <w:sz w:val="20"/>
        </w:rPr>
        <w:t>In the following results of operations, we provide comparative pro forma results of operations for The Honey Pot for the years ended December 31, 2024 and December 31, 2023 as if we had acquired the business on January 1, 2023</w:t>
      </w:r>
      <w:r>
        <w:rPr>
          <w:rFonts w:ascii="Arial;sans-serif" w:hAnsi="Arial;sans-serif"/>
          <w:b w:val="false"/>
          <w:color w:val="000000"/>
          <w:sz w:val="20"/>
          <w:shd w:fill="FFFFFF" w:val="clear"/>
        </w:rPr>
        <w:t xml:space="preserve">. </w:t>
      </w:r>
      <w:r>
        <w:rPr>
          <w:rFonts w:ascii="Arial;sans-serif" w:hAnsi="Arial;sans-serif"/>
          <w:b w:val="false"/>
          <w:color w:val="000000"/>
          <w:sz w:val="20"/>
        </w:rPr>
        <w:t>The results of operations that follow include relevant pro-forma adjustments for pre-acquisition periods and explanations where applicable. The operating results for The Honey Pot Co. have been included in the consolidated results of operation from the date of acquisition in January 2024.</w:t>
      </w:r>
    </w:p>
    <w:tbl>
      <w:tblPr>
        <w:tblW w:w="10205" w:type="dxa"/>
        <w:jc w:val="center"/>
        <w:tblInd w:w="0" w:type="dxa"/>
        <w:tblLayout w:type="fixed"/>
        <w:tblCellMar>
          <w:top w:w="28" w:type="dxa"/>
          <w:left w:w="28" w:type="dxa"/>
          <w:bottom w:w="28" w:type="dxa"/>
          <w:right w:w="28" w:type="dxa"/>
        </w:tblCellMar>
      </w:tblPr>
      <w:tblGrid>
        <w:gridCol w:w="791"/>
        <w:gridCol w:w="695"/>
        <w:gridCol w:w="701"/>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413"/>
        <w:gridCol w:w="413"/>
        <w:gridCol w:w="230"/>
        <w:gridCol w:w="109"/>
        <w:gridCol w:w="109"/>
        <w:gridCol w:w="109"/>
        <w:gridCol w:w="308"/>
        <w:gridCol w:w="308"/>
        <w:gridCol w:w="318"/>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1"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Pro forma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107,311 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59,867 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38,939 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16,062 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Segment 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1"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Pro forma results of operations include the following pro forma adjustments as if we had acquired The Honey Pot Co. on January 1,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Incremental stock compensation expense of $0.3 million for the year ended December 31, 2024 and $0.8 million for the year ended December 31, 2023. This amount is included in SG&amp;A above and reduces segment operating income.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Amortization expense associated with the intangible assets recorded in connection with the purchase price allocation for The Honey Pot Co. of $1.3 million for the year ended December 31, 2024 and $16.1 million for the year ended December 31, 2023. This amount reduces segment operating income.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Management fees that would have been payable to the Manager during each period. The Honey Pot Co. pays a management fee of $1.0 million per year ($0.25 million per quarter) to CGM. This amount reduces segment operating income.</w:t>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2025 compared to the Pro Forma Year ended December 31,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Net sales for the year ended December 31, 2025 were $139.7 million, an increase of $24.4 million or 21.2% from net sales of $115.3 million for the year ended December 31, 2024</w:t>
      </w:r>
      <w:r>
        <w:rPr>
          <w:rFonts w:ascii="Arial;sans-serif" w:hAnsi="Arial;sans-serif"/>
          <w:b w:val="false"/>
          <w:color w:val="000000"/>
          <w:sz w:val="20"/>
          <w:shd w:fill="FFFFFF" w:val="clear"/>
        </w:rPr>
        <w:t>. The increase in net sales is primarily due to strong volume growth due to market share gain in the Period Care product line, particularly in mass retail, drugstores and online. Overall, volume and share growth continues to be fueled by compelling innovation, targeted investments in demand generation, and disciplined investments in capabilities to accelerate growth.</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Gross profit for the year ended December 31, 2025 increased $19.6 million as compared to the year ended December 31, 2024. Gross profit as a percentage of net sales for the year ended December 31, 2025 was 55.2%, as compared to gross profit as a percentage of sales of 50.0% for the year ended December 31, 2024. Cost of sales in the year ended December 31, 2024 includes $3.8 million in amortization of the inventory step-up resulting from the acquisition purchase allocation. Excluding the effect of the step-up amortization, gross profit as a percentage of net sales for the year ended December 31, 2024 was 53.2%. The increase in gross profit as a percentage of net sales in the year December 31, 2025 as compared to the year ended December 31, 2024 is attributable primarily to channel mix shift.</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 xml:space="preserve">Selling, general and administrative expense for the year ended December 31, 2025 was $44.8 million, or 32.0% of net sales compared to $40.5 million, or 35.1% of net sales for the year ended December 31, 2024. The increase in selling, general and administrative expense in the year ended December 31, 2025 as compared to the year ended December 31, 2024 was due to increased investment in marketing, increased headcount to support the growth in sales, and </w:t>
      </w:r>
      <w:r>
        <w:rPr>
          <w:rFonts w:ascii="Arial;sans-serif" w:hAnsi="Arial;sans-serif"/>
          <w:b w:val="false"/>
          <w:color w:val="000000"/>
          <w:sz w:val="20"/>
          <w:shd w:fill="FFFFFF" w:val="clear"/>
        </w:rPr>
        <w:t xml:space="preserve">increases in bonus and compensation plans. </w:t>
      </w:r>
      <w:r>
        <w:rPr>
          <w:rFonts w:ascii="Arial;sans-serif" w:hAnsi="Arial;sans-serif"/>
          <w:b w:val="false"/>
          <w:color w:val="000000"/>
          <w:sz w:val="20"/>
        </w:rPr>
        <w:t>Selling, general and administrative expense for the year ended December 31, 2024 included $3.5 million in transaction costs associated with the Company's acquisition of The Honey Pot Co. and $2.6 million in integration services fees paid to CGM during the year.</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pPr>
      <w:r>
        <w:rPr>
          <w:rFonts w:ascii="Arial;sans-serif" w:hAnsi="Arial;sans-serif"/>
          <w:b w:val="false"/>
          <w:color w:val="000000"/>
          <w:sz w:val="20"/>
        </w:rPr>
        <w:t>Segment operating income for the year ended December 31, 2025 was $15.3 million, an increase of $15.3 million when compared to segment operating income of $0.1 million for the same period in 2024, as a result of the factors noted above.</w:t>
      </w:r>
      <w:r>
        <w:rPr>
          <w:color w:val="000000"/>
        </w:rPr>
        <w:t xml:space="preserve"> </w:t>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Pro forma Year ended December 31, 2024 compared to the Pro Forma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Net sales for the year ended December 31, 2024 were $115.3 million, an increase of $7.9 million or 7.4% from net sales of $107.3 million for the year ended December 31, 2023</w:t>
      </w:r>
      <w:r>
        <w:rPr>
          <w:rFonts w:ascii="Arial;sans-serif" w:hAnsi="Arial;sans-serif"/>
          <w:b w:val="false"/>
          <w:color w:val="000000"/>
          <w:sz w:val="20"/>
          <w:shd w:fill="FFFFFF" w:val="clear"/>
        </w:rPr>
        <w:t>. The increase in net sales is primarily due to strong volume growth related to market share gains in our Period Care product category.</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Gross profit for the year ended December 31, 2024 decreased $2.3 million as compared to the year ended December 31, 2023. Gross profit as a percentage of net sales for the year ended December 31, 2024 was 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2"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compared to gross profit as a percentage of sales of 55.8% for the year ended December 31, 2023. Cost of sales in the year ended December 31, 2024 includes $3.8 million in amortization of the inventory step-up resulting from the acquisition purchase allocation. Excluding the effect of the step-up amortization, gross profit as a percentage of net sales for the year ended December 31, 2024 was 53.2%. The decline in gross profit as a percentage of net sales in the year December 31, 2024 as compared to the year ended December 31, 2023 is attributable to channel mix shift and higher fixed costs due to the replacement of regional third-party distribution facilities with a larger dedicated distribution center to support future growth and that will benefit from scale efficiencies over time.</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 xml:space="preserve">Selling, general and administrative expense for the year ended December 31, 2024 was $40.5 million, or 35.1% of net sales compared to $38.9 million, or 36.3% of net sales for the year ended December 31, 2023. Selling, general and administrative expense for the year ended December 31, 2024 includes $3.5 million in transaction costs associated with the Company's acquisition of The Honey Pot Co. and $2.6 million in integration services fees paid to CGM during the year. Excluding the integration services fee, selling, general and administrative expense decreased $4.3 million versus the comparable period in the prior year. The decrease in selling, general and administrative expense in the year ended December 31, 2024 as compared to the year ended December 31, 2023 was due to </w:t>
      </w:r>
      <w:r>
        <w:rPr>
          <w:rFonts w:ascii="Arial;sans-serif" w:hAnsi="Arial;sans-serif"/>
          <w:b w:val="false"/>
          <w:color w:val="000000"/>
          <w:sz w:val="20"/>
          <w:shd w:fill="FFFFFF" w:val="clear"/>
        </w:rPr>
        <w:t>changes in bonus and compensation plans, and travel expenses.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pPr>
      <w:r>
        <w:rPr>
          <w:rFonts w:ascii="Arial;sans-serif" w:hAnsi="Arial;sans-serif"/>
          <w:b w:val="false"/>
          <w:color w:val="000000"/>
          <w:sz w:val="20"/>
        </w:rPr>
        <w:t>Segment operating income for the year ended December 31, 2024 was $0.1 million, a decrease of $3.8 million when compared to segment operating income of $3.9 million for the same period in 2023, as a result of the factors noted above.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Velocity Outdoor</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pPr>
      <w:r>
        <w:rPr>
          <w:rFonts w:ascii="Arial;sans-serif" w:hAnsi="Arial;sans-serif"/>
          <w:b w:val="false"/>
          <w:color w:val="000000"/>
          <w:sz w:val="20"/>
        </w:rPr>
        <w:t>Velocity Outdoor 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w:t>
      </w:r>
      <w:r>
        <w:rPr>
          <w:color w:val="000000"/>
          <w:shd w:fill="FFFFFF" w:val="clear"/>
        </w:rPr>
        <w:t xml:space="preserve"> </w:t>
      </w:r>
      <w:r>
        <w:rPr>
          <w:rFonts w:ascii="Arial;sans-serif" w:hAnsi="Arial;sans-serif"/>
          <w:b w:val="false"/>
          <w:color w:val="000000"/>
          <w:sz w:val="20"/>
          <w:shd w:fill="FFFFFF" w:val="clear"/>
        </w:rPr>
        <w:t>in Rochester, New York. On A</w:t>
      </w:r>
      <w:r>
        <w:rPr>
          <w:rFonts w:ascii="Arial;sans-serif" w:hAnsi="Arial;sans-serif"/>
          <w:b w:val="false"/>
          <w:color w:val="000000"/>
          <w:sz w:val="20"/>
        </w:rPr>
        <w:t>pril 30, 2024, Velocity Outdoor sold the Crosman airgun product division. The results of operation for Crosman are included in the accompanying financial statements through the date of sale.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Results of Operations</w:t>
      </w:r>
    </w:p>
    <w:tbl>
      <w:tblPr>
        <w:tblW w:w="10205" w:type="dxa"/>
        <w:jc w:val="center"/>
        <w:tblInd w:w="0" w:type="dxa"/>
        <w:tblLayout w:type="fixed"/>
        <w:tblCellMar>
          <w:top w:w="28" w:type="dxa"/>
          <w:left w:w="28" w:type="dxa"/>
          <w:bottom w:w="28" w:type="dxa"/>
          <w:right w:w="28" w:type="dxa"/>
        </w:tblCellMar>
      </w:tblPr>
      <w:tblGrid>
        <w:gridCol w:w="1167"/>
        <w:gridCol w:w="1026"/>
        <w:gridCol w:w="1033"/>
        <w:gridCol w:w="109"/>
        <w:gridCol w:w="109"/>
        <w:gridCol w:w="109"/>
        <w:gridCol w:w="211"/>
        <w:gridCol w:w="721"/>
        <w:gridCol w:w="109"/>
        <w:gridCol w:w="308"/>
        <w:gridCol w:w="308"/>
        <w:gridCol w:w="271"/>
        <w:gridCol w:w="109"/>
        <w:gridCol w:w="109"/>
        <w:gridCol w:w="109"/>
        <w:gridCol w:w="211"/>
        <w:gridCol w:w="783"/>
        <w:gridCol w:w="109"/>
        <w:gridCol w:w="308"/>
        <w:gridCol w:w="308"/>
        <w:gridCol w:w="271"/>
        <w:gridCol w:w="109"/>
        <w:gridCol w:w="109"/>
        <w:gridCol w:w="109"/>
        <w:gridCol w:w="211"/>
        <w:gridCol w:w="826"/>
        <w:gridCol w:w="109"/>
        <w:gridCol w:w="308"/>
        <w:gridCol w:w="308"/>
        <w:gridCol w:w="318"/>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2"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Selling, general and administrative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 xml:space="preserve">Net sales for the year ended December 31, 2025 were $76.4 million compared to net sales of $96.4 million for the year ended December 31, 2024, a decrease of $20.0 million or 20.8%. The decrease in net sales during the year ended December 31, 2025 as compared to the prior year is driven by the divestiture of Crosman, which was sold on April 30, 2024. </w:t>
      </w:r>
      <w:r>
        <w:rPr>
          <w:rFonts w:ascii="Arial;sans-serif" w:hAnsi="Arial;sans-serif"/>
          <w:b w:val="false"/>
          <w:color w:val="000000"/>
          <w:sz w:val="20"/>
          <w:shd w:fill="FFFFFF" w:val="clear"/>
        </w:rPr>
        <w:t>The remaining product categories, which consist of the archery and hunting apparel product categories, increased 9.8% compared to the same period in 2024 due to increased archery sales across all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3"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Gross profit</w:t>
      </w:r>
    </w:p>
    <w:p>
      <w:pPr>
        <w:pStyle w:val="TextBody"/>
        <w:bidi w:val="0"/>
        <w:spacing w:lineRule="auto" w:line="288" w:before="120" w:after="283"/>
        <w:jc w:val="both"/>
        <w:rPr/>
      </w:pPr>
      <w:r>
        <w:rPr>
          <w:rFonts w:ascii="Arial;sans-serif" w:hAnsi="Arial;sans-serif"/>
          <w:b w:val="false"/>
          <w:color w:val="000000"/>
          <w:sz w:val="20"/>
        </w:rPr>
        <w:t>Gross profit as a percentage of net sales was 30.7% for the year ended December 31, 2025 as compared to 27.3% in the year December 31, 2024. The increase in gross profit as a percentage of net sales was primarily attributable to customer and p</w:t>
      </w:r>
      <w:r>
        <w:rPr>
          <w:rFonts w:ascii="Arial;sans-serif" w:hAnsi="Arial;sans-serif"/>
          <w:b w:val="false"/>
          <w:color w:val="000000"/>
          <w:sz w:val="20"/>
          <w:shd w:fill="FFFFFF" w:val="clear"/>
        </w:rPr>
        <w:t xml:space="preserve">roduct mix, as the Crosman product line had lower gross margins compared to the remaining </w:t>
      </w:r>
      <w:r>
        <w:rPr>
          <w:rFonts w:ascii="Arial;sans-serif" w:hAnsi="Arial;sans-serif"/>
          <w:b w:val="false"/>
          <w:color w:val="000000"/>
          <w:sz w:val="20"/>
        </w:rPr>
        <w:t>archery and hunting apparel product categories post divestiture of the airgun product category.</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Selling, general and administrative expense for the year ended December 31, 2025 was $19.5 million, or 25.6% of net sales compared to $25.5 million, or 26.4% of net sales, for the year ended December 31, 2024. The decrease in selling, general and administrative expense was primarily</w:t>
      </w:r>
      <w:r>
        <w:rPr>
          <w:color w:val="000000"/>
          <w:shd w:fill="FFFFFF" w:val="clear"/>
        </w:rPr>
        <w:t xml:space="preserve"> </w:t>
      </w:r>
      <w:r>
        <w:rPr>
          <w:rFonts w:ascii="Arial;sans-serif" w:hAnsi="Arial;sans-serif"/>
          <w:b w:val="false"/>
          <w:color w:val="000000"/>
          <w:sz w:val="20"/>
          <w:shd w:fill="FFFFFF" w:val="clear"/>
        </w:rPr>
        <w:t>due to the divestiture of Crosman, as the decrease in net sales led to a decrease in operating expense leverage, with selling, general and administrative expense as a percentage of net sales decreasing year over year.</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Impairment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Velocity reporting unit was tested quantitatively in connection with the Company's annual goodwill impairment testing in March 2024. The impairment test resulted in Velocity recording impairment expense of $8.2 million in the year ended December 31, 2024 after the fair value of the reporting unit did not exceed the carrying value.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loss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loss for the year ended December 31, 2025 was $1.4 million, a decreased loss of $12.8 million when compared to segment operating loss of $14.2 million for the comparable period in 2024. The change in segment operating loss in the year ended December 31, 2024 reflects the factors noted above.</w:t>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2024 compared to the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 xml:space="preserve">Net sales for the year ended December 31, 2024 were $96.4 million compared to net sales of $172.2 million for the year ended December 31, 2023, a decrease of $75.8 million or 44.0%. The decrease in net sales during the year ended December 31, 2024 is driven by the divestiture of Crosman, which was sold on April 30, 2024. The remaining product categories, which consist of the archery and hunting apparel product categories </w:t>
      </w:r>
      <w:r>
        <w:rPr>
          <w:rFonts w:ascii="Arial;sans-serif" w:hAnsi="Arial;sans-serif"/>
          <w:b w:val="false"/>
          <w:color w:val="000000"/>
          <w:sz w:val="20"/>
          <w:shd w:fill="FFFFFF" w:val="clear"/>
        </w:rPr>
        <w:t>decreased approximately $3.5 million compared to the same period in 2023 due to softness in the overall Hunting and Fishing market as well as retailers reducing levels of inventory on hand.</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Gross profit</w:t>
      </w:r>
    </w:p>
    <w:p>
      <w:pPr>
        <w:pStyle w:val="TextBody"/>
        <w:bidi w:val="0"/>
        <w:spacing w:lineRule="auto" w:line="288" w:before="120" w:after="283"/>
        <w:jc w:val="both"/>
        <w:rPr/>
      </w:pPr>
      <w:r>
        <w:rPr>
          <w:rFonts w:ascii="Arial;sans-serif" w:hAnsi="Arial;sans-serif"/>
          <w:b w:val="false"/>
          <w:color w:val="000000"/>
          <w:sz w:val="20"/>
        </w:rPr>
        <w:t>Gross profit as a percentage of net sales was 27.3% for the year ended December 31, 2024 as compared to 26.2% in the year December 31, 2023. The increase in gross profit as a percentage of net sales was primarily attributable to customer and p</w:t>
      </w:r>
      <w:r>
        <w:rPr>
          <w:rFonts w:ascii="Arial;sans-serif" w:hAnsi="Arial;sans-serif"/>
          <w:b w:val="false"/>
          <w:color w:val="000000"/>
          <w:sz w:val="20"/>
          <w:shd w:fill="FFFFFF" w:val="clear"/>
        </w:rPr>
        <w:t xml:space="preserve">roduct mix, as the Crosman product line had lower gross margins compared to the remaining </w:t>
      </w:r>
      <w:r>
        <w:rPr>
          <w:rFonts w:ascii="Arial;sans-serif" w:hAnsi="Arial;sans-serif"/>
          <w:b w:val="false"/>
          <w:color w:val="000000"/>
          <w:sz w:val="20"/>
        </w:rPr>
        <w:t>archery and hunting apparel product categories post divestiture of the airgun product category.</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Selling, general and administrative expense for the year ended December 31, 2024 was $25.5 million, or 26.4% of net sales compared to $36.3 million, or 21.1% of net sales, for the year ended December 31, 2023. The decrease in selling, general and administrative expense was primarily</w:t>
      </w:r>
      <w:r>
        <w:rPr>
          <w:color w:val="000000"/>
          <w:shd w:fill="FFFFFF" w:val="clear"/>
        </w:rPr>
        <w:t xml:space="preserve"> </w:t>
      </w:r>
      <w:r>
        <w:rPr>
          <w:rFonts w:ascii="Arial;sans-serif" w:hAnsi="Arial;sans-serif"/>
          <w:b w:val="false"/>
          <w:color w:val="000000"/>
          <w:sz w:val="20"/>
          <w:shd w:fill="FFFFFF" w:val="clear"/>
        </w:rPr>
        <w:t>due to the divestiture of Crosman, while the increase as a percentage of net sales as compared to the prior year was due to the decrease in revenue noted above.</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Impairment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Velocity reporting unit was tested quantitatively in connection with the Company's annual goodwill impairment testing in March 2024. The impairment test resulted in Velocity recording impairment expense of $8.2 million in the year ended December 31, 2024 after the fair value of the reporting unit did not exceed the carrying value. In the prior year, Velocity performed an interim impairment test of their goodwill during the quarter ended September 30, 2023 as a result of operating results that were below forecast amounts that were used in quantitative impairment testing performed in March 2023. The impairment test resulted in Velocity recording impairment expense of $31.6 million in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4"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loss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loss for the year ended December 31, 2024 was $14.2 million, a decreased loss of $18.7 million when compared to segment operating loss of $32.8 million for the comparable period in 2023. The change in segment operating loss in the year ended December 31, 2024 reflects the factors noted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Industrial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Altor Solutions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Founded in 1957 and headquartered in St. Louis, Missouri, Altor Solutions is a designer and manufacturer of custom molded cold chain and protective foam solutions including OEM components made from EPS and EPP. Altor operates molding and fabricating facilities across North America and provides products to a variety of end-markets, including appliances and electronics, pharmaceuticals, health and wellness, building products and others.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Results of Operations</w:t>
      </w:r>
    </w:p>
    <w:tbl>
      <w:tblPr>
        <w:tblW w:w="10205" w:type="dxa"/>
        <w:jc w:val="center"/>
        <w:tblInd w:w="0" w:type="dxa"/>
        <w:tblLayout w:type="fixed"/>
        <w:tblCellMar>
          <w:top w:w="28" w:type="dxa"/>
          <w:left w:w="28" w:type="dxa"/>
          <w:bottom w:w="28" w:type="dxa"/>
          <w:right w:w="28" w:type="dxa"/>
        </w:tblCellMar>
      </w:tblPr>
      <w:tblGrid>
        <w:gridCol w:w="1113"/>
        <w:gridCol w:w="976"/>
        <w:gridCol w:w="989"/>
        <w:gridCol w:w="109"/>
        <w:gridCol w:w="109"/>
        <w:gridCol w:w="109"/>
        <w:gridCol w:w="211"/>
        <w:gridCol w:w="826"/>
        <w:gridCol w:w="109"/>
        <w:gridCol w:w="308"/>
        <w:gridCol w:w="308"/>
        <w:gridCol w:w="271"/>
        <w:gridCol w:w="109"/>
        <w:gridCol w:w="109"/>
        <w:gridCol w:w="109"/>
        <w:gridCol w:w="211"/>
        <w:gridCol w:w="826"/>
        <w:gridCol w:w="109"/>
        <w:gridCol w:w="308"/>
        <w:gridCol w:w="308"/>
        <w:gridCol w:w="271"/>
        <w:gridCol w:w="109"/>
        <w:gridCol w:w="109"/>
        <w:gridCol w:w="109"/>
        <w:gridCol w:w="211"/>
        <w:gridCol w:w="826"/>
        <w:gridCol w:w="109"/>
        <w:gridCol w:w="308"/>
        <w:gridCol w:w="308"/>
        <w:gridCol w:w="318"/>
      </w:tblGrid>
      <w:tr>
        <w:trPr/>
        <w:tc>
          <w:tcPr>
            <w:tcW w:w="111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0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Selling, general and administrative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sales for the year ended December 31, 2025 were $303.0 million, an increase of $64.0 million, or 26.8%, compared to the year ended December 31, 2024. The increase in net sales during the period was due primarily to the acquisition of Lifoam in October 2024. Lifoam had incremental net revenue of $109.6 million in the year ended December 31, 2025 as compared to the year ended December 31, 2024. The increase in net sales attributable to Lifoam was offset by lower sales due to reduced demand in the industrial white goods market, shifting market conditions in the perishable and cold chain markets, and supplier diversification initiatives undertaken by several of Altor's customers.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Gross profit as a percentage of net sales was 24.6% and 27.7%, respectively, for the years ended December 31, 2025 and 2024. The decrease in gross profit as a percentage of net sales was driven by a reduction in fixed cost of goods sold coverage due to the non-Lifoam portion of the business and the impact of including the full year results of the Lifoam acquisition, which had a lower gross margin at the time of acquisition.</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Selling, general and administrative expense</w:t>
      </w:r>
    </w:p>
    <w:p>
      <w:pPr>
        <w:pStyle w:val="TextBody"/>
        <w:bidi w:val="0"/>
        <w:spacing w:lineRule="auto" w:line="288" w:before="120" w:after="283"/>
        <w:jc w:val="both"/>
        <w:rPr/>
      </w:pPr>
      <w:r>
        <w:rPr>
          <w:rFonts w:ascii="Arial;sans-serif" w:hAnsi="Arial;sans-serif"/>
          <w:b w:val="false"/>
          <w:color w:val="000000"/>
          <w:sz w:val="20"/>
          <w:shd w:fill="FFFFFF" w:val="clear"/>
        </w:rPr>
        <w:t>Selling, general and administrative expense for the year ended December 31, 2025 was $45.2 million as compared to $33.1 million for the year ended December 31, 2024, an increase of $12.1 million. The increase in selling, general and administrative expense for the year ended December 31, 2024 is primarily attributable to integration and restructuring activities due to the Lifoam acquisition as s</w:t>
      </w:r>
      <w:r>
        <w:rPr>
          <w:rFonts w:ascii="Arial;sans-serif" w:hAnsi="Arial;sans-serif"/>
          <w:b w:val="false"/>
          <w:color w:val="000000"/>
          <w:sz w:val="20"/>
        </w:rPr>
        <w:t xml:space="preserve">ubsequent to the acquisition of Lifoam in October 2024, Altor determined that they would shut down four of their facilities that had geographic overlap with Lifoam facilities. During the year ended December 31, 2025, Altor recorded approximately $10.3 million related to the plant closures and other Lifoam integration costs in selling general and administrative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5"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Segment operating income</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Segment operating income was $14.6 million for the year ended December 31, 2025 as compared to $21.7 million for the year ended December 31, 2024, a decrease of $7.1 million based on the factors noted above and an increase in amortization expense due to the Lifoam acquisition.</w:t>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2024 compared to the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Net sales for the year ended December 31, 2024 were $239.1 million, an increase of $1.0 million, or 0.4%, compared to the year ended December 31, 2023. The increase in net sales during the period was due primarily to the acquisition of Lifoam in October 2024. Lifoam had net revenue of $35.1 million in the post acquisition period through December 31, 2024. Excluding Lifoam, net sales at the legacy Altor business decreased in the year ended December 31, 2024 when compared to the year ended December 31, 2023 due to shifting market conditions of the food delivery and other cold chain markets, which represent one of Altor's largest customer segments, and supplier diversification initiatives undertaken by several of our customers. Altor is strategically repositioning itself to adapt to these changes, including with the acquisition of Lifoam in October 2024.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Gross profit as a percentage of net sales was 27.7% and 30.9%, respectively, for the years ended December 31, 2024 and 2023. The decrease in gross profit as a percentage of net sales in the year ended December 31, 2024 was primarily due to the combination of customer sales mix and fixed cost absorption on the lower level of revenue noted above. Altor recognized $1.6 million in amortization of inventory step-up in the fourth quarter of 2024 related to the purchase price allocation of Lifoam, which further decreased gross profit. </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Selling, general and administrative expense</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Selling, general and administrative expense for the year ended December 31, 2024 was $33.1 million as compared to $28.7 million for the year ended December 31, 2023, an increase of $4.4 million. The increase in selling, general and administrative expense for the year ended December 31, 2024 is primarily attributable to the acquisition of Lifoam, including transaction costs of $1.8 million that were incurred related to the acquisition.</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Segment operating income</w:t>
      </w:r>
    </w:p>
    <w:p>
      <w:pPr>
        <w:pStyle w:val="TextBody"/>
        <w:bidi w:val="0"/>
        <w:spacing w:lineRule="auto" w:line="288" w:before="120" w:after="180"/>
        <w:jc w:val="both"/>
        <w:rPr>
          <w:rFonts w:ascii="Arial;sans-serif" w:hAnsi="Arial;sans-serif"/>
          <w:b w:val="false"/>
          <w:color w:val="000000"/>
          <w:sz w:val="20"/>
        </w:rPr>
      </w:pPr>
      <w:r>
        <w:rPr>
          <w:rFonts w:ascii="Arial;sans-serif" w:hAnsi="Arial;sans-serif"/>
          <w:b w:val="false"/>
          <w:color w:val="000000"/>
          <w:sz w:val="20"/>
        </w:rPr>
        <w:t>Segment operating income was $21.7 million for the year ended December 31, 2024 as compared to $34.6 million for the year ended December 31, 2023, a decrease of $12.8 million based on the factors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Arnold</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Arnold serves a variety of markets including aerospace and defense, general industrial, motorsport/ transportation, oil and gas, medical, energy, semiconductor and advertising specialties. Over the course of more than 100 years, Arnold has successfully evolved and adapted its products, technologies, and manufacturing presence to meet the demands of current and emerging markets.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and leading systems-integrators worldwide with a focus on North America, Europe, and Asia. Arnold has built a preferred rare earth supply chain and has leading rare earth and other permanent magnet production capabilities. Arnold is the largest and, we believe, the most technically advanced U.S. solutions provider and manufacturer of engineered magnetic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6"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Results of Operations</w:t>
      </w:r>
    </w:p>
    <w:tbl>
      <w:tblPr>
        <w:tblW w:w="10205" w:type="dxa"/>
        <w:jc w:val="center"/>
        <w:tblInd w:w="0" w:type="dxa"/>
        <w:tblLayout w:type="fixed"/>
        <w:tblCellMar>
          <w:top w:w="28" w:type="dxa"/>
          <w:left w:w="28" w:type="dxa"/>
          <w:bottom w:w="28" w:type="dxa"/>
          <w:right w:w="28" w:type="dxa"/>
        </w:tblCellMar>
      </w:tblPr>
      <w:tblGrid>
        <w:gridCol w:w="1113"/>
        <w:gridCol w:w="979"/>
        <w:gridCol w:w="986"/>
        <w:gridCol w:w="109"/>
        <w:gridCol w:w="109"/>
        <w:gridCol w:w="109"/>
        <w:gridCol w:w="211"/>
        <w:gridCol w:w="826"/>
        <w:gridCol w:w="109"/>
        <w:gridCol w:w="308"/>
        <w:gridCol w:w="308"/>
        <w:gridCol w:w="271"/>
        <w:gridCol w:w="109"/>
        <w:gridCol w:w="109"/>
        <w:gridCol w:w="109"/>
        <w:gridCol w:w="211"/>
        <w:gridCol w:w="826"/>
        <w:gridCol w:w="109"/>
        <w:gridCol w:w="308"/>
        <w:gridCol w:w="308"/>
        <w:gridCol w:w="271"/>
        <w:gridCol w:w="109"/>
        <w:gridCol w:w="109"/>
        <w:gridCol w:w="109"/>
        <w:gridCol w:w="211"/>
        <w:gridCol w:w="826"/>
        <w:gridCol w:w="109"/>
        <w:gridCol w:w="308"/>
        <w:gridCol w:w="308"/>
        <w:gridCol w:w="318"/>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3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36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Net sales for the year ended December 31, 2025 were approximately $151.0 million, a decrease of $20.9 million compared to the same period in 2024. The decrease in net sales is primarily a resu</w:t>
      </w:r>
      <w:r>
        <w:rPr>
          <w:rFonts w:ascii="Arial;sans-serif" w:hAnsi="Arial;sans-serif"/>
          <w:b w:val="false"/>
          <w:color w:val="000000"/>
          <w:sz w:val="20"/>
          <w:shd w:fill="FFFFFF" w:val="clear"/>
        </w:rPr>
        <w:t>lt of lower demand in various markets, material restraints related to export controls in place during the current year and production constraints.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pPr>
      <w:r>
        <w:rPr>
          <w:rFonts w:ascii="Arial;sans-serif" w:hAnsi="Arial;sans-serif"/>
          <w:b w:val="false"/>
          <w:color w:val="000000"/>
          <w:sz w:val="20"/>
        </w:rPr>
        <w:t>Gross profit was $35.7 million for the year ended December 31, 2025 as compared to $46.1 million for the same period in 2024. Gross profit as a percentage of net sales decreased to 23.6% in 2025 from 26.8% in 2024, principally</w:t>
      </w:r>
      <w:r>
        <w:rPr>
          <w:color w:val="000000"/>
          <w:shd w:fill="FFFFFF" w:val="clear"/>
        </w:rPr>
        <w:t xml:space="preserve"> </w:t>
      </w:r>
      <w:r>
        <w:rPr>
          <w:rFonts w:ascii="Arial;sans-serif" w:hAnsi="Arial;sans-serif"/>
          <w:b w:val="false"/>
          <w:color w:val="000000"/>
          <w:sz w:val="20"/>
          <w:shd w:fill="FFFFFF" w:val="clear"/>
        </w:rPr>
        <w:t>due to product mix, inefficienci</w:t>
      </w:r>
      <w:r>
        <w:rPr>
          <w:rFonts w:ascii="Arial;sans-serif" w:hAnsi="Arial;sans-serif"/>
          <w:b w:val="false"/>
          <w:color w:val="000000"/>
          <w:sz w:val="20"/>
        </w:rPr>
        <w:t xml:space="preserve">es, and increased raw material costs driven in part by tariffs.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 xml:space="preserve">Selling, general and administrative expense in the year ended December 31, 2025 was $29.1 million as compared to approximately $35.6 million for the year ended December 31, 2024. In the prior year, Arnold incurred non-recurring move related expenses </w:t>
      </w:r>
      <w:r>
        <w:rPr>
          <w:rFonts w:ascii="Arial;sans-serif" w:hAnsi="Arial;sans-serif"/>
          <w:b w:val="false"/>
          <w:color w:val="000000"/>
          <w:sz w:val="20"/>
          <w:shd w:fill="FFFFFF" w:val="clear"/>
        </w:rPr>
        <w:t xml:space="preserve">related to the relocation of two of Arnold's facilities in the United States.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Selling, general and administrative expense represented 19.3% of net sales for the year ended December 31, 2025 as compared to 20.7% for the same period in 2024. The decrease in selling, general and administrative expense as a percentage of net sales was due to lower operating expenses, absence of non-recurring expenses related to the relocation noted above which were partially offset by executive transition costs incurred during 2025.</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Arnold had segment operating income of approximately $3.5 million for the year ended December 31, 2025, as compared to segment operating income of $7.5 million for the year ended December 31, 2024, a decrease of $4.0 million year over year based on the factors stated above.</w:t>
      </w:r>
    </w:p>
    <w:p>
      <w:pPr>
        <w:pStyle w:val="TextBody"/>
        <w:bidi w:val="0"/>
        <w:spacing w:lineRule="auto" w:line="288" w:before="300" w:after="283"/>
        <w:jc w:val="center"/>
        <w:rPr>
          <w:rFonts w:ascii="Arial;sans-serif" w:hAnsi="Arial;sans-serif"/>
          <w:b/>
          <w:i/>
          <w:color w:val="000000"/>
          <w:sz w:val="20"/>
        </w:rPr>
      </w:pPr>
      <w:r>
        <w:rPr>
          <w:rFonts w:ascii="Arial;sans-serif" w:hAnsi="Arial;sans-serif"/>
          <w:b/>
          <w:i/>
          <w:color w:val="000000"/>
          <w:sz w:val="20"/>
        </w:rPr>
        <w:t>Year ended December 31, 2024 compared to the Year ended December 31, 2023</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Net sales for the year ended December 31, 2024 were approximately $171.8 million, an increase of $5.2 million compared to the same period in 2023. The increase in net sales is primarily a result of increased demand in several markets including aerospace and defense and oil and gas, partially offset by lower demand in the industrial and transportation markets. International sales were $52.8 million and $51.1 million for the years ended December 31, 2024 and 2023, respectively, an increase of $1.8 million.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Gross profit was $46.1 million for the year ended December 31, 2024 as compared to $49.8 million for the same period in 2023. Gross profit as a percentage of net sales decreased to 26.8% in 2024 from 29.9% in 2023, principally due to higher staffing related costs and non-recurring move related costs of two of our facilities in the United States.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Selling, general and administrative expense in the year ended December 31, 2024 was $35.6 million as compared to approximately $25.2 million for the year ended December 31, 2023. The increase in selling general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7"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administrative expense was related to non-recurring move related expenses, increased information technology costs and outside service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 represented 20.7% of net sales for the year ended December 31, 2024 as compared to 15.1% for the same period in 2023. The increase in selling, general and administrative expense as a percentage of net sales was due to non-recurring move related expense. The incurrence of the move related expenses was substantially complete in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Arnold had segment operating income of approximately $7.5 million for the year ended December 31, 2024, as compared to segment operating income of $21.6 million for the year ended December 31, 2023, a decrease of $14.0 million year over year based on the factors stated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Sterno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Overview</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Sterno, headquartered in Texarkana, Texas, is the parent company of Sterno and Rimports. Sterno is a leading manufacturer and marketer of portable food warming systems. Sterno also produces creative indoor and outdoor lighting and home fragrance solutions for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Results of Operations </w:t>
      </w:r>
    </w:p>
    <w:tbl>
      <w:tblPr>
        <w:tblW w:w="10205" w:type="dxa"/>
        <w:jc w:val="center"/>
        <w:tblInd w:w="0" w:type="dxa"/>
        <w:tblLayout w:type="fixed"/>
        <w:tblCellMar>
          <w:top w:w="28" w:type="dxa"/>
          <w:left w:w="28" w:type="dxa"/>
          <w:bottom w:w="28" w:type="dxa"/>
          <w:right w:w="28" w:type="dxa"/>
        </w:tblCellMar>
      </w:tblPr>
      <w:tblGrid>
        <w:gridCol w:w="759"/>
        <w:gridCol w:w="667"/>
        <w:gridCol w:w="672"/>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271"/>
        <w:gridCol w:w="109"/>
        <w:gridCol w:w="109"/>
        <w:gridCol w:w="109"/>
        <w:gridCol w:w="211"/>
        <w:gridCol w:w="826"/>
        <w:gridCol w:w="109"/>
        <w:gridCol w:w="109"/>
        <w:gridCol w:w="109"/>
        <w:gridCol w:w="109"/>
        <w:gridCol w:w="308"/>
        <w:gridCol w:w="308"/>
        <w:gridCol w:w="317"/>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0"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Year ended December 31, 2025 compared to the Year ended December 31, 2024</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Net sales for the year ended December 31, 2025 were approximately $305.5 million, a decrease of $12.9 million or 4.1% compared to net sales for the year ended December 31, 2024. The net sales variance reflects a decrease in sales volume attributed to non-recurring customer promotional activity in the prior year as well as the impact of consumer discretionary spend on the home fragrance product line while these declines were partially offset by an increase in the Sterno product lines.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pPr>
      <w:r>
        <w:rPr>
          <w:rFonts w:ascii="Arial;sans-serif" w:hAnsi="Arial;sans-serif"/>
          <w:b w:val="false"/>
          <w:color w:val="000000"/>
          <w:sz w:val="20"/>
        </w:rPr>
        <w:t xml:space="preserve">Gross profit was $91.3 million for the year ended December 31, 2025 as compared to $85.2 million for the same period in 2024. </w:t>
      </w:r>
      <w:r>
        <w:rPr>
          <w:rFonts w:ascii="Arial;sans-serif" w:hAnsi="Arial;sans-serif"/>
          <w:b w:val="false"/>
          <w:color w:val="000000"/>
          <w:sz w:val="20"/>
          <w:shd w:fill="FFFFFF" w:val="clear"/>
        </w:rPr>
        <w:t>Gross profit as a percentage of net sales increased from 26.7% for the year ended December 31, 2024 to 29.9% for the year ended December 31, 2025. The increase in gross profit as a percentage of net revenue during 2025 as compared to 2024 was p</w:t>
      </w:r>
      <w:r>
        <w:rPr>
          <w:rFonts w:ascii="Arial;sans-serif" w:hAnsi="Arial;sans-serif"/>
          <w:b w:val="false"/>
          <w:color w:val="000000"/>
          <w:sz w:val="20"/>
        </w:rPr>
        <w:t>rimarily attribut</w:t>
      </w:r>
      <w:r>
        <w:rPr>
          <w:rFonts w:ascii="Arial;sans-serif" w:hAnsi="Arial;sans-serif"/>
          <w:b w:val="false"/>
          <w:color w:val="000000"/>
          <w:sz w:val="20"/>
          <w:shd w:fill="FFFFFF" w:val="clear"/>
        </w:rPr>
        <w:t xml:space="preserve">able </w:t>
      </w:r>
      <w:r>
        <w:rPr>
          <w:rFonts w:ascii="Arial;sans-serif" w:hAnsi="Arial;sans-serif"/>
          <w:b w:val="false"/>
          <w:color w:val="000000"/>
          <w:sz w:val="20"/>
        </w:rPr>
        <w:t xml:space="preserve">to operating efficiency improvements, reduced inbound container costs and favorable product mix.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 xml:space="preserve">Selling, general and administrative expense for the year ended December 31, 2025 was approximately $37.8 million as compared to $38.1 million in the year ended December 31, 2024, a decrease of $0.3 million or 0.9%, reflecting a decrease in overhead costs within the current year. </w:t>
      </w:r>
      <w:r>
        <w:rPr>
          <w:rFonts w:ascii="Arial;sans-serif" w:hAnsi="Arial;sans-serif"/>
          <w:b w:val="false"/>
          <w:color w:val="000000"/>
          <w:sz w:val="20"/>
          <w:shd w:fill="FFFFFF" w:val="clear"/>
        </w:rPr>
        <w:t>Selling, genera</w:t>
      </w:r>
      <w:r>
        <w:rPr>
          <w:rFonts w:ascii="Arial;sans-serif" w:hAnsi="Arial;sans-serif"/>
          <w:b w:val="false"/>
          <w:color w:val="000000"/>
          <w:sz w:val="20"/>
        </w:rPr>
        <w:t>l and administrative expense represented 12.4% of net sales for the year ended December 31, 2025 and 12.0%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8"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income for the year ended December 31, 2025 was approximately $42.6 million, an increase of $11.2 million when compared to the same period in 2024, based on the factors noted above.</w:t>
      </w:r>
    </w:p>
    <w:p>
      <w:pPr>
        <w:pStyle w:val="TextBody"/>
        <w:bidi w:val="0"/>
        <w:spacing w:lineRule="auto" w:line="288" w:before="300" w:after="283"/>
        <w:jc w:val="center"/>
        <w:rPr>
          <w:rFonts w:ascii="Arial;sans-serif" w:hAnsi="Arial;sans-serif"/>
          <w:b/>
          <w:i/>
          <w:color w:val="000000"/>
          <w:sz w:val="20"/>
        </w:rPr>
      </w:pPr>
      <w:r>
        <w:rPr>
          <w:rFonts w:ascii="Arial;sans-serif" w:hAnsi="Arial;sans-serif"/>
          <w:b/>
          <w:i/>
          <w:color w:val="000000"/>
          <w:sz w:val="20"/>
        </w:rPr>
        <w:t>Year ended December 31, 2024 compared to the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Net sales</w:t>
      </w:r>
    </w:p>
    <w:p>
      <w:pPr>
        <w:pStyle w:val="TextBody"/>
        <w:bidi w:val="0"/>
        <w:spacing w:lineRule="auto" w:line="288" w:before="120" w:after="283"/>
        <w:jc w:val="both"/>
        <w:rPr/>
      </w:pPr>
      <w:r>
        <w:rPr>
          <w:rFonts w:ascii="Arial;sans-serif" w:hAnsi="Arial;sans-serif"/>
          <w:b w:val="false"/>
          <w:color w:val="000000"/>
          <w:sz w:val="20"/>
        </w:rPr>
        <w:t xml:space="preserve">Net sales for the year ended December 31, 2024 were approximately $318.4 million, a decrease of $5.4 million or 1.7% compared to net sales for the year ended December 31, 2023. </w:t>
      </w:r>
      <w:r>
        <w:rPr>
          <w:rFonts w:ascii="Arial;sans-serif" w:hAnsi="Arial;sans-serif"/>
          <w:b w:val="false"/>
          <w:color w:val="000000"/>
          <w:sz w:val="20"/>
          <w:shd w:fill="FFFFFF" w:val="clear"/>
        </w:rPr>
        <w:t xml:space="preserve">The net sales variance reflects lower sales due to increased competition in the market as well as changes in consumer discretionary buying behaviors at Rimports as a result of inflationary pressures.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Gross profit</w:t>
      </w:r>
    </w:p>
    <w:p>
      <w:pPr>
        <w:pStyle w:val="TextBody"/>
        <w:bidi w:val="0"/>
        <w:spacing w:lineRule="auto" w:line="288" w:before="120" w:after="283"/>
        <w:jc w:val="both"/>
        <w:rPr/>
      </w:pPr>
      <w:r>
        <w:rPr>
          <w:rFonts w:ascii="Arial;sans-serif" w:hAnsi="Arial;sans-serif"/>
          <w:b w:val="false"/>
          <w:color w:val="000000"/>
          <w:sz w:val="20"/>
        </w:rPr>
        <w:t xml:space="preserve">Gross profit was $85.2 million for the year ended December 31, 2024 as compared to $78.5 million for the same period in 2023. </w:t>
      </w:r>
      <w:r>
        <w:rPr>
          <w:rFonts w:ascii="Arial;sans-serif" w:hAnsi="Arial;sans-serif"/>
          <w:b w:val="false"/>
          <w:color w:val="000000"/>
          <w:sz w:val="20"/>
          <w:shd w:fill="FFFFFF" w:val="clear"/>
        </w:rPr>
        <w:t>Gross profit as a percentage of net sales increased from 24.2% for the year ended December 31, 2023 to 26.7% for the year ended December 31, 2024. The increase in gross profit as a percentage of net revenue during 2024 as compared to 2023 was p</w:t>
      </w:r>
      <w:r>
        <w:rPr>
          <w:rFonts w:ascii="Arial;sans-serif" w:hAnsi="Arial;sans-serif"/>
          <w:b w:val="false"/>
          <w:color w:val="000000"/>
          <w:sz w:val="20"/>
        </w:rPr>
        <w:t>rimarily attribut</w:t>
      </w:r>
      <w:r>
        <w:rPr>
          <w:rFonts w:ascii="Arial;sans-serif" w:hAnsi="Arial;sans-serif"/>
          <w:b w:val="false"/>
          <w:color w:val="000000"/>
          <w:sz w:val="20"/>
          <w:shd w:fill="FFFFFF" w:val="clear"/>
        </w:rPr>
        <w:t>able</w:t>
      </w:r>
      <w:r>
        <w:rPr>
          <w:color w:val="000000"/>
          <w:shd w:fill="FFFFFF" w:val="clear"/>
        </w:rPr>
        <w:t xml:space="preserve"> </w:t>
      </w:r>
      <w:r>
        <w:rPr>
          <w:rFonts w:ascii="Arial;sans-serif" w:hAnsi="Arial;sans-serif"/>
          <w:b w:val="false"/>
          <w:color w:val="000000"/>
          <w:sz w:val="20"/>
        </w:rPr>
        <w:t>to favorable direct materials, labor and freight costs across both divisions of Sterno.</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Selling, general and administrative expense</w:t>
      </w:r>
    </w:p>
    <w:p>
      <w:pPr>
        <w:pStyle w:val="TextBody"/>
        <w:bidi w:val="0"/>
        <w:spacing w:lineRule="auto" w:line="288" w:before="120" w:after="283"/>
        <w:jc w:val="both"/>
        <w:rPr/>
      </w:pPr>
      <w:r>
        <w:rPr>
          <w:rFonts w:ascii="Arial;sans-serif" w:hAnsi="Arial;sans-serif"/>
          <w:b w:val="false"/>
          <w:color w:val="000000"/>
          <w:sz w:val="20"/>
        </w:rPr>
        <w:t xml:space="preserve">Selling, general and administrative expense for the year ended December 31, 2024 was approximately $38.1 million as compared to $36.7 million in the year ended December 31, 2023, an increase of $1.4 million or 3.8%, reflecting an increase in sales and marketing related salaries and promotional activity for both divisions of Sterno in the current year. </w:t>
      </w:r>
      <w:r>
        <w:rPr>
          <w:rFonts w:ascii="Arial;sans-serif" w:hAnsi="Arial;sans-serif"/>
          <w:b w:val="false"/>
          <w:color w:val="000000"/>
          <w:sz w:val="20"/>
          <w:shd w:fill="FFFFFF" w:val="clear"/>
        </w:rPr>
        <w:t>Selling, genera</w:t>
      </w:r>
      <w:r>
        <w:rPr>
          <w:rFonts w:ascii="Arial;sans-serif" w:hAnsi="Arial;sans-serif"/>
          <w:b w:val="false"/>
          <w:color w:val="000000"/>
          <w:sz w:val="20"/>
        </w:rPr>
        <w:t>l and administrative expense represented 12.0% of net sales for the year ended December 31, 2024 and 11.3% for the year ended December 31, 2023.</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Segment 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Segment operating income for the year ended December 31, 2024 was approximately $31.4 million, an increase of $6.6 million when compared to the same period in 2023, based on the factors noted above.</w:t>
      </w:r>
    </w:p>
    <w:p>
      <w:pPr>
        <w:pStyle w:val="TextBody"/>
        <w:bidi w:val="0"/>
        <w:spacing w:before="12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9"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shd w:fill="FFFFFF" w:val="clear"/>
        </w:rPr>
      </w:pPr>
      <w:r>
        <w:rPr>
          <w:rFonts w:ascii="Arial;sans-serif" w:hAnsi="Arial;sans-serif"/>
          <w:b/>
          <w:color w:val="000000"/>
          <w:sz w:val="22"/>
          <w:shd w:fill="FFFFFF" w:val="clear"/>
        </w:rPr>
        <w:t>Liquidity and Capital Resources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generate cash primarily from the operations of our subsidiaries, and we have the ability to borrow under our 2022 Credit Facility to fund our operating, investing and financing activities. Our principal uses of cash are operating expenses, payment of management fees, capital expenditures, working capital needs, debt service, dividends on the common and preferred shares of the Trust, and strategic growth initiatives, including acquisitions. In connection with the Lugano Investigation, we have incurred unanticipated accounting, financing, and legal costs related to the restatement of our financial statements, including costs arising from related litigation and our entry into the Forbearance Agreements under our Credit Agreement and senior note indentures due to potential defaults or events of default. We expect to continue to incur additional costs associated with our financing arrangements, ongoing securities litigation, governmental investigations, derivative and fiduciary claims, and efforts to remediate and strengthen internal controls resulting from the Lugano Investigation and the restatement of our previously issued financial statements.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January 9, 2025, the LLC entered into a First Incremental Facility Amendment to its existing Credit Agreement. The Amendment modified the LLC’s Credit Agreement, to provide for (a) an additional advance of the 2022 Term Loan in the aggregate amount of $200 million on the date of the Amendment, and (b) delayed draw term loan commitments in the aggregate amount of $100 million which was able to be reduced or terminated by the LLC upon five business days’ notice and pursuant to which the Company may make no more than two draws by July 9, 2025. The proceeds from the Incremental Term Loan and the Incremental Delayed Draw Term Loan Commitments were to be used for new acquisitions, working capital, capital expenditures and other general corporate purposes. The Company did not utilize the delayed draw feature and it was terminated on May 22,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LLC entered into several forbearance agreements and amendments to its existing Credit Agreement between May 22, 2025 and November 7, 2025.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December 19, 2025, the LLC entered into the Fifth Amendment and the Transaction Letter, each with the Administrative Agent and the required Lenders. Pursuant to the Fifth Amendment, among other things, (i) the Lenders waived certain events of default that had occurred and were continuing prior to the Fifth Amendment, which included the Lugano-related events, (ii) the aggregate revolving commitments under the Credit Agreement returned to $100,000,000, (iii) SOFR loans will bear interest at a rate per annum equal to the Term SOFR, plus a margin ranging from 1.50% to 3.25% based on the Consolidated Total Leverage Ratio (as defined in the Credit Agreement), and base rate loans will bear interest at a rate per annum equal to the base rate, plus a margin ranging from 0.50% to 2.25% based on the Consolidated Total Leverage Ratio, (iv) the Company is required to repay 100% of the net cash proceeds received in respect of any Disposition (as defined in the Credit Agreement) or Deleveraging Transaction (as defined in the Transaction Letter), and (v) the Company is restricted from paying its Manager management fees exceeding $15,000,000 in any fiscal quarter.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Pursuant to the Transaction Letter, among other things, if the Consolidated Total Leverage Ratio of the Company is not less than 4.50:1.00 as of the last day of the fiscal quarters ending June 30, 2026, September 30, 2026, December 31, 2026 and March 31, 2027, respectively, the Company is required to pay to the Administrative Agent, for the ratable benefit of the Lenders, the milestone fees in the amount of $5,000,000, $6,500,000, $8,000,000 and $9,500,000, respectively, subject to certain conditions.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December 31, 2025, we had $1,029 million of indebtedness associated with our 5.250% 2029 Notes, $309 million of indebtedness associated with our 5.000% 2032 Notes, $553 million outstanding on our 2022 Term Loan, and no amount outstanding on our 2022 Revolving Credit Facility. Only our 2022 Term Loan has required principal payments. Long-term debt liquidity requirements consist of the payment in full of our Notes upon their respective maturity dates, amounts outstanding under our 2022 Revolving Credit Facility, if any, upon its maturity date, and principal payments under our 2022 Term Loan. On December 31, 2025, approximately 29.2% of our outstanding debt was subject to interest rate changes. </w:t>
      </w:r>
    </w:p>
    <w:p>
      <w:pPr>
        <w:pStyle w:val="TextBody"/>
        <w:bidi w:val="0"/>
        <w:spacing w:lineRule="auto" w:line="288" w:before="180" w:after="283"/>
        <w:jc w:val="both"/>
        <w:rPr/>
      </w:pPr>
      <w:r>
        <w:rPr>
          <w:rFonts w:ascii="Arial;sans-serif" w:hAnsi="Arial;sans-serif"/>
          <w:b w:val="false"/>
          <w:color w:val="000000"/>
          <w:sz w:val="20"/>
        </w:rPr>
        <w:t xml:space="preserve">We had total available cash and cash equivalents of $68.0 million and $59.7 million as of December 31, 2025 and 2024, respectively. </w:t>
      </w:r>
      <w:r>
        <w:rPr>
          <w:rFonts w:ascii="Arial;sans-serif" w:hAnsi="Arial;sans-serif"/>
          <w:b w:val="false"/>
          <w:color w:val="000000"/>
          <w:sz w:val="20"/>
          <w:shd w:fill="FFFFFF" w:val="clear"/>
        </w:rPr>
        <w:t xml:space="preserve">The majority of our cash is in non-interest bearing checking accounts or invested in short-term money market accounts and is maintained in accordance with the Company’s investment policy, which identifies allowable investments and specifies credit quality standards. Net availability under the 2022 Revolving Credit Facility after giving effect to the Fifth Amendment at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 xml:space="preserve">was </w:t>
      </w:r>
      <w:r>
        <w:rPr>
          <w:rFonts w:ascii="Arial;sans-serif" w:hAnsi="Arial;sans-serif"/>
          <w:b w:val="false"/>
          <w:color w:val="000000"/>
          <w:sz w:val="20"/>
        </w:rPr>
        <w:t>$96.8 million</w:t>
      </w:r>
      <w:r>
        <w:rPr>
          <w:rFonts w:ascii="Arial;sans-serif" w:hAnsi="Arial;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100"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our cash activity for the years presented:</w:t>
      </w:r>
    </w:p>
    <w:tbl>
      <w:tblPr>
        <w:tblW w:w="8651" w:type="dxa"/>
        <w:jc w:val="center"/>
        <w:tblInd w:w="0" w:type="dxa"/>
        <w:tblLayout w:type="fixed"/>
        <w:tblCellMar>
          <w:top w:w="28" w:type="dxa"/>
          <w:left w:w="28" w:type="dxa"/>
          <w:bottom w:w="28" w:type="dxa"/>
          <w:right w:w="28" w:type="dxa"/>
        </w:tblCellMar>
      </w:tblPr>
      <w:tblGrid>
        <w:gridCol w:w="1647"/>
        <w:gridCol w:w="1445"/>
        <w:gridCol w:w="1452"/>
        <w:gridCol w:w="211"/>
        <w:gridCol w:w="721"/>
        <w:gridCol w:w="109"/>
        <w:gridCol w:w="109"/>
        <w:gridCol w:w="109"/>
        <w:gridCol w:w="109"/>
        <w:gridCol w:w="211"/>
        <w:gridCol w:w="901"/>
        <w:gridCol w:w="109"/>
        <w:gridCol w:w="109"/>
        <w:gridCol w:w="109"/>
        <w:gridCol w:w="109"/>
        <w:gridCol w:w="211"/>
        <w:gridCol w:w="82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(used in) provided by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Cash Flow from Operating Activities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2025</w:t>
      </w:r>
    </w:p>
    <w:p>
      <w:pPr>
        <w:pStyle w:val="TextBody"/>
        <w:bidi w:val="0"/>
        <w:spacing w:lineRule="auto" w:line="288" w:before="120" w:after="283"/>
        <w:jc w:val="both"/>
        <w:rPr/>
      </w:pPr>
      <w:r>
        <w:rPr>
          <w:rFonts w:ascii="Arial;sans-serif" w:hAnsi="Arial;sans-serif"/>
          <w:b w:val="false"/>
          <w:color w:val="000000"/>
          <w:sz w:val="20"/>
        </w:rPr>
        <w:t xml:space="preserve">Cash flows used in operating activities totaled approximately $6.8 million for the year ended December 31, 2025, which represents an increase in the use of cash in operating activities of $144.3 million compared to cash flow used in operating activities of $151.1 million for the year </w:t>
      </w:r>
      <w:r>
        <w:rPr>
          <w:rFonts w:ascii="Arial;sans-serif" w:hAnsi="Arial;sans-serif"/>
          <w:b w:val="false"/>
          <w:color w:val="000000"/>
          <w:sz w:val="20"/>
          <w:shd w:fill="FFFFFF" w:val="clear"/>
        </w:rPr>
        <w:t xml:space="preserve">ended December 31, 2024. Cash used in operating activities related to working capital for the year ended December 31, 2025 was $54.1 million compared to cash used in operating activities for working capital of $7.6 million in 2024. </w:t>
      </w:r>
      <w:r>
        <w:rPr>
          <w:rFonts w:ascii="Arial;sans-serif" w:hAnsi="Arial;sans-serif"/>
          <w:b w:val="false"/>
          <w:color w:val="000000"/>
          <w:sz w:val="20"/>
        </w:rPr>
        <w:t xml:space="preserve">The increase in working capital cash usage in 2025 was primarily attributable to the impact of the Lugano Investigation.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2024</w:t>
      </w:r>
    </w:p>
    <w:p>
      <w:pPr>
        <w:pStyle w:val="TextBody"/>
        <w:bidi w:val="0"/>
        <w:spacing w:lineRule="auto" w:line="288" w:before="120" w:after="283"/>
        <w:jc w:val="both"/>
        <w:rPr/>
      </w:pPr>
      <w:r>
        <w:rPr>
          <w:rFonts w:ascii="Arial;sans-serif" w:hAnsi="Arial;sans-serif"/>
          <w:b w:val="false"/>
          <w:color w:val="000000"/>
          <w:sz w:val="20"/>
        </w:rPr>
        <w:t xml:space="preserve">Cash flows used in operating activities totaled approximately </w:t>
      </w:r>
      <w:r>
        <w:rPr>
          <w:rFonts w:ascii="Arial;sans-serif" w:hAnsi="Arial;sans-serif"/>
          <w:b w:val="false"/>
          <w:color w:val="000000"/>
          <w:sz w:val="20"/>
          <w:shd w:fill="FFFFFF" w:val="clear"/>
        </w:rPr>
        <w:t>$151.1 million</w:t>
      </w:r>
      <w:r>
        <w:rPr>
          <w:color w:val="000000"/>
        </w:rPr>
        <w:t xml:space="preserve"> </w:t>
      </w:r>
      <w:r>
        <w:rPr>
          <w:rFonts w:ascii="Arial;sans-serif" w:hAnsi="Arial;sans-serif"/>
          <w:b w:val="false"/>
          <w:color w:val="000000"/>
          <w:sz w:val="20"/>
        </w:rPr>
        <w:t xml:space="preserve">for the year ended December 31, 2024, which represents an increase in cash use of </w:t>
      </w:r>
      <w:r>
        <w:rPr>
          <w:rFonts w:ascii="Arial;sans-serif" w:hAnsi="Arial;sans-serif"/>
          <w:b w:val="false"/>
          <w:color w:val="000000"/>
          <w:sz w:val="20"/>
          <w:shd w:fill="FFFFFF" w:val="clear"/>
        </w:rPr>
        <w:t>$167.7 million</w:t>
      </w:r>
      <w:r>
        <w:rPr>
          <w:color w:val="000000"/>
        </w:rPr>
        <w:t xml:space="preserve"> </w:t>
      </w:r>
      <w:r>
        <w:rPr>
          <w:rFonts w:ascii="Arial;sans-serif" w:hAnsi="Arial;sans-serif"/>
          <w:b w:val="false"/>
          <w:color w:val="000000"/>
          <w:sz w:val="20"/>
        </w:rPr>
        <w:t xml:space="preserve">compared to cash flow used in operating activities of </w:t>
      </w:r>
      <w:r>
        <w:rPr>
          <w:rFonts w:ascii="Arial;sans-serif" w:hAnsi="Arial;sans-serif"/>
          <w:b w:val="false"/>
          <w:color w:val="000000"/>
          <w:sz w:val="20"/>
          <w:shd w:fill="FFFFFF" w:val="clear"/>
        </w:rPr>
        <w:t>$16.6 million</w:t>
      </w:r>
      <w:r>
        <w:rPr>
          <w:color w:val="000000"/>
        </w:rPr>
        <w:t xml:space="preserve"> </w:t>
      </w:r>
      <w:r>
        <w:rPr>
          <w:rFonts w:ascii="Arial;sans-serif" w:hAnsi="Arial;sans-serif"/>
          <w:b w:val="false"/>
          <w:color w:val="000000"/>
          <w:sz w:val="20"/>
        </w:rPr>
        <w:t xml:space="preserve">for the year ended December 31, 2023. Cash used in operating activities related to working capital was </w:t>
      </w:r>
      <w:r>
        <w:rPr>
          <w:rFonts w:ascii="Arial;sans-serif" w:hAnsi="Arial;sans-serif"/>
          <w:b w:val="false"/>
          <w:color w:val="000000"/>
          <w:sz w:val="20"/>
          <w:shd w:fill="FFFFFF" w:val="clear"/>
        </w:rPr>
        <w:t>$7.6 million in 2024</w:t>
      </w:r>
      <w:r>
        <w:rPr>
          <w:rFonts w:ascii="Arial;sans-serif" w:hAnsi="Arial;sans-serif"/>
          <w:b w:val="false"/>
          <w:color w:val="000000"/>
          <w:sz w:val="20"/>
        </w:rPr>
        <w:t xml:space="preserve">, as compared to cash provided by operating activities for working capital of </w:t>
      </w:r>
      <w:r>
        <w:rPr>
          <w:rFonts w:ascii="Arial;sans-serif" w:hAnsi="Arial;sans-serif"/>
          <w:b w:val="false"/>
          <w:color w:val="000000"/>
          <w:sz w:val="20"/>
          <w:shd w:fill="FFFFFF" w:val="clear"/>
        </w:rPr>
        <w:t>$5.0 million</w:t>
      </w:r>
      <w:r>
        <w:rPr>
          <w:color w:val="000000"/>
        </w:rPr>
        <w:t xml:space="preserve"> </w:t>
      </w:r>
      <w:r>
        <w:rPr>
          <w:rFonts w:ascii="Arial;sans-serif" w:hAnsi="Arial;sans-serif"/>
          <w:b w:val="false"/>
          <w:color w:val="000000"/>
          <w:sz w:val="20"/>
        </w:rPr>
        <w:t>for the year ended December 31, 2023. The increase in the cash used in operating activities in 2024 was primarily attributable to the losses sustained</w:t>
      </w:r>
      <w:r>
        <w:rPr>
          <w:color w:val="000000"/>
          <w:shd w:fill="FFFFFF" w:val="clear"/>
        </w:rPr>
        <w:t xml:space="preserve"> </w:t>
      </w:r>
      <w:r>
        <w:rPr>
          <w:rFonts w:ascii="Arial;sans-serif" w:hAnsi="Arial;sans-serif"/>
          <w:b w:val="false"/>
          <w:color w:val="000000"/>
          <w:sz w:val="20"/>
          <w:shd w:fill="FFFFFF" w:val="clear"/>
        </w:rPr>
        <w:t xml:space="preserve">at our Lugano subsidiary. </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2023</w:t>
      </w:r>
    </w:p>
    <w:p>
      <w:pPr>
        <w:pStyle w:val="TextBody"/>
        <w:bidi w:val="0"/>
        <w:spacing w:lineRule="auto" w:line="288" w:before="120" w:after="283"/>
        <w:jc w:val="both"/>
        <w:rPr/>
      </w:pPr>
      <w:r>
        <w:rPr>
          <w:rFonts w:ascii="Arial;sans-serif" w:hAnsi="Arial;sans-serif"/>
          <w:b w:val="false"/>
          <w:color w:val="000000"/>
          <w:sz w:val="20"/>
        </w:rPr>
        <w:t xml:space="preserve">Cash flows provided by operating activities totaled approximately </w:t>
      </w:r>
      <w:r>
        <w:rPr>
          <w:rFonts w:ascii="Arial;sans-serif" w:hAnsi="Arial;sans-serif"/>
          <w:b w:val="false"/>
          <w:color w:val="000000"/>
          <w:sz w:val="20"/>
          <w:shd w:fill="FFFFFF" w:val="clear"/>
        </w:rPr>
        <w:t>$16.6 million</w:t>
      </w:r>
      <w:r>
        <w:rPr>
          <w:color w:val="000000"/>
        </w:rPr>
        <w:t xml:space="preserve"> </w:t>
      </w:r>
      <w:r>
        <w:rPr>
          <w:rFonts w:ascii="Arial;sans-serif" w:hAnsi="Arial;sans-serif"/>
          <w:b w:val="false"/>
          <w:color w:val="000000"/>
          <w:sz w:val="20"/>
        </w:rPr>
        <w:t xml:space="preserve">for the year ended December 31, 2023. Cash provided by operating activities for working capital for the year ended December 31, 2023 was </w:t>
      </w:r>
      <w:r>
        <w:rPr>
          <w:rFonts w:ascii="Arial;sans-serif" w:hAnsi="Arial;sans-serif"/>
          <w:b w:val="false"/>
          <w:color w:val="000000"/>
          <w:sz w:val="20"/>
          <w:shd w:fill="FFFFFF" w:val="clear"/>
        </w:rPr>
        <w:t>$5.0 million.</w:t>
      </w:r>
      <w:r>
        <w:rPr>
          <w:color w:val="000000"/>
        </w:rPr>
        <w:t xml:space="preserve"> </w:t>
      </w:r>
      <w:r>
        <w:rPr>
          <w:rFonts w:ascii="Arial;sans-serif" w:hAnsi="Arial;sans-serif"/>
          <w:b w:val="false"/>
          <w:color w:val="000000"/>
          <w:sz w:val="20"/>
        </w:rPr>
        <w:t>Cash provided by working capital in 2023 primarily reflects inventory management strategies as several of our businesses worked through higher inventory levels than normal during 2023.</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 from Investing Activities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2025</w:t>
      </w:r>
    </w:p>
    <w:p>
      <w:pPr>
        <w:pStyle w:val="TextBody"/>
        <w:bidi w:val="0"/>
        <w:spacing w:lineRule="auto" w:line="288" w:before="120" w:after="283"/>
        <w:jc w:val="both"/>
        <w:rPr/>
      </w:pPr>
      <w:r>
        <w:rPr>
          <w:rFonts w:ascii="Arial;sans-serif" w:hAnsi="Arial;sans-serif"/>
          <w:b w:val="false"/>
          <w:color w:val="000000"/>
          <w:sz w:val="20"/>
        </w:rPr>
        <w:t>Cash flows used in investing activities totaled approximately $42.6 million for the year ended December 31, 2025, compared to $422.5 million provided by investing activities during the year ended December 31, 2024. Investing activities in 2024 reflected our acquisition of The Honey Pot Co. in January 2024, and an add-on acquisition at our Altor business (total cash use of $517.9 million), offset by proceeds received from the sale of the Crosman division of Velocity Outdoor and our equity in Ergobaby (total proceeds of $74.7 million</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while investing activities in the current year are primarily capital expenditures. </w:t>
      </w:r>
    </w:p>
    <w:p>
      <w:pPr>
        <w:pStyle w:val="TextBody"/>
        <w:bidi w:val="0"/>
        <w:spacing w:lineRule="auto" w:line="288" w:before="180" w:after="283"/>
        <w:jc w:val="both"/>
        <w:rPr/>
      </w:pPr>
      <w:r>
        <w:rPr>
          <w:rFonts w:ascii="Arial;sans-serif" w:hAnsi="Arial;sans-serif"/>
          <w:b w:val="false"/>
          <w:color w:val="000000"/>
          <w:sz w:val="20"/>
        </w:rPr>
        <w:t>Our spending on capital expenditures decr</w:t>
      </w:r>
      <w:r>
        <w:rPr>
          <w:rFonts w:ascii="Arial;sans-serif" w:hAnsi="Arial;sans-serif"/>
          <w:b w:val="false"/>
          <w:color w:val="000000"/>
          <w:sz w:val="20"/>
          <w:shd w:fill="FFFFFF" w:val="clear"/>
        </w:rPr>
        <w:t>eased $12.4 million during</w:t>
      </w:r>
      <w:r>
        <w:rPr>
          <w:color w:val="000000"/>
        </w:rPr>
        <w:t xml:space="preserve"> </w:t>
      </w:r>
      <w:r>
        <w:rPr>
          <w:rFonts w:ascii="Arial;sans-serif" w:hAnsi="Arial;sans-serif"/>
          <w:b w:val="false"/>
          <w:color w:val="000000"/>
          <w:sz w:val="20"/>
        </w:rPr>
        <w:t>the year ended December 31, 2025 as compared to the year ended December 31, 2024, with $44.3 million in capital expenditures in 2025 and $56.7 million in capital expenditures in 2024. Capital expenditures in 2024 included significant investment at our Arnold business related to a facility move, and the opening of additional retail salons by our Lugano business. We expect capital expenditures for fiscal year 2026 to be ap</w:t>
      </w:r>
      <w:r>
        <w:rPr>
          <w:rFonts w:ascii="Arial;sans-serif" w:hAnsi="Arial;sans-serif"/>
          <w:b w:val="false"/>
          <w:color w:val="000000"/>
          <w:sz w:val="20"/>
          <w:shd w:fill="FFFFFF" w:val="clear"/>
        </w:rPr>
        <w:t xml:space="preserve">proximately $30 million to $40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101"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2024</w:t>
      </w:r>
    </w:p>
    <w:p>
      <w:pPr>
        <w:pStyle w:val="TextBody"/>
        <w:bidi w:val="0"/>
        <w:spacing w:lineRule="auto" w:line="288" w:before="120" w:after="283"/>
        <w:jc w:val="both"/>
        <w:rPr/>
      </w:pPr>
      <w:r>
        <w:rPr>
          <w:rFonts w:ascii="Arial;sans-serif" w:hAnsi="Arial;sans-serif"/>
          <w:b w:val="false"/>
          <w:color w:val="000000"/>
          <w:sz w:val="20"/>
        </w:rPr>
        <w:t xml:space="preserve">Cash flows used in investing activities totaled approximately $422.5 million for the year ended December 31, 2024, compared to $570.5 million provided by investing activities during the year ended December 31, 2023. Investing activities in 2024 reflects our acquisition of The Honey Pot Co. in January 2024, and an add-on acquisition at our Altor business (total cash use of $517.9 million, offset by proceeds received from the sale of the Crosman division of Velocity Outdoor and our equity in Ergobaby (total proceeds of </w:t>
      </w:r>
      <w:r>
        <w:rPr>
          <w:rFonts w:ascii="Arial;sans-serif" w:hAnsi="Arial;sans-serif"/>
          <w:b w:val="false"/>
          <w:color w:val="000000"/>
          <w:sz w:val="20"/>
          <w:shd w:fill="FFFFFF" w:val="clear"/>
        </w:rPr>
        <w:t xml:space="preserve">$74.7 million)). </w:t>
      </w:r>
      <w:r>
        <w:rPr>
          <w:rFonts w:ascii="Arial;sans-serif" w:hAnsi="Arial;sans-serif"/>
          <w:b w:val="false"/>
          <w:color w:val="000000"/>
          <w:sz w:val="20"/>
        </w:rPr>
        <w:t xml:space="preserve">Investing activities in the year ended December 31, 2023 reflect the proceeds received from our sale of Advanced Circuits in February 2023 and Marucci in November 2023 (total proceeds of $500.3 million). </w:t>
      </w:r>
    </w:p>
    <w:p>
      <w:pPr>
        <w:pStyle w:val="TextBody"/>
        <w:bidi w:val="0"/>
        <w:spacing w:lineRule="auto" w:line="288" w:before="180" w:after="283"/>
        <w:jc w:val="both"/>
        <w:rPr/>
      </w:pPr>
      <w:r>
        <w:rPr>
          <w:rFonts w:ascii="Arial;sans-serif" w:hAnsi="Arial;sans-serif"/>
          <w:b w:val="false"/>
          <w:color w:val="000000"/>
          <w:sz w:val="20"/>
        </w:rPr>
        <w:t>Our spending on capital expenditures incr</w:t>
      </w:r>
      <w:r>
        <w:rPr>
          <w:rFonts w:ascii="Arial;sans-serif" w:hAnsi="Arial;sans-serif"/>
          <w:b w:val="false"/>
          <w:color w:val="000000"/>
          <w:sz w:val="20"/>
          <w:shd w:fill="FFFFFF" w:val="clear"/>
        </w:rPr>
        <w:t>eased $1.7 million during</w:t>
      </w:r>
      <w:r>
        <w:rPr>
          <w:color w:val="000000"/>
        </w:rPr>
        <w:t xml:space="preserve"> </w:t>
      </w:r>
      <w:r>
        <w:rPr>
          <w:rFonts w:ascii="Arial;sans-serif" w:hAnsi="Arial;sans-serif"/>
          <w:b w:val="false"/>
          <w:color w:val="000000"/>
          <w:sz w:val="20"/>
        </w:rPr>
        <w:t xml:space="preserve">the year ended December 31, 2024 as compared to the year ended December 31, 2023, with $56.7 million in capital expenditures in 2024 and $55.0 million in capital expenditures in 2023. Capital expenditures in 2024 included significant investment at our Arnold business related to a facility move, and the opening of additional retail salons by our Lugano business.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2023</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Cash flows provided by investing activities totaled approximately $570.5 million for the year ended December 31, 2023. Investing activities in the year ended December 31, 2023 reflect the proceeds received from our sale of Advanced Circuits in February 2023 and Marucci in November 2023 (total proceeds of $500.3 million).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Our spending on capital expenditures during the year ended December 31, 2023 was $55.0 million.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Flow from Financing Activities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2025</w:t>
      </w:r>
    </w:p>
    <w:p>
      <w:pPr>
        <w:pStyle w:val="TextBody"/>
        <w:bidi w:val="0"/>
        <w:spacing w:lineRule="auto" w:line="288" w:before="120" w:after="283"/>
        <w:jc w:val="both"/>
        <w:rPr/>
      </w:pPr>
      <w:r>
        <w:rPr>
          <w:rFonts w:ascii="Arial;sans-serif" w:hAnsi="Arial;sans-serif"/>
          <w:b w:val="false"/>
          <w:color w:val="000000"/>
          <w:sz w:val="20"/>
        </w:rPr>
        <w:t>Cash flows provided by financing activities totaled approximately $55.1 million for the year ended December 31, 2025, as compared to cash flows provided by financing activities of $184.1 million for the year ended December 31, 2024. Financing activities in 2025 reflect $58.9 million in cash proceeds from Trust Preferred Shares issued under our at-the-market share equity programs while financing activities in the prior year reflects $114.9 million in proceeds from Trust Preferred Shares issued under our at-the-market share equity programs. In the current year, we added an additional $200 million in outstanding term loan, a portion of which was used to repay amounts outstanding under our 2022 Revolving Credit Facility. The total net borrowings under the 2022 Credit Facility in the year ended December 31, 2025 were $67.5 million, including the $200 million term loan draw. In the prior year comparable period, we had net borrowings under the 2022 Credit Facility of $100 million. The prior year cash provided by financing activities also reflects the amount of equity investment made by noncontrolling shareholders related to the acquisition of The Honey Pot Co. ($41.7 million).</w:t>
      </w:r>
      <w:r>
        <w:rPr>
          <w:color w:val="000000"/>
        </w:rPr>
        <w:t xml:space="preserve"> </w:t>
      </w:r>
      <w:r>
        <w:rPr>
          <w:rFonts w:ascii="Arial;sans-serif" w:hAnsi="Arial;sans-serif"/>
          <w:b w:val="false"/>
          <w:color w:val="000000"/>
          <w:sz w:val="20"/>
        </w:rPr>
        <w:t>Financing activities in both periods reflect the payment of our Preferred Share distributions, and prior period financing cash flows include the payment of the profit allocation from the sale of Marucci to the Allocation Interest Holders of $48.9 million. Financing Activities also reflect payment of the Company's common share distribution of $37.6 million in the year ended December 31, 2025 and</w:t>
      </w:r>
      <w:r>
        <w:rPr>
          <w:color w:val="000000"/>
        </w:rPr>
        <w:t xml:space="preserve"> </w:t>
      </w:r>
      <w:r>
        <w:rPr>
          <w:rFonts w:ascii="Arial;sans-serif" w:hAnsi="Arial;sans-serif"/>
          <w:b w:val="false"/>
          <w:color w:val="000000"/>
          <w:sz w:val="20"/>
        </w:rPr>
        <w:t xml:space="preserve">$56.6 million in the year ended December 31, 2024. In the current year, the Company suspended common share distributions in May, therefore no common distribution was made subsequent to May 2025.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Lugano business entered into various financing arrangements with third parties that resulted in debt being recorded. In 2025, the cash flows provided by these financing arrangements totaled $18.6 million.</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flows provided by financing activities totaled approximately $184.1 million for the year ended December 31, 2024 as compared to cash used in financing activities of $198.7 million for the year ended December 31, 2023. Financing activities in 2024 reflects $122.6 million in proceeds from the Trust common and preferred shares issued under our at-the-market share equity programs, and net borrowings on our 2022 Credit Facility of $100 million. Financing activities in 2024 reflect the payment of our common and Preferred Share distributions, and a distribution to our Allocation Interest Holders of $48.9 million related to the November 2023 sale of Marucci. Financing activities in 2024 also reflected $9.6 million in purchases under our share repurchase program. Financing activities in 2023 reflects $9.3 million in purchases under our share repurchase program, and $74.3 million in proceeds from a private placement completed in the fourth quarter. Additionally, financing activities in 2023 reflects cash paid to noncontrolling shareholders related to our recapitalization of BOA in December 2023 ($11.7 million in distributions to noncontrolling shareholders at BOA).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2"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Lugano business entered into various financing arrangements with third parties that resulted in debt being recorded. In 2024, the cash flows provided by these financing arrangements totaled $83.5 million.</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2023</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flows used in financing activities totaled approximately $198.7 million for the year ended December 31, 2023. In 2023, we used the proceeds from the sale of our Marucci business to repay the amount outstanding on our 2022 Revolving Credit Facility ($155 million in net outflows). Financing activities in 2023 reflects $9.3 million in purchases under our share repurchase program, and $74.3 million in proceeds from a private placement completed in the fourth quarter. Financing activities in 2023 also reflect the payment of our common and Preferred Share distributions, and a distribution to our Allocation Interest Holders of $26.5 million related to our sale of ACI. Additionally, financing activities in 2023 reflects cash paid to noncontrolling shareholders related to our recapitalization of BOA in December 2023 ($11.7 million in distributions to noncontrolling shareholders at BOA).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Lugano business entered into various financing arrangements with third parties that resulted in debt being recorded. In 2023, the cash flows provided by these financing arrangements totaled $61.4 million.</w:t>
      </w:r>
    </w:p>
    <w:p>
      <w:pPr>
        <w:pStyle w:val="TextBody"/>
        <w:bidi w:val="0"/>
        <w:spacing w:lineRule="auto" w:line="288" w:before="300" w:after="283"/>
        <w:jc w:val="both"/>
        <w:rPr>
          <w:rFonts w:ascii="Arial;sans-serif" w:hAnsi="Arial;sans-serif"/>
          <w:b w:val="false"/>
          <w:i/>
          <w:color w:val="000000"/>
          <w:sz w:val="20"/>
          <w:u w:val="single"/>
        </w:rPr>
      </w:pPr>
      <w:r>
        <w:rPr>
          <w:rFonts w:ascii="Arial;sans-serif" w:hAnsi="Arial;sans-serif"/>
          <w:b w:val="false"/>
          <w:i/>
          <w:color w:val="000000"/>
          <w:sz w:val="20"/>
          <w:u w:val="single"/>
        </w:rPr>
        <w:t>Total Liabilities and Intercompany loans to our businesses</w:t>
      </w:r>
    </w:p>
    <w:p>
      <w:pPr>
        <w:pStyle w:val="TextBody"/>
        <w:bidi w:val="0"/>
        <w:spacing w:lineRule="auto" w:line="288" w:before="180" w:after="60"/>
        <w:jc w:val="center"/>
        <w:rPr>
          <w:rFonts w:ascii="Arial;sans-serif" w:hAnsi="Arial;sans-serif"/>
          <w:b w:val="false"/>
          <w:color w:val="000000"/>
          <w:sz w:val="20"/>
        </w:rPr>
      </w:pPr>
      <w:r>
        <w:rPr>
          <w:rFonts w:ascii="Arial;sans-serif" w:hAnsi="Arial;sans-serif"/>
          <w:b w:val="false"/>
          <w:color w:val="000000"/>
          <w:sz w:val="20"/>
        </w:rPr>
        <w:t>The following table summarizes the total liabilities and intercompany debt of our business as of December 31, 2025:</w:t>
      </w:r>
    </w:p>
    <w:tbl>
      <w:tblPr>
        <w:tblW w:w="6096" w:type="dxa"/>
        <w:jc w:val="center"/>
        <w:tblInd w:w="0" w:type="dxa"/>
        <w:tblLayout w:type="fixed"/>
        <w:tblCellMar>
          <w:top w:w="28" w:type="dxa"/>
          <w:left w:w="28" w:type="dxa"/>
          <w:bottom w:w="28" w:type="dxa"/>
          <w:right w:w="28" w:type="dxa"/>
        </w:tblCellMar>
      </w:tblPr>
      <w:tblGrid>
        <w:gridCol w:w="846"/>
        <w:gridCol w:w="745"/>
        <w:gridCol w:w="748"/>
        <w:gridCol w:w="109"/>
        <w:gridCol w:w="109"/>
        <w:gridCol w:w="109"/>
        <w:gridCol w:w="320"/>
        <w:gridCol w:w="1253"/>
        <w:gridCol w:w="166"/>
        <w:gridCol w:w="109"/>
        <w:gridCol w:w="109"/>
        <w:gridCol w:w="109"/>
        <w:gridCol w:w="214"/>
        <w:gridCol w:w="994"/>
        <w:gridCol w:w="156"/>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Intercompany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 Liabilities</w:t>
            </w:r>
          </w:p>
        </w:tc>
      </w:tr>
      <w:tr>
        <w:trPr/>
        <w:tc>
          <w:tcPr>
            <w:tcW w:w="2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141,474 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297,852 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PrimaLoft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Honey Pot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Velocity Outdoor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Altor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166,907 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Arnold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Sterno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847,870 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1,348,302 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(847,870)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1,117,219 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2,465,521 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Each loan has a scheduled maturity and each business is entitled to repay all or a portion of the principal amount of the outstanding loans, without penalty, prior to maturity. 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principle on these intercompany loans.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revolving credit facility, and serves the purpose of optimizing the capital structure at our subsidiaries and providing the noncontrolling shareholders with a distribution on their ownership interest in a cash flow positive business.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will from time to time, amend the intercompany credit agreements to reflect changes in the business or funding needs of our businesses. The following amendments have been made in the time period indicated:</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At September 30, 2025, Arnold was not in compliance with the fixed charge coverage ratio and leverage ratio covenants contained within its intercompany credit agreement. In the fourth quarter of 2025, we amended the Arnold credit agreement to increase the amount of availability under the revolving credit facility and to waive the covenant violations that existed as of September 30, 2025. Arnold was not in compliance with the fixed charge coverage ratio and leverage ratio covenants contained within its intercompany credit agreement at December 31, 2025 and was granted a waiver for the covenant violation.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3"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first quarter of 2025, we amended the Velocity intercompany credit agreement to amend the applicable fixed charge coverage ratio covenant and the applicable Total Debt to EBITDA ratio covenant. Velocity was not in compliance with the fixed charge coverage ratio or leverage ratio in their intercompany credit agreement at September 30, 2025 or December 31, 2025 and was granted a waiver for the covenant violations in each period.</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first quarter of 2024, we amended the PrimaLoft intercompany credit agreement to amend the fixed charge ratio and leverage ratio covenants contained within its intercompany credit agreement.</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the second quarter of 2024, we amended the Velocity intercompany credit agreement to reflect the sale of the Crosman division. The amendment revises the principal payments due under the credit facility and waives the fixed charge coverage covenant for the quarters ended June 30, 2024 and September 30, 2024. </w:t>
      </w:r>
    </w:p>
    <w:p>
      <w:pPr>
        <w:pStyle w:val="TextBody"/>
        <w:bidi w:val="0"/>
        <w:spacing w:lineRule="auto" w:line="288" w:before="180" w:after="283"/>
        <w:jc w:val="both"/>
        <w:rPr/>
      </w:pPr>
      <w:r>
        <w:rPr>
          <w:rFonts w:ascii="Arial;sans-serif" w:hAnsi="Arial;sans-serif"/>
          <w:b w:val="false"/>
          <w:color w:val="000000"/>
          <w:sz w:val="20"/>
          <w:shd w:fill="FFFFFF" w:val="clear"/>
        </w:rPr>
        <w:t xml:space="preserve">In the third quarter of 2024, we amended the Arnold intercompany credit agreement to increase the amount of the term loan outstanding under the credit agreement. Arnold was in the process of relocating two of their product divisions to a new facility at the time of the amendment. </w:t>
      </w:r>
      <w:r>
        <w:rPr>
          <w:rFonts w:ascii="Arial;sans-serif" w:hAnsi="Arial;sans-serif"/>
          <w:b w:val="false"/>
          <w:color w:val="000000"/>
          <w:sz w:val="20"/>
        </w:rPr>
        <w:t>Arnold incurred total expense of approximately $13.0 million in the year ended December 31, 20</w:t>
      </w:r>
      <w:r>
        <w:rPr>
          <w:rFonts w:ascii="Arial;sans-serif" w:hAnsi="Arial;sans-serif"/>
          <w:b w:val="false"/>
          <w:color w:val="000000"/>
          <w:sz w:val="20"/>
          <w:shd w:fill="FFFFFF" w:val="clear"/>
        </w:rPr>
        <w:t xml:space="preserve">24, and an additional $0.9 million in costs in the first quarter of 2025 related to the relocation of the two facilities. Arnold exceeded the capital expenditure spend that was permitted under the amendment and was granted a waiver at December 31, 2024, March 31, 2025 and June 30, 2025.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the fourth quarter of 2024, we amended the Altor intercompany credit agreement to increase the amount of the term loan to finance the acquisition of Lifoam on October 1, 2024, and extended the term of the intercompany credit agreement by an additional three years.</w:t>
      </w:r>
    </w:p>
    <w:p>
      <w:pPr>
        <w:pStyle w:val="TextBody"/>
        <w:bidi w:val="0"/>
        <w:spacing w:lineRule="auto" w:line="288" w:before="180" w:after="283"/>
        <w:jc w:val="both"/>
        <w:rPr/>
      </w:pPr>
      <w:r>
        <w:rPr>
          <w:rFonts w:ascii="Arial;sans-serif" w:hAnsi="Arial;sans-serif"/>
          <w:b w:val="false"/>
          <w:color w:val="000000"/>
          <w:sz w:val="20"/>
        </w:rPr>
        <w:t>In the second quarter of 2023, we amended the Velocity intercompany credit agreement to extend the term of the facility and to increase the borrowing availability under the fa</w:t>
      </w:r>
      <w:r>
        <w:rPr>
          <w:rFonts w:ascii="Arial;sans-serif" w:hAnsi="Arial;sans-serif"/>
          <w:b w:val="false"/>
          <w:color w:val="000000"/>
          <w:sz w:val="20"/>
          <w:shd w:fill="FFFFFF" w:val="clear"/>
        </w:rPr>
        <w:t xml:space="preserve">cility.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December 2023, we completed a recapitalization at BOA whereby the LLC entered into an amendment to the intercompany loan agreement with BOA (the "BOA Credit Agreement"). The BOA Credit Agreement was amended to provide for additional term loan borrowings of $165.9 million to fund a distribution to shareholders. The LLC received a distribution of $131.0 million related to their ownership of the outstanding shares of BOA on the date of the distribution. Noncontrolling shareholders received a distribution of $11.7 million, and the remaining amount of the recapitalization was used to repurchase employee stock options and to pay a bonus to employees who held phantom stock options and were not eligible to participate in the distribution to noncontrolling shareholders. BOA recorded compensation expense of $3.1 million related to the bonus paid to employees as part of the recapitalization.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had made several amendments to the Lugano intercompany credit agreement prior to May 2025 to allow Lugano to continue to expand its operations and build inventory to support its salon expansion. Amendments were made to the Lugano intercompany credit agreement in the first quarter of 2025, the first, second, third and fourth quarter of 2024 and the second, third and fourth quarter of 2023. At the time of its bankruptcy filing in November 2025, the total amount of outstanding intercompany debt at Lugano was $680.6 million.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All of our subsidiaries were in compliance with the financial covenants included within their intercompany credit arrangements at December 31, 2025 except Velocity and Arnold. Velocity was issued a waiver for the fourth quarter of 2025 related to the fixed charge coverage ratio and leverage ratio in their intercompany credit agreement. Arnold received a waiver for the fourth quarter of 2025 related to the fixed charge ratio and leverage ratio in their intercompany credit agreement. </w:t>
      </w:r>
    </w:p>
    <w:p>
      <w:pPr>
        <w:pStyle w:val="TextBody"/>
        <w:bidi w:val="0"/>
        <w:spacing w:lineRule="auto" w:line="288" w:before="180" w:after="283"/>
        <w:jc w:val="both"/>
        <w:rPr/>
      </w:pPr>
      <w:r>
        <w:rPr>
          <w:rFonts w:ascii="Arial;sans-serif" w:hAnsi="Arial;sans-serif"/>
          <w:b w:val="false"/>
          <w:color w:val="000000"/>
          <w:sz w:val="20"/>
        </w:rPr>
        <w:t>Our primary source of cash is from the receipt of interest and principal on our outstanding loans to our businesses. Accordingly, we are dependent upon the earnings and cash flow of these businesses, which are available for (i) operating expen</w:t>
      </w:r>
      <w:r>
        <w:rPr>
          <w:rFonts w:ascii="Arial;sans-serif" w:hAnsi="Arial;sans-serif"/>
          <w:b w:val="false"/>
          <w:color w:val="000000"/>
          <w:sz w:val="20"/>
          <w:shd w:fill="FFFFFF" w:val="clear"/>
        </w:rPr>
        <w:t>ses; (ii) payment of interest and principal on our outstanding debt; (iii) payments to CGM and Sostratus due or potentially due pursuant to the MSA and the LLC Agreement; (iv) cash distributio</w:t>
      </w:r>
      <w:r>
        <w:rPr>
          <w:rFonts w:ascii="Arial;sans-serif" w:hAnsi="Arial;sans-serif"/>
          <w:b w:val="false"/>
          <w:color w:val="000000"/>
          <w:sz w:val="20"/>
        </w:rPr>
        <w:t>ns to our shareholders; and (v) pursuing future acquisitions. Payments made under (i) through (iii) above are required to be paid before distributions to shareholders and may be significant and exceed the funds held by us, which may require us to dispose of assets or incur debt to fund such expenditures. Each of our subsidiaries has various non-cancelable commitments in the ordinary course of business, including operating lease payments, and purchase obligations which include payments for materials and payments under employment agreements. On a consolidated basis at December 31, 2025, we had future lease obligations of $217.7 million and purchase obligations of $74.9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4"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believe that we currently have sufficient liquidity and capital resources to meet our existing obligations, over the next twelve months and thereafter.</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Financing Arrangements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Debt and Capital Structure</w:t>
      </w:r>
    </w:p>
    <w:p>
      <w:pPr>
        <w:pStyle w:val="TextBody"/>
        <w:bidi w:val="0"/>
        <w:spacing w:lineRule="auto" w:line="288" w:before="120" w:after="283"/>
        <w:jc w:val="both"/>
        <w:rPr/>
      </w:pPr>
      <w:r>
        <w:rPr>
          <w:rFonts w:ascii="Arial;sans-serif" w:hAnsi="Arial;sans-serif"/>
          <w:b w:val="false"/>
          <w:color w:val="000000"/>
          <w:sz w:val="20"/>
        </w:rPr>
        <w:t>Our capital structure includes (i) the 2022 Credit Facility, which includes the 2022 Revolving Credit Facility and the 2022 Term Loan maturing in 2027, and (ii) the 2029 Notes and 2032 Notes. In 2025, in connection with the Lugano matters and related events of default, we entered into a series of Forbearance Agreements and amendments under the 2022 Credit Facility, which were superseded by the Fifth Amendment and related transaction letter dated December 19, 2025, which among other things set the revolving commitments at $100.0 million, revised certain covenant and reporting requirements, and imposed other limitations and requirements intended to preserve liquidity. We also entered into the Indenture Forbearance Agreement with certain holders of the Notes and effected PIK Payments through supplemental indentures, and we recognized $38.2 million of paid-in-kind interest related to these arrangements. See “</w:t>
      </w:r>
      <w:hyperlink w:anchor="i1c8fbf41abdb4a90b1f02abaa0b14bbd_289">
        <w:r>
          <w:rPr>
            <w:rStyle w:val="InternetLink"/>
          </w:rPr>
          <w:t>Note I</w:t>
        </w:r>
      </w:hyperlink>
      <w:hyperlink w:anchor="i1c8fbf41abdb4a90b1f02abaa0b14bbd_289">
        <w:r>
          <w:rPr>
            <w:rStyle w:val="InternetLink"/>
          </w:rPr>
          <w:t xml:space="preserve"> </w:t>
        </w:r>
      </w:hyperlink>
      <w:hyperlink w:anchor="i1c8fbf41abdb4a90b1f02abaa0b14bbd_289">
        <w:r>
          <w:rPr>
            <w:rStyle w:val="InternetLink"/>
          </w:rPr>
          <w:t>—</w:t>
        </w:r>
      </w:hyperlink>
      <w:hyperlink w:anchor="i1c8fbf41abdb4a90b1f02abaa0b14bbd_289">
        <w:r>
          <w:rPr>
            <w:rStyle w:val="InternetLink"/>
          </w:rPr>
          <w:t xml:space="preserve"> </w:t>
        </w:r>
      </w:hyperlink>
      <w:hyperlink w:anchor="i1c8fbf41abdb4a90b1f02abaa0b14bbd_289">
        <w:r>
          <w:rPr>
            <w:rStyle w:val="InternetLink"/>
          </w:rPr>
          <w:t>Debt</w:t>
        </w:r>
      </w:hyperlink>
      <w:r>
        <w:rPr>
          <w:color w:val="000000"/>
        </w:rPr>
        <w:t xml:space="preserve">” </w:t>
      </w:r>
      <w:r>
        <w:rPr>
          <w:rFonts w:ascii="Arial;sans-serif" w:hAnsi="Arial;sans-serif"/>
          <w:b w:val="false"/>
          <w:color w:val="000000"/>
          <w:sz w:val="20"/>
        </w:rPr>
        <w:t>included in the "Notes to the Consolidated Financial Statements" in this Form 10-K for additional detail regarding our debt instruments, including borrowing terms, amendments and waivers, covenant requirements and interest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expect to use available liquidity, including cash on hand and borrowing capacity under the 2022 Revolving Credit Facility (subject to covenant compliance and other restrictions), to support working capital needs and other general corporate purposes, and to pursue strategic initiatives as appropriate.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2022 Credit Facility is secured by all of the assets of the Company, including all of its equity interests in, and loans to, its consolidated subsidiaries. At December 31, 2025, we had letters of credit totaling $3.2 million outstanding under the 2022 Revolving Credit Facility. We had approximately $96.8 million in borrowing base availability under this facility at December 31, 2025. </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Interest Expense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incurred interest expense totaling $175.3 million in the year ended December 31, 2025, as compared to $122.8 million in the year ended December 31, 2024 and $109.9 million for the year ended December 31, 2023.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components of interest expense on our outstanding debt are as follows (in thousands):</w:t>
      </w:r>
    </w:p>
    <w:tbl>
      <w:tblPr>
        <w:tblW w:w="7481" w:type="dxa"/>
        <w:jc w:val="center"/>
        <w:tblInd w:w="0" w:type="dxa"/>
        <w:tblLayout w:type="fixed"/>
        <w:tblCellMar>
          <w:top w:w="28" w:type="dxa"/>
          <w:left w:w="28" w:type="dxa"/>
          <w:bottom w:w="28" w:type="dxa"/>
          <w:right w:w="28" w:type="dxa"/>
        </w:tblCellMar>
      </w:tblPr>
      <w:tblGrid>
        <w:gridCol w:w="1212"/>
        <w:gridCol w:w="1061"/>
        <w:gridCol w:w="1071"/>
        <w:gridCol w:w="211"/>
        <w:gridCol w:w="826"/>
        <w:gridCol w:w="109"/>
        <w:gridCol w:w="109"/>
        <w:gridCol w:w="109"/>
        <w:gridCol w:w="109"/>
        <w:gridCol w:w="211"/>
        <w:gridCol w:w="826"/>
        <w:gridCol w:w="109"/>
        <w:gridCol w:w="109"/>
        <w:gridCol w:w="109"/>
        <w:gridCol w:w="109"/>
        <w:gridCol w:w="211"/>
        <w:gridCol w:w="826"/>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Years ended December 31,</w:t>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credit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Unused fee on 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interest expense </w:t>
            </w:r>
            <w:r>
              <w:rPr>
                <w:rFonts w:ascii="Arial;sans-serif" w:hAnsi="Arial;sans-serif"/>
                <w:b w:val="false"/>
                <w:color w:val="000000"/>
                <w:sz w:val="12"/>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color w:val="000000"/>
          <w:sz w:val="13"/>
        </w:rPr>
        <w:t xml:space="preserve">(1) </w:t>
      </w:r>
      <w:r>
        <w:rPr>
          <w:rFonts w:ascii="Arial;sans-serif" w:hAnsi="Arial;sans-serif"/>
          <w:b w:val="false"/>
          <w:color w:val="000000"/>
          <w:sz w:val="20"/>
        </w:rPr>
        <w:t>Other interest expense represents interest incurred by our subsidiaries. Other interest expense in each of the years ended December 31, 2025, 2024 and 2023 primarily reflects interest associated with third-party financing arrangements at our Lugano subsidiary.</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Each of the Company’s majority owned subsidiaries are subject to Federal, state and in some cases, foreign income taxes. We recorded an income tax benefit of $0.9 million with an annual effective rate of 0.3% during the year ended December 31, 2025, an income tax provision of $18.6 million with an annual effective tax rate of 6.0% during the year ended December 31, 2024, and an income tax provision of $8.2 million with an effective tax rate of 3.1% during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5"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components of our income tax (benefit) expense as a percentage of income from continuing operations before income taxes for the years ended December 31, 2025, 2024 and 2023 are as follows:</w:t>
      </w:r>
    </w:p>
    <w:tbl>
      <w:tblPr>
        <w:tblW w:w="7316" w:type="dxa"/>
        <w:jc w:val="center"/>
        <w:tblInd w:w="0" w:type="dxa"/>
        <w:tblLayout w:type="fixed"/>
        <w:tblCellMar>
          <w:top w:w="28" w:type="dxa"/>
          <w:left w:w="28" w:type="dxa"/>
          <w:bottom w:w="28" w:type="dxa"/>
          <w:right w:w="28" w:type="dxa"/>
        </w:tblCellMar>
      </w:tblPr>
      <w:tblGrid>
        <w:gridCol w:w="1528"/>
        <w:gridCol w:w="1338"/>
        <w:gridCol w:w="1348"/>
        <w:gridCol w:w="269"/>
        <w:gridCol w:w="271"/>
        <w:gridCol w:w="259"/>
        <w:gridCol w:w="110"/>
        <w:gridCol w:w="110"/>
        <w:gridCol w:w="110"/>
        <w:gridCol w:w="269"/>
        <w:gridCol w:w="271"/>
        <w:gridCol w:w="259"/>
        <w:gridCol w:w="110"/>
        <w:gridCol w:w="110"/>
        <w:gridCol w:w="110"/>
        <w:gridCol w:w="269"/>
        <w:gridCol w:w="271"/>
        <w:gridCol w:w="304"/>
      </w:tblGrid>
      <w:tr>
        <w:trPr/>
        <w:tc>
          <w:tcPr>
            <w:tcW w:w="152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4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shd w:fill="FFFFFF" w:val="clear"/>
              </w:rPr>
            </w:pPr>
            <w:r>
              <w:rPr>
                <w:rFonts w:ascii="Arial;sans-serif" w:hAnsi="Arial;sans-serif"/>
                <w:b/>
                <w:color w:val="000000"/>
                <w:sz w:val="17"/>
                <w:shd w:fill="FFFFFF" w:val="clear"/>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United States Federal Statutory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State income taxes (net of Federal benefits)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income taxes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Impact of subsidiary employee stock options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Non-deductible acquisition costs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Non-recognition of various carryforwards at subsidiaries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United States tax on foreign income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 (net of dividend received deduction)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 on loss on Crosman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Utilization of tax credits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Deconsolidation of Lugano</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income tax rate</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Reconciliation of Non-GAAP Financial Measures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Non-GAAP financial measures are provided as additional information to investors in order to provide them with an alternative method for assessing our financial condition and operating results. These measures are not intended to replace the presentation of financial results in accordance with U.S. GAAP, and may be different from or otherwise inconsistent with non-GAAP financial measures used by other companies. The presentation of these non-GAAP financial measures supplements other metrics we use to internally evaluate our subsidiary businesses and facilitate the comparison of past and present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tables below reconcile the most directly comparable GAAP financial measures to Adjusted earnings before Interest, Income Taxes, Depreciation and Amortization ("Adjusted EBITDA") and Adjusted Earnings. </w:t>
      </w:r>
    </w:p>
    <w:p>
      <w:pPr>
        <w:pStyle w:val="TextBody"/>
        <w:bidi w:val="0"/>
        <w:spacing w:lineRule="auto" w:line="288" w:before="180" w:after="283"/>
        <w:jc w:val="both"/>
        <w:rPr/>
      </w:pPr>
      <w:r>
        <w:rPr>
          <w:rFonts w:ascii="Arial;sans-serif" w:hAnsi="Arial;sans-serif"/>
          <w:b/>
          <w:i/>
          <w:color w:val="000000"/>
          <w:sz w:val="20"/>
        </w:rPr>
        <w:t xml:space="preserve">Adjusted EBITDA </w:t>
      </w:r>
      <w:r>
        <w:rPr>
          <w:color w:val="000000"/>
        </w:rPr>
        <w:t xml:space="preserve">– </w:t>
      </w:r>
      <w:r>
        <w:rPr>
          <w:rFonts w:ascii="Arial;sans-serif" w:hAnsi="Arial;sans-serif"/>
          <w:b w:val="false"/>
          <w:color w:val="000000"/>
          <w:sz w:val="20"/>
        </w:rPr>
        <w:t xml:space="preserve">EBITDA is calculated as net income (loss) from continuing operations before interest expense, income tax expense (benefit), loss on debt extinguishment, depreciation expense and amortization expense. Amortization expenses consist of amortization of intangibles and debt charges, including debt issuance costs. Adjusted EBITDA is calculated utilizing the same calculation as described in arriving at EBITDA further adjusted 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 </w:t>
      </w:r>
      <w:r>
        <w:rPr>
          <w:rFonts w:ascii="Arial;sans-serif" w:hAnsi="Arial;sans-serif"/>
          <w:b w:val="false"/>
          <w:i/>
          <w:color w:val="000000"/>
          <w:sz w:val="20"/>
        </w:rPr>
        <w:t>Business Combinations</w:t>
      </w:r>
      <w:r>
        <w:rPr>
          <w:rFonts w:ascii="Arial;sans-serif" w:hAnsi="Arial;sans-serif"/>
          <w:b w:val="false"/>
          <w:color w:val="000000"/>
          <w:sz w:val="20"/>
        </w:rPr>
        <w:t>; (iii) impairment charges, which reflect write downs to goodwill or other intangible assets; (iv) changes in the fair value of contingent consideration subsequent to initial purchase accounting, (v) integration service fees, which reflect fees historically paid by newly acquired companies to the Manager for integration services performed during the first year of ownership; and (vi) items of other income or expense that are material to a subsidiary and non-recurring in nature.</w:t>
      </w:r>
    </w:p>
    <w:p>
      <w:pPr>
        <w:pStyle w:val="TextBody"/>
        <w:bidi w:val="0"/>
        <w:spacing w:lineRule="auto" w:line="288" w:before="180" w:after="283"/>
        <w:jc w:val="both"/>
        <w:rPr/>
      </w:pPr>
      <w:r>
        <w:rPr>
          <w:rFonts w:ascii="Arial;sans-serif" w:hAnsi="Arial;sans-serif"/>
          <w:b/>
          <w:i/>
          <w:color w:val="000000"/>
          <w:sz w:val="20"/>
        </w:rPr>
        <w:t>Adjusted Earnings</w:t>
      </w:r>
      <w:r>
        <w:rPr>
          <w:color w:val="000000"/>
        </w:rPr>
        <w:t xml:space="preserve"> –– </w:t>
      </w:r>
      <w:r>
        <w:rPr>
          <w:rFonts w:ascii="Arial;sans-serif" w:hAnsi="Arial;sans-serif"/>
          <w:b w:val="false"/>
          <w:color w:val="000000"/>
          <w:sz w:val="20"/>
        </w:rPr>
        <w:t xml:space="preserve">Adjusted earnings is calculated as net income (loss) adjusted to include the cost of the distributions to preferred shareholders, and adjusted to exclude the impact of certain costs, expenses, gains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6"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losses and other specified items the exclusion of which management believes provides insight regarding our ongoing operating performance. Depending on the period presented, these adjusted measures exclude the impact of certain of the following items: gains (losses) and income (loss) from discontinued operations, income (loss) from noncontrolling interest, amortization expense, subsidiary stock compensation expense, acquisition-related expenses and items of other income or expense that may be material to a subsidiary and non-recurring in nature.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Adjusted EBITDA and Adjusted Earnings are non-GAAP measures used by the Company to assess its performance. We believe that Adjusted EBITDA and Adjusted Earnings provide useful information to investors and reflect important financial measures that are used by management in the monthly analysis of our operating results and in preparation of our annual budgets. We believe that investors’ understanding of our performance is enhanced by disclosing these performance measures as this presentation allows investors to view the performance of our businesses in a manner similar to the methods used by us and the management of our subsidiary businesses, provides additional insight into our operating results and provides a measure for evaluating targeted businesses for acquisition.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Adjusted EBITDA and Adjusted Earnings exclude the effects of items which reflect the impact of long-term investment decisions, rather than the performance of near-term operations. When compared to net income (loss) and net income (loss) from continuing operations, Adjusted Earnings and Adjusted EBITDA, respectively, are each limited in that they do not reflect the periodic costs of certain capital assets used in generating revenues of our subsidiary businesses or the non-cash charges associated with impairments, as well as certain cash charges. The presentation of Adjusted Earnings provides insight into our operating results. Adjusted EBITDA and Adjusted Earnings are not meant to be a substitute for GAAP, and may be different from or otherwise inconsistent with non-GAAP financial measures used by other companies.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Reconciliation of Net income (loss) from continuing operations to Adjusted EBITDA</w:t>
      </w:r>
    </w:p>
    <w:p>
      <w:pPr>
        <w:pStyle w:val="TextBody"/>
        <w:bidi w:val="0"/>
        <w:spacing w:lineRule="auto" w:line="288" w:before="180" w:after="283"/>
        <w:jc w:val="both"/>
        <w:rPr/>
      </w:pPr>
      <w:r>
        <w:rPr>
          <w:rFonts w:ascii="Arial;sans-serif" w:hAnsi="Arial;sans-serif"/>
          <w:b w:val="false"/>
          <w:color w:val="000000"/>
          <w:sz w:val="20"/>
        </w:rPr>
        <w:t xml:space="preserve">The following tables reconcile Adjusted EBITDA to net income (loss) from continuing operations, which we consider to be the most comparable GAAP financial measure </w:t>
      </w:r>
      <w:r>
        <w:rPr>
          <w:rFonts w:ascii="Arial;sans-serif" w:hAnsi="Arial;sans-serif"/>
          <w:b w:val="false"/>
          <w:i/>
          <w:color w:val="000000"/>
          <w:sz w:val="20"/>
        </w:rPr>
        <w:t>(in thousands)</w:t>
      </w:r>
      <w:r>
        <w:rPr>
          <w:rFonts w:ascii="Arial;sans-serif" w:hAnsi="Arial;sans-serif"/>
          <w:b w:val="false"/>
          <w:color w:val="000000"/>
          <w:sz w:val="20"/>
        </w:rPr>
        <w: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7"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105</w:t>
                      </w:r>
                    </w:p>
                  </w:txbxContent>
                </v:textbox>
                <w10:wrap type="none"/>
              </v:rect>
            </w:pict>
          </mc:Fallback>
        </mc:AlternateContent>
      </w:r>
    </w:p>
    <w:p>
      <w:pPr>
        <w:pStyle w:val="TextBody"/>
        <w:bidi w:val="0"/>
        <w:spacing w:before="0" w:after="0"/>
        <w:jc w:val="left"/>
        <w:rPr/>
      </w:pPr>
      <w:r>
        <w:rPr/>
      </w:r>
    </w:p>
    <w:tbl>
      <w:tblPr>
        <w:tblW w:w="15272" w:type="dxa"/>
        <w:jc w:val="center"/>
        <w:tblInd w:w="0" w:type="dxa"/>
        <w:tblLayout w:type="fixed"/>
        <w:tblCellMar>
          <w:top w:w="28" w:type="dxa"/>
          <w:left w:w="28" w:type="dxa"/>
          <w:bottom w:w="28" w:type="dxa"/>
          <w:right w:w="28" w:type="dxa"/>
        </w:tblCellMar>
      </w:tblPr>
      <w:tblGrid>
        <w:gridCol w:w="614"/>
        <w:gridCol w:w="315"/>
        <w:gridCol w:w="317"/>
        <w:gridCol w:w="196"/>
        <w:gridCol w:w="751"/>
        <w:gridCol w:w="109"/>
        <w:gridCol w:w="109"/>
        <w:gridCol w:w="109"/>
        <w:gridCol w:w="109"/>
        <w:gridCol w:w="196"/>
        <w:gridCol w:w="646"/>
        <w:gridCol w:w="109"/>
        <w:gridCol w:w="109"/>
        <w:gridCol w:w="109"/>
        <w:gridCol w:w="109"/>
        <w:gridCol w:w="196"/>
        <w:gridCol w:w="646"/>
        <w:gridCol w:w="109"/>
        <w:gridCol w:w="109"/>
        <w:gridCol w:w="109"/>
        <w:gridCol w:w="109"/>
        <w:gridCol w:w="196"/>
        <w:gridCol w:w="751"/>
        <w:gridCol w:w="109"/>
        <w:gridCol w:w="109"/>
        <w:gridCol w:w="109"/>
        <w:gridCol w:w="109"/>
        <w:gridCol w:w="196"/>
        <w:gridCol w:w="646"/>
        <w:gridCol w:w="109"/>
        <w:gridCol w:w="109"/>
        <w:gridCol w:w="109"/>
        <w:gridCol w:w="109"/>
        <w:gridCol w:w="196"/>
        <w:gridCol w:w="646"/>
        <w:gridCol w:w="109"/>
        <w:gridCol w:w="109"/>
        <w:gridCol w:w="109"/>
        <w:gridCol w:w="109"/>
        <w:gridCol w:w="196"/>
        <w:gridCol w:w="57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6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272" w:type="dxa"/>
            <w:gridSpan w:val="6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Adjusted EBITDA</w:t>
            </w:r>
          </w:p>
        </w:tc>
      </w:tr>
      <w:tr>
        <w:trPr/>
        <w:tc>
          <w:tcPr>
            <w:tcW w:w="15272" w:type="dxa"/>
            <w:gridSpan w:val="6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2025</w:t>
            </w:r>
          </w:p>
        </w:tc>
      </w:tr>
      <w:tr>
        <w:trPr/>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Lugano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Altor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Sterno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Consolidated </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(296,634)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for:</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Intercompany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modification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EBITDA</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shareholder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deconsolidation of Lugano</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Integration services fee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color w:val="000000"/>
                <w:sz w:val="10"/>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 xml:space="preserve">Adjusted EBITDA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both"/>
        <w:rPr/>
      </w:pPr>
      <w:r>
        <w:rPr>
          <w:rFonts w:ascii="Arial;sans-serif" w:hAnsi="Arial;sans-serif"/>
          <w:b/>
          <w:color w:val="000000"/>
          <w:sz w:val="13"/>
          <w:shd w:fill="FFFFFF" w:val="clear"/>
        </w:rPr>
        <w:t xml:space="preserve">(1) </w:t>
      </w:r>
      <w:r>
        <w:rPr>
          <w:rFonts w:ascii="Arial;sans-serif" w:hAnsi="Arial;sans-serif"/>
          <w:b w:val="false"/>
          <w:color w:val="000000"/>
          <w:sz w:val="20"/>
          <w:shd w:fill="FFFFFF" w:val="clear"/>
        </w:rPr>
        <w:t>Other represents non-recurring operating expenses that are included by management in the calculation of Adjusted EBITDA when analyzing monthly operating results of our subsidiaries. In the current year, the calculation of Adjusted EBITDA for Arnold includes the add-back of certain expenses that have been incurred related to the relocation of two of Arnold's facilities in the United States and costs related to the retirement of the chief executive officer at Arnold. For Altor, other includes the add-back of certain expenses incurred related to restructuring of their facilities after the acquisition of Lifoam.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8"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106</w:t>
                      </w:r>
                    </w:p>
                  </w:txbxContent>
                </v:textbox>
                <w10:wrap type="none"/>
              </v:rect>
            </w:pict>
          </mc:Fallback>
        </mc:AlternateContent>
      </w:r>
    </w:p>
    <w:p>
      <w:pPr>
        <w:pStyle w:val="TextBody"/>
        <w:bidi w:val="0"/>
        <w:spacing w:before="0" w:after="0"/>
        <w:jc w:val="left"/>
        <w:rPr/>
      </w:pPr>
      <w:r>
        <w:rPr/>
      </w:r>
    </w:p>
    <w:tbl>
      <w:tblPr>
        <w:tblW w:w="15584" w:type="dxa"/>
        <w:jc w:val="center"/>
        <w:tblInd w:w="0" w:type="dxa"/>
        <w:tblLayout w:type="fixed"/>
        <w:tblCellMar>
          <w:top w:w="28" w:type="dxa"/>
          <w:left w:w="28" w:type="dxa"/>
          <w:bottom w:w="28" w:type="dxa"/>
          <w:right w:w="28" w:type="dxa"/>
        </w:tblCellMar>
      </w:tblPr>
      <w:tblGrid>
        <w:gridCol w:w="584"/>
        <w:gridCol w:w="315"/>
        <w:gridCol w:w="317"/>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327"/>
        <w:gridCol w:w="196"/>
        <w:gridCol w:w="761"/>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5584" w:type="dxa"/>
            <w:gridSpan w:val="6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Adjusted EBITDA</w:t>
            </w:r>
          </w:p>
        </w:tc>
      </w:tr>
      <w:tr>
        <w:trPr/>
        <w:tc>
          <w:tcPr>
            <w:tcW w:w="15584"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2024</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THP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Altor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Consolidated </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Intercompany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shareholder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Integration services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340" w:after="283"/>
        <w:jc w:val="both"/>
        <w:rPr/>
      </w:pPr>
      <w:r>
        <w:rPr>
          <w:rFonts w:ascii="Arial;sans-serif" w:hAnsi="Arial;sans-serif"/>
          <w:b/>
          <w:color w:val="000000"/>
          <w:sz w:val="13"/>
          <w:shd w:fill="FFFFFF" w:val="clear"/>
        </w:rPr>
        <w:t>(1)</w:t>
      </w:r>
      <w:r>
        <w:rPr>
          <w:color w:val="000000"/>
          <w:shd w:fill="FFFFFF" w:val="clear"/>
        </w:rPr>
        <w:t xml:space="preserve"> </w:t>
      </w:r>
      <w:r>
        <w:rPr>
          <w:rFonts w:ascii="Arial;sans-serif" w:hAnsi="Arial;sans-serif"/>
          <w:b w:val="false"/>
          <w:color w:val="000000"/>
          <w:sz w:val="20"/>
          <w:shd w:fill="FFFFFF" w:val="clear"/>
        </w:rPr>
        <w:t xml:space="preserve">Other represents non-recurring operating expenses that are included by management in the calculation of Adjusted EBITDA when analyzing monthly operating results of our subsidiaries. In 2024, the calculation of Adjusted EBITDA for Arnold includes the add-back of certain expenses that have been incurred related to the relocation of two of Arnold's facilities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9"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107</w:t>
                      </w:r>
                    </w:p>
                  </w:txbxContent>
                </v:textbox>
                <w10:wrap type="none"/>
              </v:rect>
            </w:pict>
          </mc:Fallback>
        </mc:AlternateContent>
      </w:r>
    </w:p>
    <w:p>
      <w:pPr>
        <w:pStyle w:val="TextBody"/>
        <w:bidi w:val="0"/>
        <w:spacing w:before="0" w:after="0"/>
        <w:jc w:val="left"/>
        <w:rPr/>
      </w:pPr>
      <w:r>
        <w:rPr/>
      </w:r>
    </w:p>
    <w:tbl>
      <w:tblPr>
        <w:tblW w:w="14075" w:type="dxa"/>
        <w:jc w:val="center"/>
        <w:tblInd w:w="0" w:type="dxa"/>
        <w:tblLayout w:type="fixed"/>
        <w:tblCellMar>
          <w:top w:w="28" w:type="dxa"/>
          <w:left w:w="28" w:type="dxa"/>
          <w:bottom w:w="28" w:type="dxa"/>
          <w:right w:w="28" w:type="dxa"/>
        </w:tblCellMar>
      </w:tblPr>
      <w:tblGrid>
        <w:gridCol w:w="584"/>
        <w:gridCol w:w="315"/>
        <w:gridCol w:w="317"/>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751"/>
        <w:gridCol w:w="109"/>
        <w:gridCol w:w="109"/>
        <w:gridCol w:w="109"/>
        <w:gridCol w:w="109"/>
        <w:gridCol w:w="330"/>
        <w:gridCol w:w="331"/>
        <w:gridCol w:w="296"/>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6"/>
        <w:gridCol w:w="829"/>
        <w:gridCol w:w="171"/>
      </w:tblGrid>
      <w:tr>
        <w:trPr/>
        <w:tc>
          <w:tcPr>
            <w:tcW w:w="58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075" w:type="dxa"/>
            <w:gridSpan w:val="6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Adjusted EBITDA</w:t>
            </w:r>
          </w:p>
        </w:tc>
      </w:tr>
      <w:tr>
        <w:trPr/>
        <w:tc>
          <w:tcPr>
            <w:tcW w:w="14075"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 2023</w:t>
            </w:r>
          </w:p>
        </w:tc>
      </w:tr>
      <w:tr>
        <w:trPr/>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5.11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Lugano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PrimaLoft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Velocity Outdoor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Altor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Arnold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Sterno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Net income (loss)</w:t>
            </w:r>
            <w:r>
              <w:rPr>
                <w:color w:val="000000"/>
              </w:rPr>
              <w:t xml:space="preserve"> </w:t>
            </w:r>
            <w:r>
              <w:rPr>
                <w:rFonts w:ascii="Arial;sans-serif" w:hAnsi="Arial;sans-serif"/>
                <w:b/>
                <w:color w:val="000000"/>
                <w:sz w:val="16"/>
              </w:rPr>
              <w:t>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(69,883)</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(274,651)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for:</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(benefit) for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(5,673)</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Intercompany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EBITDA</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(35,966)</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shareholder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Integration services fee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 xml:space="preserve">Adjusted EBITDA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25,261 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167,054 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10"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Reconciliation of Net income (loss) to Adjusted Earnings and Adjusted EBITDA</w:t>
      </w:r>
    </w:p>
    <w:p>
      <w:pPr>
        <w:pStyle w:val="TextBody"/>
        <w:bidi w:val="0"/>
        <w:spacing w:lineRule="auto" w:line="288" w:before="120" w:after="283"/>
        <w:jc w:val="left"/>
        <w:rPr/>
      </w:pPr>
      <w:r>
        <w:rPr>
          <w:rFonts w:ascii="Arial;sans-serif" w:hAnsi="Arial;sans-serif"/>
          <w:b w:val="false"/>
          <w:color w:val="000000"/>
          <w:sz w:val="20"/>
        </w:rPr>
        <w:t>The following table reconciles Adjusted Earnings to Net income (loss), which we consider the most comparable GAAP financial measure, and Adjusted Earnings to Adjusted EBITDA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158"/>
        <w:gridCol w:w="910"/>
        <w:gridCol w:w="921"/>
        <w:gridCol w:w="214"/>
        <w:gridCol w:w="753"/>
        <w:gridCol w:w="118"/>
        <w:gridCol w:w="109"/>
        <w:gridCol w:w="109"/>
        <w:gridCol w:w="109"/>
        <w:gridCol w:w="207"/>
        <w:gridCol w:w="727"/>
        <w:gridCol w:w="115"/>
        <w:gridCol w:w="109"/>
        <w:gridCol w:w="109"/>
        <w:gridCol w:w="109"/>
        <w:gridCol w:w="243"/>
        <w:gridCol w:w="861"/>
        <w:gridCol w:w="135"/>
        <w:gridCol w:w="109"/>
        <w:gridCol w:w="109"/>
        <w:gridCol w:w="109"/>
        <w:gridCol w:w="239"/>
        <w:gridCol w:w="844"/>
        <w:gridCol w:w="132"/>
        <w:gridCol w:w="109"/>
        <w:gridCol w:w="109"/>
        <w:gridCol w:w="109"/>
        <w:gridCol w:w="227"/>
        <w:gridCol w:w="907"/>
        <w:gridCol w:w="186"/>
      </w:tblGrid>
      <w:tr>
        <w:trPr/>
        <w:tc>
          <w:tcPr>
            <w:tcW w:w="115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(49,710)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(77,972)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(87,243)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(78,803)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(293,728)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tax</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from continuing operations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(49,754)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(80,777)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(86,720)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(79,383)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(296,634)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loss from continuing operations attributable to noncontrolling interest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(67,313)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attributable to Holdings - continuing operations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(30,037)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(54,022)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(73,492)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(71,770)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(229,321)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Preferred Shares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(37,577)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intangible assets and inventory step-up</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93,156 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deconsolidation of Lugano</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111,876 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111,876 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16,128 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Integration services fee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earnings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(8,687)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(52,810)</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64,374 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Plus (less):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provision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(26,604)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35,851 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66,721 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38,602 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175,270 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from continuing operations attributable to noncontrolling interest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(7,613)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(67,313)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modification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14,664 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EBITDA</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45,526 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46,525 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30,214 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91,022 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213,287 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11"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7"/>
        <w:gridCol w:w="895"/>
        <w:gridCol w:w="836"/>
        <w:gridCol w:w="213"/>
        <w:gridCol w:w="752"/>
        <w:gridCol w:w="118"/>
        <w:gridCol w:w="109"/>
        <w:gridCol w:w="109"/>
        <w:gridCol w:w="109"/>
        <w:gridCol w:w="199"/>
        <w:gridCol w:w="791"/>
        <w:gridCol w:w="111"/>
        <w:gridCol w:w="109"/>
        <w:gridCol w:w="109"/>
        <w:gridCol w:w="109"/>
        <w:gridCol w:w="243"/>
        <w:gridCol w:w="858"/>
        <w:gridCol w:w="134"/>
        <w:gridCol w:w="109"/>
        <w:gridCol w:w="109"/>
        <w:gridCol w:w="109"/>
        <w:gridCol w:w="238"/>
        <w:gridCol w:w="841"/>
        <w:gridCol w:w="132"/>
        <w:gridCol w:w="109"/>
        <w:gridCol w:w="109"/>
        <w:gridCol w:w="109"/>
        <w:gridCol w:w="227"/>
        <w:gridCol w:w="905"/>
        <w:gridCol w:w="187"/>
      </w:tblGrid>
      <w:tr>
        <w:trPr/>
        <w:tc>
          <w:tcPr>
            <w:tcW w:w="121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(85,269)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(103,089)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(65,546)</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(68,866)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(322,770)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discontinued options, net of tax</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(7,006)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(6,905)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tax</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from continuing operations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(88,931)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(103,961)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(64,458)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(70,472)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(327,822)</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loss from continuing operations attributable to noncontrolling interest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(111,025)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attributable to Holdings - continuing operations</w:t>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(60,175)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(74,159)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(35,536)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(46,927)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(216,797)</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Preferred Shares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(25,458)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intangible assets and inventory step-up</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100,112 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(gain) on sale of Crosman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24,218 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 - loss on sale of Crosman</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 expenses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Integration services fee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earnings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(24,335)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(18,309)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(12,172)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(10,164)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(64,980)</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Plus (less):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provision</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(2,863)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31,620 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36,319 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122,802 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from continuing operations attributable to noncontrolling interest</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(28,922)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(23,545)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(111,025)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 - loss on sale of Crosman</w:t>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(7,254)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40,642 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37,769 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143,304 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EBITDA</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40,509 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47,909 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48,595 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37,811 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174,824 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2"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0"/>
        <w:gridCol w:w="908"/>
        <w:gridCol w:w="851"/>
        <w:gridCol w:w="214"/>
        <w:gridCol w:w="754"/>
        <w:gridCol w:w="118"/>
        <w:gridCol w:w="109"/>
        <w:gridCol w:w="109"/>
        <w:gridCol w:w="109"/>
        <w:gridCol w:w="207"/>
        <w:gridCol w:w="727"/>
        <w:gridCol w:w="115"/>
        <w:gridCol w:w="109"/>
        <w:gridCol w:w="109"/>
        <w:gridCol w:w="109"/>
        <w:gridCol w:w="244"/>
        <w:gridCol w:w="863"/>
        <w:gridCol w:w="135"/>
        <w:gridCol w:w="109"/>
        <w:gridCol w:w="109"/>
        <w:gridCol w:w="109"/>
        <w:gridCol w:w="249"/>
        <w:gridCol w:w="822"/>
        <w:gridCol w:w="138"/>
        <w:gridCol w:w="109"/>
        <w:gridCol w:w="109"/>
        <w:gridCol w:w="109"/>
        <w:gridCol w:w="227"/>
        <w:gridCol w:w="909"/>
        <w:gridCol w:w="186"/>
      </w:tblGrid>
      <w:tr>
        <w:trPr/>
        <w:tc>
          <w:tcPr>
            <w:tcW w:w="12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2023</w:t>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67,502 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(30,489)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(78,065)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73,634 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32,582 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from discontinued options, net of tax</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discontinued options, net of tax</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97,989 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179,530 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283,025 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from continuing operations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(41,426)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(40,158)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(90,197)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(102,870)</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(274,651)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loss from continuing operations attributable to noncontrolling interest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(12,488)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(24,032)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(23,569)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(75,761)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attributable to Holdings - continuing operations</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(28,938)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(24,486)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(66,165)</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(79,301)</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(198,890)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Preferred Shares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(24,181)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intangible assets and inventory step-up</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32,568 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 - impairment expense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(4,308)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interest - impairment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shareholder compensation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Integration services fee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earnings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(11,133)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(5,196)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(20,278)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(4,673)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(41,280)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Plus (less):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provision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 - impairment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interest - impairment expense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26,963 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27,717 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26,361 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109,892 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from continuing operations attributable to noncontrolling interest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(23,569)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(75,761)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83,114 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Adjusted EBITDA</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39,775 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45,865 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43,164 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38,250 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167,054 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3"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80"/>
        <w:jc w:val="both"/>
        <w:rPr>
          <w:rFonts w:ascii="Arial;sans-serif" w:hAnsi="Arial;sans-serif"/>
          <w:b w:val="false"/>
          <w:i/>
          <w:color w:val="000000"/>
          <w:sz w:val="19"/>
          <w:u w:val="single"/>
          <w:shd w:fill="FFFFFF" w:val="clear"/>
        </w:rPr>
      </w:pPr>
      <w:r>
        <w:rPr>
          <w:rFonts w:ascii="Arial;sans-serif" w:hAnsi="Arial;sans-serif"/>
          <w:b w:val="false"/>
          <w:i/>
          <w:color w:val="000000"/>
          <w:sz w:val="19"/>
          <w:u w:val="single"/>
          <w:shd w:fill="FFFFFF" w:val="clear"/>
        </w:rPr>
        <w:t>Seasonality</w:t>
      </w:r>
    </w:p>
    <w:p>
      <w:pPr>
        <w:pStyle w:val="TextBody"/>
        <w:bidi w:val="0"/>
        <w:spacing w:lineRule="auto" w:line="288" w:before="180" w:after="283"/>
        <w:ind w:left="0" w:right="0" w:hanging="180"/>
        <w:jc w:val="both"/>
        <w:rPr>
          <w:rFonts w:ascii="Arial;sans-serif" w:hAnsi="Arial;sans-serif"/>
          <w:b w:val="false"/>
          <w:color w:val="000000"/>
          <w:sz w:val="20"/>
        </w:rPr>
      </w:pPr>
      <w:r>
        <w:rPr>
          <w:rFonts w:ascii="Arial;sans-serif" w:hAnsi="Arial;sans-serif"/>
          <w:b w:val="false"/>
          <w:color w:val="000000"/>
          <w:sz w:val="20"/>
        </w:rPr>
        <w:t>The following table presents the net sales by quarter as a percentage of our annual net sales.</w:t>
      </w:r>
    </w:p>
    <w:tbl>
      <w:tblPr>
        <w:tblW w:w="4492" w:type="dxa"/>
        <w:jc w:val="center"/>
        <w:tblInd w:w="0" w:type="dxa"/>
        <w:tblLayout w:type="fixed"/>
        <w:tblCellMar>
          <w:top w:w="28" w:type="dxa"/>
          <w:left w:w="28" w:type="dxa"/>
          <w:bottom w:w="28" w:type="dxa"/>
          <w:right w:w="28" w:type="dxa"/>
        </w:tblCellMar>
      </w:tblPr>
      <w:tblGrid>
        <w:gridCol w:w="461"/>
        <w:gridCol w:w="405"/>
        <w:gridCol w:w="409"/>
        <w:gridCol w:w="109"/>
        <w:gridCol w:w="109"/>
        <w:gridCol w:w="109"/>
        <w:gridCol w:w="233"/>
        <w:gridCol w:w="233"/>
        <w:gridCol w:w="260"/>
        <w:gridCol w:w="111"/>
        <w:gridCol w:w="111"/>
        <w:gridCol w:w="111"/>
        <w:gridCol w:w="233"/>
        <w:gridCol w:w="233"/>
        <w:gridCol w:w="260"/>
        <w:gridCol w:w="111"/>
        <w:gridCol w:w="111"/>
        <w:gridCol w:w="111"/>
        <w:gridCol w:w="233"/>
        <w:gridCol w:w="233"/>
        <w:gridCol w:w="306"/>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Quarter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March 31st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June 30th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September 30th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December 31st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120" w:after="283"/>
        <w:ind w:left="0" w:right="0" w:hanging="180"/>
        <w:jc w:val="both"/>
        <w:rPr>
          <w:rFonts w:ascii="Arial;sans-serif" w:hAnsi="Arial;sans-serif"/>
          <w:b w:val="false"/>
          <w:color w:val="000000"/>
          <w:sz w:val="20"/>
        </w:rPr>
      </w:pPr>
      <w:r>
        <w:rPr>
          <w:rFonts w:ascii="Arial;sans-serif" w:hAnsi="Arial;sans-serif"/>
          <w:b w:val="false"/>
          <w:color w:val="000000"/>
          <w:sz w:val="20"/>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2"/>
        </w:rPr>
      </w:pPr>
      <w:r>
        <w:rPr>
          <w:rFonts w:ascii="Arial;sans-serif" w:hAnsi="Arial;sans-serif"/>
          <w:b/>
          <w:color w:val="000000"/>
          <w:sz w:val="22"/>
        </w:rPr>
        <w:t>Related Party Transactions and Certain Transactions Involving our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entered into related party transactions with our Manager, CGM, and Sostratus LLC, including the following: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Management Services Agreement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LLC Agreement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Integration Services Agreements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Cost Reimbursement and Fees</w:t>
      </w:r>
    </w:p>
    <w:p>
      <w:pPr>
        <w:pStyle w:val="TextBody"/>
        <w:bidi w:val="0"/>
        <w:spacing w:lineRule="auto" w:line="288" w:before="24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Management Services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entered into the MSA with CGM effective May 16, 2006. Our Chief Executive Officer is a managing member of CGM. The MSA provides for, among other things, CGM to perform services for us in exchange for a management fee paid quarterly. The management fee is required to be paid prior to the payment of any distributions to shareholders.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years ended December 31, 2025, 2024, and 2023, we incurred $17.9 million, $74.8 million, and $67.9 million, respectively, in management fees to CGM.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January 15, 2025, the LLC and the Manager amended the Sixth Amended and Restated Management Services Agreement dated as of September 30, 2014 and originally effective as of May 16, 2006 (the “Existing Agreement”), by entering into a Seventh Amended and Restated Management Services Agreement (the “MSA Amendment”), which restructured the management fee under the Existing Agreement to consist of a base management fee and an incentive management fee. Pursuant to the MSA Amendment, the base management fee will be (i)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The MSA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At December 31, 2023, CGM entered into a waiver to exclude cash balances held at the LLC from the calculation of the management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4"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Effect of Restatement on Management Fees </w:t>
      </w:r>
    </w:p>
    <w:p>
      <w:pPr>
        <w:pStyle w:val="TextBody"/>
        <w:bidi w:val="0"/>
        <w:spacing w:lineRule="auto" w:line="288" w:before="120" w:after="283"/>
        <w:jc w:val="both"/>
        <w:rPr/>
      </w:pPr>
      <w:r>
        <w:rPr>
          <w:rFonts w:ascii="Arial;sans-serif" w:hAnsi="Arial;sans-serif"/>
          <w:b w:val="false"/>
          <w:color w:val="000000"/>
          <w:sz w:val="20"/>
          <w:shd w:fill="FFFFFF" w:val="clear"/>
        </w:rPr>
        <w:t xml:space="preserve">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calculated the total aggregate amount of excess management fees paid as a result of the restatement of the financial statements as $50.4 million. Due to the restrictions placed on payment of the management fee during under the Forbearance Agreements entered into during 2025 related to the 2022 Credit Facility, the Company paid $16.6 million less than the expense due during 2025, resulting in a total overpayment of management fees as of December 31, 2025 of $33.8 million. This amount was recorded as an asset "Due from CGM" that reduced the management fee expense for the year ended December 31, 2025. For the fourth quarter of 2025, the total management fee expense incurred totaled $14.3 million, of which $13 million was unpaid at December 31, 2025 and offset the amount due from CGM, resulting in a net receivable of </w:t>
      </w:r>
      <w:r>
        <w:rPr>
          <w:rFonts w:ascii="Arial;sans-serif" w:hAnsi="Arial;sans-serif"/>
          <w:b w:val="false"/>
          <w:color w:val="000000"/>
          <w:sz w:val="20"/>
        </w:rPr>
        <w:t>$20.8 million at December 31, 2025, The Company intends to reduce the amount of management fees paid in future quarters until the overpayment has been fully recouped.</w:t>
      </w:r>
    </w:p>
    <w:p>
      <w:pPr>
        <w:pStyle w:val="TextBody"/>
        <w:bidi w:val="0"/>
        <w:spacing w:lineRule="auto" w:line="288" w:before="120" w:after="283"/>
        <w:jc w:val="both"/>
        <w:rPr/>
      </w:pPr>
      <w:r>
        <w:rPr>
          <w:rFonts w:ascii="Arial;sans-serif" w:hAnsi="Arial;sans-serif"/>
          <w:b w:val="false"/>
          <w:color w:val="000000"/>
          <w:sz w:val="20"/>
        </w:rPr>
        <w:t>For the years ended December 31, 2025, 2024, and 2023, we incurred $17.9 million, $74.8 million, and $67.9 million, respectively, in management fees to CGM, with the reduction in the 2025 management fee expense reflecting the adjustment for excess management fees recorded.</w:t>
      </w:r>
      <w:r>
        <w:rPr>
          <w:color w:val="000000"/>
          <w:shd w:fill="FFFFFF" w:val="clear"/>
        </w:rPr>
        <w:t xml:space="preserve">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LLC Agreement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100% of the Allocation Interests are held by Sostratus LLC. Certain employees, including the Company’s Chief Executive Officer and Chief Financial Officer, former employees, and members of our Manager, along with the estate of former director of the Company’s Board, and CGI Diversified Holdings, LP, an affiliate of CGI Maygar Holdings, LLC, are beneficial owners of the Allocation Interests through their ownership in Sostratus LLC. The LLC agreement gives the holder of Allocation Interests the right to distributions pursuant to a profit allocation formula upon the occurrence of a Sale Event or a Holding Event. The Allocation Interest Holders are entitled to receive, if due pursuant to the profit allocation formula, an allocation payment upon the sale of a business (Sale Event) and upon election of the Allocation Interest Holder during the 30-day period following the fifth anniversary of the date upon which we acquired a controlling interest in a business (Holding Event). No allocation interest distributions were made in 2025. </w:t>
      </w:r>
    </w:p>
    <w:p>
      <w:pPr>
        <w:pStyle w:val="TextBody"/>
        <w:bidi w:val="0"/>
        <w:spacing w:lineRule="auto" w:line="288" w:before="180" w:after="283"/>
        <w:jc w:val="both"/>
        <w:rPr/>
      </w:pPr>
      <w:r>
        <w:rPr>
          <w:rFonts w:ascii="Arial;sans-serif" w:hAnsi="Arial;sans-serif"/>
          <w:b w:val="false"/>
          <w:color w:val="000000"/>
          <w:sz w:val="20"/>
          <w:shd w:fill="FFFFFF" w:val="clear"/>
        </w:rPr>
        <w:t>The Allocation Interest Holders received $48.9 million in the year ended December 31, 2024, and $26.5 million in the year ended December 31, 2023.</w:t>
      </w:r>
      <w:r>
        <w:rPr>
          <w:color w:val="000000"/>
        </w:rPr>
        <w:t xml:space="preserve"> </w:t>
      </w:r>
      <w:r>
        <w:rPr>
          <w:rFonts w:ascii="Arial;sans-serif" w:hAnsi="Arial;sans-serif"/>
          <w:b w:val="false"/>
          <w:color w:val="000000"/>
          <w:sz w:val="20"/>
        </w:rPr>
        <w:t>Refer to "</w:t>
      </w:r>
      <w:hyperlink w:anchor="i1c8fbf41abdb4a90b1f02abaa0b14bbd_295">
        <w:r>
          <w:rPr>
            <w:rStyle w:val="InternetLink"/>
            <w:rFonts w:ascii="Arial;sans-serif" w:hAnsi="Arial;sans-serif"/>
            <w:b w:val="false"/>
            <w:color w:val="0000FF"/>
            <w:sz w:val="20"/>
            <w:u w:val="single"/>
          </w:rPr>
          <w:t>Note K - Stockholders' Equity</w:t>
        </w:r>
      </w:hyperlink>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included in the "Notes to the Consolidated Financial Statements" in this Form 10-K, </w:t>
      </w:r>
      <w:r>
        <w:rPr>
          <w:rFonts w:ascii="Arial;sans-serif" w:hAnsi="Arial;sans-serif"/>
          <w:b w:val="false"/>
          <w:color w:val="000000"/>
          <w:sz w:val="20"/>
        </w:rPr>
        <w:t xml:space="preserve">for a description of the profit allocation payments.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Lugano bankruptcy in November 2025 represented a Sale Event and the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 as described in the explanatory note to the Form 10-K.</w:t>
      </w:r>
    </w:p>
    <w:p>
      <w:pPr>
        <w:pStyle w:val="TextBody"/>
        <w:bidi w:val="0"/>
        <w:spacing w:lineRule="auto" w:line="276"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Integration Services Agreements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Integration services represent fees paid by newly acquired companies to the Manager for integration services performed during the first year of ownership. Under the Integration Services Agreement ("ISA"), CGM provides services for new segment-level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Integration services fees are recorded as selling, general and administrative expense in the consolidated statements of operations. The amendment to the Management Service Agreement entered into in January 2025 eliminated the payment of integration services for future acquisitions.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Honey Pot Co., which was acquired in January 2024, entered into an ISA with CGM whereby The Honey Pot Co. will pay CGM a total integration services fee of $3.5 million, payable quarterly over a twelve-month period beginning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5"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PrimaLoft, which was acquired in July 2022, entered into an ISA with CGM whereby PrimaLoft paid CGM a total integration services fee of $4.8 million, paid quarterly over a twelve-month period ended June 30, 2023.</w:t>
      </w:r>
    </w:p>
    <w:p>
      <w:pPr>
        <w:pStyle w:val="TextBody"/>
        <w:bidi w:val="0"/>
        <w:spacing w:lineRule="auto" w:line="288" w:before="180" w:after="283"/>
        <w:jc w:val="both"/>
        <w:rPr/>
      </w:pPr>
      <w:r>
        <w:rPr>
          <w:rFonts w:ascii="Arial;sans-serif" w:hAnsi="Arial;sans-serif"/>
          <w:b w:val="false"/>
          <w:color w:val="000000"/>
          <w:sz w:val="20"/>
        </w:rPr>
        <w:t>During the years ended December 31, 2025, 2024 and 2023, CGM receiv</w:t>
      </w:r>
      <w:r>
        <w:rPr>
          <w:rFonts w:ascii="Arial;sans-serif" w:hAnsi="Arial;sans-serif"/>
          <w:b w:val="false"/>
          <w:color w:val="000000"/>
          <w:sz w:val="20"/>
          <w:shd w:fill="FFFFFF" w:val="clear"/>
        </w:rPr>
        <w:t xml:space="preserve">ed </w:t>
      </w:r>
      <w:r>
        <w:rPr>
          <w:rFonts w:ascii="Arial;sans-serif" w:hAnsi="Arial;sans-serif"/>
          <w:b w:val="false"/>
          <w:color w:val="000000"/>
          <w:sz w:val="20"/>
        </w:rPr>
        <w:t xml:space="preserve">$0.9 million, $2.6 million, and $2.4 million, respectively, in total integration service fees. </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Cost Reimbursement and Fees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reimbursed CGM approximately $7.0 million, $8.8 million, and $6.4 million, principally for occupancy and staffing costs incurred by CGM on our behalf during the years ended December 31, 2025, 2024 and 2023, respectively.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Company and its businesses have the following significant related party transactions:</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5.11</w:t>
      </w:r>
    </w:p>
    <w:p>
      <w:pPr>
        <w:pStyle w:val="TextBody"/>
        <w:bidi w:val="0"/>
        <w:spacing w:lineRule="auto" w:line="288" w:before="12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 xml:space="preserve">5.11 purchases inventory from a vendor who is a related party to 5.11 through one of the executive officers of 5.11 via the executive's 40% ownership interest in the vendor. During the years ended December 31, 2025, 2024 and 2023, 5.11 purchased approximately $1.0 million, $1.4 million, and $1.7 million, respectively, in inventory from the vendor. </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BOA</w:t>
      </w:r>
    </w:p>
    <w:p>
      <w:pPr>
        <w:pStyle w:val="TextBody"/>
        <w:bidi w:val="0"/>
        <w:spacing w:lineRule="auto" w:line="288" w:before="120" w:after="283"/>
        <w:jc w:val="both"/>
        <w:rPr/>
      </w:pPr>
      <w:r>
        <w:rPr>
          <w:rFonts w:ascii="Arial;sans-serif" w:hAnsi="Arial;sans-serif"/>
          <w:b w:val="false"/>
          <w:i/>
          <w:color w:val="000000"/>
          <w:sz w:val="20"/>
        </w:rPr>
        <w:t xml:space="preserve">Recapitalization - </w:t>
      </w:r>
      <w:r>
        <w:rPr>
          <w:rFonts w:ascii="Arial;sans-serif" w:hAnsi="Arial;sans-serif"/>
          <w:b w:val="false"/>
          <w:color w:val="000000"/>
          <w:sz w:val="20"/>
        </w:rPr>
        <w:t xml:space="preserve">In December 2023, we completed a recapitalization at BOA whereby the LLC entered into an amendment to the intercompany loan agreement with BOA (the "BOA Credit Agreement"). The BOA Credit Agreement was amended to provide for additional term loan borrowings of $165.9 million to fund a distribution to shareholders. The LLC received a distribution of $131.0 million related to their ownership of the outstanding shares of BOA on the date of the distribution. Noncontrolling shareholders received a distribution of $11.7 million, and the remaining amount of the recapitalization was used to repurchase employee owned shares and to pay a bonus to employees who held phantom stock options and were not eligible to participate in the distribution to noncontrolling shareholders. BOA recorded compensation expense of $3.1 million related to the bonus paid to employees as part of the recapitalization. </w:t>
      </w:r>
    </w:p>
    <w:p>
      <w:pPr>
        <w:pStyle w:val="TextBody"/>
        <w:bidi w:val="0"/>
        <w:spacing w:lineRule="auto" w:line="288" w:before="18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A contract manufacturer used by BOA as the primary supplier of molded injection parts is a noncontrolling shareholder of BOA. During the years ended December 31, 2025, 2024 and 2023, BOA purchased approximate</w:t>
      </w:r>
      <w:r>
        <w:rPr>
          <w:rFonts w:ascii="Arial;sans-serif" w:hAnsi="Arial;sans-serif"/>
          <w:b w:val="false"/>
          <w:color w:val="000000"/>
          <w:sz w:val="20"/>
          <w:shd w:fill="FFFFFF" w:val="clear"/>
        </w:rPr>
        <w:t xml:space="preserve">ly $44.8 million, $48.1 million </w:t>
      </w:r>
      <w:r>
        <w:rPr>
          <w:rFonts w:ascii="Arial;sans-serif" w:hAnsi="Arial;sans-serif"/>
          <w:b w:val="false"/>
          <w:color w:val="000000"/>
          <w:sz w:val="20"/>
        </w:rPr>
        <w:t>and $42.1 million, respectively, from this supplier.</w:t>
      </w:r>
    </w:p>
    <w:p>
      <w:pPr>
        <w:pStyle w:val="TextBody"/>
        <w:bidi w:val="0"/>
        <w:spacing w:lineRule="auto" w:line="288" w:before="24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Lugano</w:t>
      </w:r>
    </w:p>
    <w:p>
      <w:pPr>
        <w:pStyle w:val="TextBody"/>
        <w:bidi w:val="0"/>
        <w:spacing w:lineRule="auto" w:line="288" w:before="120" w:after="283"/>
        <w:jc w:val="both"/>
        <w:rPr/>
      </w:pPr>
      <w:r>
        <w:rPr>
          <w:rFonts w:ascii="Arial;sans-serif" w:hAnsi="Arial;sans-serif"/>
          <w:b w:val="false"/>
          <w:i/>
          <w:color w:val="000000"/>
          <w:sz w:val="20"/>
        </w:rPr>
        <w:t xml:space="preserve">Related Party Transaction - </w:t>
      </w:r>
      <w:r>
        <w:rPr>
          <w:rFonts w:ascii="Arial;sans-serif" w:hAnsi="Arial;sans-serif"/>
          <w:b w:val="false"/>
          <w:color w:val="000000"/>
          <w:sz w:val="20"/>
        </w:rPr>
        <w:t>In the first quarter of 2025, the former Chief Executive Officer of Lugano represented that he had entered into an 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w:t>
      </w:r>
    </w:p>
    <w:p>
      <w:pPr>
        <w:pStyle w:val="TextBody"/>
        <w:bidi w:val="0"/>
        <w:spacing w:lineRule="auto" w:line="288" w:before="12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 xml:space="preserve">Lugano purchases inventory from a vendor who is a related party to Lugano through one of the executive officers of Lugano. The related party relationship commenced in the second quarter of 2024 and ended in the fourth quarter of 2025. During the years ended December 31, 2025 and 2024, Lugano purchased approximately $0.3 million and $7.0 million, respectively, in inventory from the vendor.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2"/>
        </w:rPr>
      </w:pPr>
      <w:r>
        <w:rPr>
          <w:rFonts w:ascii="Arial;sans-serif" w:hAnsi="Arial;sans-serif"/>
          <w:b/>
          <w:color w:val="000000"/>
          <w:sz w:val="22"/>
        </w:rPr>
        <w:t>Critical Accounting Policies and Estimates</w:t>
      </w:r>
    </w:p>
    <w:p>
      <w:pPr>
        <w:pStyle w:val="TextBody"/>
        <w:bidi w:val="0"/>
        <w:spacing w:lineRule="auto" w:line="288" w:before="120" w:after="283"/>
        <w:jc w:val="both"/>
        <w:rPr/>
      </w:pPr>
      <w:r>
        <w:rPr>
          <w:rFonts w:ascii="Arial;sans-serif" w:hAnsi="Arial;sans-serif"/>
          <w:b w:val="false"/>
          <w:color w:val="000000"/>
          <w:sz w:val="20"/>
        </w:rPr>
        <w:t>The preparation of our financial statements in conformity with GAAP requires management to adopt accounting policies and make estimates and judgments that affect the amounts reported in the financial statements and accompanying notes. Such estimates and judgments may involve varying degrees of uncertainty. Actual results could differ from these estimates under different assumptions and changes in other facts and circumstances, and potentially could result in materially different results. Our critical accounting estimates are discussed below. For a summary of our significant accounting policies, including those policies discussed below, refer to "</w:t>
      </w:r>
      <w:hyperlink w:anchor="i1c8fbf41abdb4a90b1f02abaa0b14bbd_265">
        <w:r>
          <w:rPr>
            <w:rStyle w:val="InternetLink"/>
            <w:rFonts w:ascii="Arial;sans-serif" w:hAnsi="Arial;sans-serif"/>
            <w:b w:val="false"/>
            <w:color w:val="0000FF"/>
            <w:sz w:val="20"/>
            <w:u w:val="single"/>
          </w:rPr>
          <w:t>Note B - Summary of Significant Accounting Policies</w:t>
        </w:r>
      </w:hyperlink>
      <w:r>
        <w:rPr>
          <w:rFonts w:ascii="Arial;sans-serif" w:hAnsi="Arial;sans-serif"/>
          <w:b w:val="false"/>
          <w:color w:val="000000"/>
          <w:sz w:val="20"/>
        </w:rPr>
        <w:t xml:space="preserve">" </w:t>
      </w:r>
      <w:r>
        <w:rPr>
          <w:rFonts w:ascii="Arial;sans-serif" w:hAnsi="Arial;sans-serif"/>
          <w:b w:val="false"/>
          <w:color w:val="000000"/>
          <w:sz w:val="20"/>
          <w:shd w:fill="FFFFFF" w:val="clear"/>
        </w:rPr>
        <w:t>included in the "Notes to the Consolidated Financial Statements" in this Form 10-K</w:t>
      </w:r>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6"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 into consideration information supplied by the management of the acquired entities and other relevant information. Determining the fair value of assets acquired and liabilities assumed requires management's judgment and often involves the use of assumptions with respect to future cash inflows and outflows, discount rates, royalty rates, customer attrition rates, asset lives and market multiples, among other items.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 We consider factors such as historical information, our plans for the asset and similar assets held by our previously acquired businesses. The impact could result in either higher or lower amortization and/or depreciation expense.</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Lugano Bankruptcy and Deconsolidation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November 16, 2025, Lugano and certain of its subsidiaries filed voluntary petitions for relief under Chapter 11 of the United States Bankruptcy Code in the United States Bankruptcy Court for the District of Delaware. As a result of the bankruptcy filing, the Company determined that it no longer had a controlling financial interest in Lugano and deconsolidated Lugano as of that date.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Following the deconsolidation, the Company retained an equity interest in Lugano but concluded that it does not have control or significant influence over Lugano due to the restrictions imposed by the bankruptcy proceedings. Accordingly, the Company elected to account for its retained equity interest at fair value. The fair value of the Company’s retained interest in Lugano was determined to have no value as of November 16, 2025 and December 31, 2025. This valuation was based on the Company’s assessment of the expected recovery from the bankruptcy proceedings, which considered the priority and amounts of secured and unsecured creditor claims that significantly exceed the estimated recovery proceeds. The Company evaluates the collectability of those amounts separately from any retained equity interest and records any impairment or allowance based on the facts and circumstances at each reporting date.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deconsolidation, the Company also recorded an estimate of amounts expected to be recoverable under its senior secured loan outstanding with Lugano prior to the bankruptcy filing. The estimate of the recovery receivable reflects management’s assessment of the expected distribution under the Chapter 11 proceedings based on information available as of November 16, 2025 and December 31, 2025. The estimate is subject to significant uncertainty and may change as the bankruptcy proceedings progress.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 result of the deconsolidation, the Company recorded a loss of $111.9 million, net of the fair value of its retained interest in Lugano and the estimate of the recovery receivable. The loss reflects the derecognition of Lugano’s net assets and includes the Company’s estimate of recoveries expected under its senior secured loan outstanding prior to the bankruptcy filing.</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Goodwill and Intangible Assets</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Goodwill and Indefinite Lived Intangible Assets</w:t>
      </w:r>
    </w:p>
    <w:p>
      <w:pPr>
        <w:pStyle w:val="TextBody"/>
        <w:bidi w:val="0"/>
        <w:spacing w:lineRule="auto" w:line="288" w:before="120" w:after="283"/>
        <w:jc w:val="both"/>
        <w:rPr/>
      </w:pPr>
      <w:r>
        <w:rPr>
          <w:rFonts w:ascii="Arial;sans-serif" w:hAnsi="Arial;sans-serif"/>
          <w:b w:val="false"/>
          <w:color w:val="000000"/>
          <w:sz w:val="20"/>
        </w:rPr>
        <w:t>Goodwill represents the excess amount of the purchase price over the fair value of the assets acquired. Our indefinite-lived intangible asset consists of a trade name with a carrying value of approximately $30.8 million. Our goodwill and indefinite lived intangible assets are tested for impairment on an annual basis as of March 31</w:t>
      </w:r>
      <w:r>
        <w:rPr>
          <w:rFonts w:ascii="Arial;sans-serif" w:hAnsi="Arial;sans-serif"/>
          <w:b w:val="false"/>
          <w:color w:val="000000"/>
          <w:sz w:val="13"/>
        </w:rPr>
        <w:t>st</w:t>
      </w:r>
      <w:r>
        <w:rPr>
          <w:rFonts w:ascii="Arial;sans-serif" w:hAnsi="Arial;sans-serif"/>
          <w:b w:val="false"/>
          <w:color w:val="000000"/>
          <w:sz w:val="20"/>
        </w:rPr>
        <w:t>, and if current events or circumstances require, on an interim basis. Goodwill is allocated to various reporting units, which are generally an operating segment or one level below the operating segment. Each of our businesses represents a reporting unit.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use a qualitative approach to test goodwill and indefinite lived intangible assets for impairment by first assessing qualitative factors to determine whether it is more-likely than-not that the fair value of a reporting unit is less than its carrying amount as a basis for determining whether it is necessary to perform quantitative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7"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 xml:space="preserve">than not to exceed its carrying value, we will perform a quantitative test at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prospective financial information that is used to determine the fair values of the reporting units requires us to make assumptions regarding future operational results including revenue growth rates and gross margins. If we do not achieve the forecasted revenue growth rates and operating margins, the results of the quantitative testing could change, potentially leading to additional testing and impairment at the reporting units that were tested quantitatively.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 </w:t>
      </w:r>
      <w:r>
        <w:rPr>
          <w:rFonts w:ascii="Arial;sans-serif" w:hAnsi="Arial;sans-serif"/>
          <w:b w:val="false"/>
          <w:color w:val="000000"/>
          <w:sz w:val="20"/>
          <w:shd w:fill="FFFFFF" w:val="clear"/>
        </w:rPr>
        <w:t>The determination of fair value involves the use of significant estimates and assumptions, including revenue growth rates, operating margins, working capital requirements, capital expenditures and terminal growth rates and actual results could differ from these estimates. Future events and changing market conditions may impact our assumptions and result in changes to our estimates.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Annual goodwill and indefinite lived intangible asset impairment testing</w:t>
      </w:r>
    </w:p>
    <w:p>
      <w:pPr>
        <w:pStyle w:val="TextBody"/>
        <w:bidi w:val="0"/>
        <w:spacing w:lineRule="auto" w:line="288" w:before="180" w:after="283"/>
        <w:jc w:val="both"/>
        <w:rPr/>
      </w:pPr>
      <w:r>
        <w:rPr>
          <w:rFonts w:ascii="Arial;sans-serif" w:hAnsi="Arial;sans-serif"/>
          <w:b w:val="false"/>
          <w:i/>
          <w:color w:val="000000"/>
          <w:sz w:val="20"/>
          <w:shd w:fill="FFFFFF" w:val="clear"/>
        </w:rPr>
        <w:t xml:space="preserve">2025 Annual Impairment Testing - </w:t>
      </w:r>
      <w:r>
        <w:rPr>
          <w:rFonts w:ascii="Arial;sans-serif" w:hAnsi="Arial;sans-serif"/>
          <w:b w:val="false"/>
          <w:color w:val="000000"/>
          <w:sz w:val="20"/>
        </w:rPr>
        <w:t>For our annual impairment testing at March 31, 2025, we performed a qualitative assessment of our reporting units with goodwill balances. The results of the qualitative analysis indicated that it was more-likely-than-not that the fair value of each of our reporting units except PrimaLoft exceeded their carrying value. Based on our analysis, we determined that the PrimaLoft operating segment required quantitative testing because we could not conclude that the fair value of the reporting unit significantly exceeded the carrying value based on qualitative factors alone. We</w:t>
      </w:r>
      <w:r>
        <w:rPr>
          <w:color w:val="000000"/>
          <w:shd w:fill="FFFFFF" w:val="clear"/>
        </w:rPr>
        <w:t xml:space="preserve"> </w:t>
      </w:r>
      <w:r>
        <w:rPr>
          <w:rFonts w:ascii="Arial;sans-serif" w:hAnsi="Arial;sans-serif"/>
          <w:b w:val="false"/>
          <w:color w:val="000000"/>
          <w:sz w:val="20"/>
          <w:shd w:fill="FFFFFF" w:val="clear"/>
        </w:rPr>
        <w:t>performed a quantitative test of PrimaLoft using an income approach and a market approach to determine the fair value of the PrimaLoft reporting unit. The discount rate used in the income approach was 11.3%. The results of the testing indicated that the fair value of PrimaLoft exceeded the carrying value by 12%.</w:t>
      </w:r>
    </w:p>
    <w:p>
      <w:pPr>
        <w:pStyle w:val="TextBody"/>
        <w:bidi w:val="0"/>
        <w:spacing w:lineRule="auto" w:line="288" w:before="180" w:after="283"/>
        <w:jc w:val="both"/>
        <w:rPr/>
      </w:pPr>
      <w:r>
        <w:rPr>
          <w:rFonts w:ascii="Arial;sans-serif" w:hAnsi="Arial;sans-serif"/>
          <w:b w:val="false"/>
          <w:i/>
          <w:color w:val="000000"/>
          <w:sz w:val="20"/>
          <w:shd w:fill="FFFFFF" w:val="clear"/>
        </w:rPr>
        <w:t xml:space="preserve">2024 Annual Impairment Testing - </w:t>
      </w:r>
      <w:r>
        <w:rPr>
          <w:rFonts w:ascii="Arial;sans-serif" w:hAnsi="Arial;sans-serif"/>
          <w:b w:val="false"/>
          <w:color w:val="000000"/>
          <w:sz w:val="20"/>
        </w:rPr>
        <w:t>For the Company's annual impairment testing at March 31, 2024, the Company performed a qualitative assessment of our reporting units. The results of the qualitative analysis indicated that it was more-likely-than-not that the fair value of each of our reporting units except Velocity exceeded their carrying value. Based on our analysis, the Company determined that the Velocity operating segment required quantitative testing because we could not conclude that the fair value of this reporting unit significantly exceeded the carrying value based on qualitative factors alone. The Company</w:t>
      </w:r>
      <w:r>
        <w:rPr>
          <w:color w:val="000000"/>
          <w:shd w:fill="FFFFFF" w:val="clear"/>
        </w:rPr>
        <w:t xml:space="preserve"> </w:t>
      </w:r>
      <w:r>
        <w:rPr>
          <w:rFonts w:ascii="Arial;sans-serif" w:hAnsi="Arial;sans-serif"/>
          <w:b w:val="false"/>
          <w:color w:val="000000"/>
          <w:sz w:val="20"/>
          <w:shd w:fill="FFFFFF" w:val="clear"/>
        </w:rPr>
        <w:t>performed a quantitative test of Velocity and the results of the testing indicated that the fair value of Velocity did not exceed the carrying value, resulting in goodwill impairment expense of $8.2 million as of March 31, 2024.</w:t>
      </w:r>
    </w:p>
    <w:p>
      <w:pPr>
        <w:pStyle w:val="TextBody"/>
        <w:bidi w:val="0"/>
        <w:spacing w:lineRule="auto" w:line="288" w:before="180" w:after="283"/>
        <w:jc w:val="both"/>
        <w:rPr/>
      </w:pPr>
      <w:r>
        <w:rPr>
          <w:rFonts w:ascii="Arial;sans-serif" w:hAnsi="Arial;sans-serif"/>
          <w:b w:val="false"/>
          <w:i/>
          <w:color w:val="000000"/>
          <w:sz w:val="20"/>
          <w:shd w:fill="FFFFFF" w:val="clear"/>
        </w:rPr>
        <w:t xml:space="preserve">2023 Annual Impairment Testing - </w:t>
      </w:r>
      <w:r>
        <w:rPr>
          <w:rFonts w:ascii="Arial;sans-serif" w:hAnsi="Arial;sans-serif"/>
          <w:b w:val="false"/>
          <w:color w:val="000000"/>
          <w:sz w:val="20"/>
        </w:rPr>
        <w:t xml:space="preserve">For our annual impairment testing at March 31, 2023, we performed a qualitative assessment of our reporting units. The results of the qualitative analysis indicated that it was more-likely-than-not that the fair value of each of our reporting units except Velocity exceeded their carrying value. Based on our analysis, we determined that the Velocity operating segment required quantitative testing because we could not conclude that the fair value of this reporting unit significantly exceeded the carrying value based on qualitative factors alone. </w:t>
      </w:r>
      <w:r>
        <w:rPr>
          <w:rFonts w:ascii="Arial;sans-serif" w:hAnsi="Arial;sans-serif"/>
          <w:b w:val="false"/>
          <w:color w:val="000000"/>
          <w:sz w:val="20"/>
          <w:shd w:fill="FFFFFF" w:val="clear"/>
        </w:rPr>
        <w:t xml:space="preserve">We performed the quantitative test of Velocity using an income approach to determine the fair value of the reporting unit. In developing the prospective financial information used in the income approach, we considered recent market conditions, taking into consideration the uncertainty associated with the current economic environment. The prospective financial information considered reporting unit specific facts and circumstances and was our best estimate of operational results and cash flows for the Velocity reporting unit as of the date of our impairment testing. The discount rate used in the income approach was 15.0%, and the results of the quantitative impairment testing indicated that the fair value of the Velocity reporting unit exceeded the carrying value by approximately 21%. The prospective financial information that was used to determine the fair values of the Velocity reporting unit required us to make assumptions regarding future operational results including revenue growth rates and gross margins.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8"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Interim Goodwill Impairment Testing</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2025 Interim goodwill impairment testing</w:t>
      </w:r>
    </w:p>
    <w:p>
      <w:pPr>
        <w:pStyle w:val="TextBody"/>
        <w:bidi w:val="0"/>
        <w:spacing w:lineRule="auto" w:line="288" w:before="180" w:after="283"/>
        <w:jc w:val="both"/>
        <w:rPr/>
      </w:pPr>
      <w:r>
        <w:rPr>
          <w:rFonts w:ascii="Arial;sans-serif" w:hAnsi="Arial;sans-serif"/>
          <w:b w:val="false"/>
          <w:color w:val="000000"/>
          <w:sz w:val="20"/>
          <w:u w:val="single"/>
        </w:rPr>
        <w:t>Arnold</w:t>
      </w:r>
      <w:r>
        <w:rPr>
          <w:color w:val="000000"/>
        </w:rPr>
        <w:t xml:space="preserve"> </w:t>
      </w:r>
      <w:r>
        <w:rPr>
          <w:rFonts w:ascii="Arial;sans-serif" w:hAnsi="Arial;sans-serif"/>
          <w:b w:val="false"/>
          <w:i/>
          <w:color w:val="000000"/>
          <w:sz w:val="20"/>
        </w:rPr>
        <w:t xml:space="preserve">- </w:t>
      </w:r>
      <w:r>
        <w:rPr>
          <w:rFonts w:ascii="Arial;sans-serif" w:hAnsi="Arial;sans-serif"/>
          <w:b w:val="false"/>
          <w:color w:val="000000"/>
          <w:sz w:val="20"/>
        </w:rPr>
        <w:t xml:space="preserve">During 2025, Arnold was negatively impacted by both production delays related to facility transitions, and supply chain constraints caused by export controls and disruption in the market for rare earth minerals, a key component in certain of Arnold's products. As a result, the operating results of Arnold were below our forecast and prior year results for the business. While Arnold's backlog continued to grow, the production delays and supply chain disruption caused by the export controls led us to determine that a triggering event occurred in the fourth quarter of 2025 and we performed an interim impairment test of goodwill as of October 31, 2025. We performed the impairment test using an income approach. The prospective financial information used in the income approach considered macroeconomic and geopolitical factors, industry and reporting unit specific data, and our best estimate of operational results and cash flows for the Arnold reporting unit as of the date of the impairment testing. </w:t>
      </w:r>
      <w:r>
        <w:rPr>
          <w:rFonts w:ascii="Arial;sans-serif" w:hAnsi="Arial;sans-serif"/>
          <w:b w:val="false"/>
          <w:color w:val="000000"/>
          <w:sz w:val="20"/>
          <w:shd w:fill="FFFFFF" w:val="clear"/>
        </w:rPr>
        <w:t xml:space="preserve">The discount rate used in the income approach was 14.2%. The results of the testing indicated that the fair value of Arnold exceeded the carrying value by 77%.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2023 Interim goodwill impairment testing</w:t>
      </w:r>
    </w:p>
    <w:p>
      <w:pPr>
        <w:pStyle w:val="TextBody"/>
        <w:bidi w:val="0"/>
        <w:spacing w:lineRule="auto" w:line="288" w:before="180" w:after="283"/>
        <w:jc w:val="both"/>
        <w:rPr/>
      </w:pPr>
      <w:r>
        <w:rPr>
          <w:rFonts w:ascii="Arial;sans-serif" w:hAnsi="Arial;sans-serif"/>
          <w:b w:val="false"/>
          <w:color w:val="000000"/>
          <w:sz w:val="20"/>
          <w:u w:val="single"/>
        </w:rPr>
        <w:t>PrimaLoft</w:t>
      </w:r>
      <w:r>
        <w:rPr>
          <w:color w:val="000000"/>
        </w:rPr>
        <w:t xml:space="preserve"> </w:t>
      </w:r>
      <w:r>
        <w:rPr>
          <w:rFonts w:ascii="Arial;sans-serif" w:hAnsi="Arial;sans-serif"/>
          <w:b w:val="false"/>
          <w:color w:val="000000"/>
          <w:sz w:val="20"/>
        </w:rPr>
        <w:t xml:space="preserve">- As a result of </w:t>
      </w:r>
      <w:r>
        <w:rPr>
          <w:rFonts w:ascii="Arial;sans-serif" w:hAnsi="Arial;sans-serif"/>
          <w:b w:val="false"/>
          <w:color w:val="000000"/>
          <w:sz w:val="20"/>
          <w:shd w:fill="FFFFFF" w:val="clear"/>
        </w:rPr>
        <w:t>operating results that were below forecast amounts that were used as the basis for the purchase price allocation performed when PrimaLoft was acquired as well as the failure of certain financial covenants in the intercompany credit agreement, we determined that a triggering event had occurred at PrimaLoft in the fourth quarter of 2023 and performed an interim impairment test of goodwill as of December 31, 2023. We performed the quantitative impairment test using both an income approach and a market approach. The prospective information used in the income approach considered macroeconomic data, industry and reporting unit specific facts and circumstances and was our best estimate of operational results and cash flows for the PrimaLoft reporting unit as of the date of our impairment testing. The discount rate used in the income approach was 11.3%. The results of the quantitative impairment testing indicated that the fair value of the PrimaLoft reporting unit did not exceed its carrying value, resulting in goodwill impairment expense of $57.8 million in the year ended December 31, 2023 at PrimaLoft. The fair value of the goodwill balance at PrimaLoft could be subject to additional impairment testing if actual cash flows and our estimates of future performance differ materially from those used in the impairment testing at December 31, 2023.</w:t>
      </w:r>
    </w:p>
    <w:p>
      <w:pPr>
        <w:pStyle w:val="TextBody"/>
        <w:bidi w:val="0"/>
        <w:spacing w:lineRule="auto" w:line="288" w:before="180" w:after="283"/>
        <w:jc w:val="both"/>
        <w:rPr/>
      </w:pPr>
      <w:r>
        <w:rPr>
          <w:rFonts w:ascii="Arial;sans-serif" w:hAnsi="Arial;sans-serif"/>
          <w:b w:val="false"/>
          <w:color w:val="000000"/>
          <w:sz w:val="20"/>
          <w:u w:val="single"/>
        </w:rPr>
        <w:t>Velocity</w:t>
      </w:r>
      <w:r>
        <w:rPr>
          <w:color w:val="000000"/>
        </w:rPr>
        <w:t xml:space="preserve"> </w:t>
      </w:r>
      <w:r>
        <w:rPr>
          <w:rFonts w:ascii="Arial;sans-serif" w:hAnsi="Arial;sans-serif"/>
          <w:b w:val="false"/>
          <w:color w:val="000000"/>
          <w:sz w:val="20"/>
        </w:rPr>
        <w:t>-</w:t>
      </w:r>
      <w:r>
        <w:rPr>
          <w:color w:val="000000"/>
          <w:shd w:fill="FFFFFF" w:val="clear"/>
        </w:rPr>
        <w:t xml:space="preserve"> </w:t>
      </w:r>
      <w:r>
        <w:rPr>
          <w:rFonts w:ascii="Arial;sans-serif" w:hAnsi="Arial;sans-serif"/>
          <w:b w:val="false"/>
          <w:color w:val="000000"/>
          <w:sz w:val="20"/>
          <w:shd w:fill="FFFFFF" w:val="clear"/>
        </w:rPr>
        <w:t xml:space="preserve">As a result of operating results that were below the forecast that we used in the quantitative impairment test of Velocity Outdoor at March 31, 2023 (see above), we determined that a triggering event had occurred at Velocity in the third quarter of 2023 and performed an interim impairment test of goodwill as of August 31, 2023. We performed the quantitative test of Velocity using an income approach to determine the fair value of the reporting unit. In developing the prospective financial information used in the income approach, we considered recent market conditions, taking into consideration the uncertainty associated with the current economic environment. The prospective financial information considered reporting unit specific facts and circumstances and is our best estimate of operational results and cash flows for the Velocity reporting unit as of the date of our impairment testing. </w:t>
      </w:r>
      <w:r>
        <w:rPr>
          <w:rFonts w:ascii="Arial;sans-serif" w:hAnsi="Arial;sans-serif"/>
          <w:b w:val="false"/>
          <w:color w:val="000000"/>
          <w:sz w:val="20"/>
        </w:rPr>
        <w:t>T</w:t>
      </w:r>
      <w:r>
        <w:rPr>
          <w:rFonts w:ascii="Arial;sans-serif" w:hAnsi="Arial;sans-serif"/>
          <w:b w:val="false"/>
          <w:color w:val="000000"/>
          <w:sz w:val="20"/>
          <w:shd w:fill="FFFFFF" w:val="clear"/>
        </w:rPr>
        <w:t>he discount rate used in the income approach was 17%, an increase of 2% as compared to the discount rate of 15% used in the March 2023 impairment testing for Velocity. The increase in the discount rate primarily reflects additional uncertainty associated with the prospective financial information used in the income approach. The results of the quantitative impairment testing indicated that the fair value of the Velocity reporting unit did not exceed the carrying value, resulting in a goodwill impairment and we recorded impairment expense of $31.6 million in the year ended December 31, 2023 at Velocity.</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Definite-Lived Intangible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Long-lived intangible assets subject to amortization, including customer relationships, non-compete agreements, permits and technology are amortized using the straight-line method over the estimated useful lives of the intangible assets, which we determine based on the consideration of several factors including the period of time the asset is expected to remain in service. We evaluate long-lived assets for potential impairment whenever events occur or circumstances indicate that the carrying amount of the assets may not be recoverable. The carrying amount of a long-lived asset is not recoverable if it exceeds the sum of the undiscounted cash flows expected to result from the use and eventual disposition of the asset. If the carrying amount of a long-lived asset is not recoverable and is greater than its fair value, the asset is impaired and an impairment loss must be recognized.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determination of fair values and estimated useful lives requires significant judgment both by our management team and by outside experts engaged to assist in this process. This judgment could result in either a higher or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9" name="Frame1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value assigned to our reporting units and intangible assets. The impact could result in either higher or lower amortization and/or the incurrence of an impairment charge.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Definite-Lived Intangible Asset Impairment Testing</w:t>
      </w:r>
    </w:p>
    <w:p>
      <w:pPr>
        <w:pStyle w:val="TextBody"/>
        <w:bidi w:val="0"/>
        <w:spacing w:lineRule="auto" w:line="288" w:before="180" w:after="283"/>
        <w:jc w:val="both"/>
        <w:rPr/>
      </w:pPr>
      <w:r>
        <w:rPr>
          <w:rFonts w:ascii="Arial;sans-serif" w:hAnsi="Arial;sans-serif"/>
          <w:b w:val="false"/>
          <w:color w:val="000000"/>
          <w:sz w:val="20"/>
          <w:u w:val="single"/>
        </w:rPr>
        <w:t>Lugano</w:t>
      </w:r>
      <w:r>
        <w:rPr>
          <w:color w:val="000000"/>
        </w:rPr>
        <w:t xml:space="preserve"> </w:t>
      </w:r>
      <w:r>
        <w:rPr>
          <w:rFonts w:ascii="Arial;sans-serif" w:hAnsi="Arial;sans-serif"/>
          <w:b w:val="false"/>
          <w:color w:val="000000"/>
          <w:sz w:val="20"/>
        </w:rPr>
        <w:t>- We performed an impairment test of the definite lived intangible assets at Lugano at December 31, 2023 and 2022. The results of the impairment testing indicated that the fair value of the customer relationship did not exceed the carrying value and we recorded impairment expense of $1.2 million at December 31, 2023. The customer relationship intangible asset had no remaining value at December 31, 2023.</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Allocation Interests</w:t>
      </w:r>
    </w:p>
    <w:p>
      <w:pPr>
        <w:pStyle w:val="TextBody"/>
        <w:bidi w:val="0"/>
        <w:spacing w:lineRule="auto" w:line="288" w:before="120" w:after="283"/>
        <w:jc w:val="both"/>
        <w:rPr/>
      </w:pPr>
      <w:r>
        <w:rPr>
          <w:rFonts w:ascii="Arial;sans-serif" w:hAnsi="Arial;sans-serif"/>
          <w:b w:val="false"/>
          <w:color w:val="000000"/>
          <w:sz w:val="20"/>
        </w:rPr>
        <w:t>At the time of our Initial Public Offering, we issued Allocation Interests governed by our LLC Agreement that entitled the Holders to receive distributions pursuant to a profit allocation formula upon the occurrence of certain events. The Holders are entitled to receive, if due pursuant to the profit allocation formula, an allocation payment upon a Sale Event and upon election of the Holder upon a Holding Event. The payment to the Holders for a Sale Event is based on the pre-tax gain from the sale of the business, as part of the gain is allocated to the Holders and reduced by the tax that would be due on the sale transaction by the Company. Payments of profit allocation to the Holders are accounted for as dividends declared on Allocation Interests and recorded in stockholders' equity once they are approved by our Board.</w:t>
      </w:r>
      <w:r>
        <w:rPr>
          <w:color w:val="000000"/>
        </w:rPr>
        <w:t xml:space="preserve"> </w:t>
      </w: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40"/>
        <w:jc w:val="both"/>
        <w:rPr/>
      </w:pPr>
      <w:r>
        <w:rPr>
          <w:rFonts w:ascii="Arial;sans-serif" w:hAnsi="Arial;sans-serif"/>
          <w:b w:val="false"/>
          <w:color w:val="000000"/>
          <w:sz w:val="20"/>
        </w:rPr>
        <w:t>Refer to "</w:t>
      </w:r>
      <w:hyperlink w:anchor="i1c8fbf41abdb4a90b1f02abaa0b14bbd_265">
        <w:r>
          <w:rPr>
            <w:rStyle w:val="InternetLink"/>
            <w:rFonts w:ascii="Arial;sans-serif" w:hAnsi="Arial;sans-serif"/>
            <w:b w:val="false"/>
            <w:color w:val="0000FF"/>
            <w:sz w:val="20"/>
            <w:u w:val="single"/>
          </w:rPr>
          <w:t>Note B - Summary of Significant Accounting Policies</w:t>
        </w:r>
      </w:hyperlink>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included in the "Notes to the Consolidated Financial Statements" in this Form 10-K, </w:t>
      </w:r>
      <w:r>
        <w:rPr>
          <w:rFonts w:ascii="Arial;sans-serif" w:hAnsi="Arial;sans-serif"/>
          <w:b w:val="false"/>
          <w:color w:val="000000"/>
          <w:sz w:val="20"/>
        </w:rPr>
        <w:t>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20" name="Frame1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ITEM 7A.</w:t>
      </w:r>
      <w:r>
        <w:rPr>
          <w:color w:val="000000"/>
        </w:rPr>
        <w:t xml:space="preserve"> – </w:t>
      </w:r>
      <w:r>
        <w:rPr>
          <w:rFonts w:ascii="Arial;sans-serif" w:hAnsi="Arial;sans-serif"/>
          <w:b/>
          <w:color w:val="000000"/>
          <w:sz w:val="22"/>
        </w:rPr>
        <w:t>Quantitative and Qualitative Disclosures about Market Risk</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Interest Rate Sensitivity</w:t>
      </w:r>
    </w:p>
    <w:p>
      <w:pPr>
        <w:pStyle w:val="TextBody"/>
        <w:bidi w:val="0"/>
        <w:spacing w:lineRule="auto" w:line="288" w:before="120" w:after="283"/>
        <w:jc w:val="both"/>
        <w:rPr/>
      </w:pPr>
      <w:r>
        <w:rPr>
          <w:rFonts w:ascii="Arial;sans-serif" w:hAnsi="Arial;sans-serif"/>
          <w:b w:val="false"/>
          <w:color w:val="000000"/>
          <w:sz w:val="20"/>
        </w:rPr>
        <w:t>At December 31, 2025, our debt includes both fixed rate and variable rate instruments. We are exposed to interest rate risk primarily through borrowings under our 2022 Credit Facility because borrowings under this agreement are subject to variable interest rates based on SOFR. We had $552.5 million outstanding under the 2022 Term Loan and no amount</w:t>
      </w:r>
      <w:r>
        <w:rPr>
          <w:color w:val="000000"/>
        </w:rPr>
        <w:t xml:space="preserve"> </w:t>
      </w:r>
      <w:r>
        <w:rPr>
          <w:rFonts w:ascii="Arial;sans-serif" w:hAnsi="Arial;sans-serif"/>
          <w:b w:val="false"/>
          <w:color w:val="000000"/>
          <w:sz w:val="20"/>
        </w:rPr>
        <w:t>outstanding under our 2022 Revolving Credit Facility at December 31,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one-month SOFR was at an average of 369 basis points at December 31, 2025, and the three-month SOFR was at an average of 365 basis points at December 31, 2025. We currently estimate that a 100 basis point increase in SOFR would not have a material impact on our results of operations, cash flows or financial condition. The effect of a 100 basis point increase on the outstanding borrowings subject to variable interest rates at December 31, 2025 would be approximately $5.5 million additional annual interest expense.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expect to have additional borrowings under our 2022 Credit Facility in the future in order to finance our short term working capital needs and future acquisitions. These borrowings will be subject to variable interest rates.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Foreign Exchange Rate Sensitivity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exposed to foreign currency exchange rate risk arising from transactions in the normal course of business at certain of our subsidiaries, such as sales to third-party customers, foreign plant operations, and purchases from suppliers. Foreign exchange transactions do not materially affect our operations as a significant portion of our operations are domestic.</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Credit Risk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is exposed to credit risk primarily through its cash and cash equivalents, investments, trade receivables, and other receivables. The Company does not believe that its cash equivalents or investments present significant credit risk, as the counterparties consist of major financial institutions. In addition, the Company manages its exposure by limiting the notional amount of instruments entered into with any single counterparty.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Cash and cash equivalents at December 31, 2025 consisted primarily of (i) treasury</w:t>
        <w:noBreakHyphen/>
        <w:t>backed securities, (ii) insured prime money market funds, and (iii) cash balances held in several non</w:t>
        <w:noBreakHyphen/>
        <w:t>interest</w:t>
        <w:noBreakHyphen/>
        <w:t>bearing checking accounts.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Substantially all trade receivables are unsecured. The concentration of credit risk related to trade receivables is limited due to the large number of customers and their dispersion across various industries and geographic regions. However, a prolonged economic downturn could increase the Company’s exposure to credit losses. The Company performs ongoing credit evaluations of its customers and maintains an allowance for expected credit losses.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addition, the Company has recorded a recovery receivable related to amounts expected to be recoverable under its senior secured loan associated with the Lugano Chapter 11 bankruptcy proceedings. The recovery receivable is subject to credit risk and significant uncertainty, as the ultimate amount and timing of recovery are dependent on the outcome of the bankruptcy proceedings. The Company’s estimate of the recovery receivable reflects management’s assessment of expected distributions based on information available as of the reporting date and may change as the proceedings progress.</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21"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ITEM 8. FINANCIAL STATEMENTS AND SUPPLEMENTARY DATA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consolidated financial statements and financial statement schedules referred to in the index contained on page F-1 of this report are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22" name="Frame1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9.  CHANGES IN AND DISAGREEMENTS WITH ACCOUNTANTS ON ACCOUNTING AND FINANCIAL DISCLOSURE</w:t>
      </w:r>
    </w:p>
    <w:p>
      <w:pPr>
        <w:pStyle w:val="TextBody"/>
        <w:bidi w:val="0"/>
        <w:spacing w:lineRule="auto" w:line="288" w:before="120" w:after="283"/>
        <w:ind w:left="0" w:right="0" w:firstLine="495"/>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3" name="Frame1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shd w:fill="FFFFFF" w:val="clear"/>
        </w:rPr>
      </w:pPr>
      <w:r>
        <w:rPr>
          <w:rFonts w:ascii="Arial;sans-serif" w:hAnsi="Arial;sans-serif"/>
          <w:b/>
          <w:color w:val="000000"/>
          <w:sz w:val="22"/>
          <w:shd w:fill="FFFFFF" w:val="clear"/>
        </w:rPr>
        <w:t>ITEM 9A. CONTROLS AND PROCEDURES</w:t>
      </w:r>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Disclosure Controls and Procedures</w:t>
      </w:r>
    </w:p>
    <w:p>
      <w:pPr>
        <w:pStyle w:val="TextBody"/>
        <w:bidi w:val="0"/>
        <w:spacing w:lineRule="auto" w:line="288" w:before="100" w:after="283"/>
        <w:jc w:val="both"/>
        <w:rPr>
          <w:rFonts w:ascii="Arial;sans-serif" w:hAnsi="Arial;sans-serif"/>
          <w:b w:val="false"/>
          <w:i/>
          <w:color w:val="000000"/>
          <w:sz w:val="20"/>
        </w:rPr>
      </w:pPr>
      <w:r>
        <w:rPr>
          <w:rFonts w:ascii="Arial;sans-serif" w:hAnsi="Arial;sans-serif"/>
          <w:b w:val="false"/>
          <w:i/>
          <w:color w:val="000000"/>
          <w:sz w:val="20"/>
        </w:rPr>
        <w:t>Management’s Evaluation of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management, with the participation of our Chief Executive Officer and Chief Financial Officer, has performed an evaluation of the effectiveness of the Company’s disclosure controls and procedures (as such term is defined in Rules 13a-15(e) and 15d-15(e) under the Exchange Act) as of December 31, 2025. Based on this evaluation, our Chief Executive Officer and Chief Financial Officer concluded that, as of December 31, 2025, our disclosure controls and procedures were not effective due to the material weaknesses in internal control over financial reporting described below.</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Report of Management on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management is responsible for establishing and maintaining adequate internal control over financial reporting (as such term is defined in Rules 13a-15(f) and 15d-15(f) of the Exchange Act). The Company’s internal control system is designed to provide reasonable assurance regarding the reliability of financial reporting and the preparation of financial statements in accordance with generally accepted accounting principles.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management assessed the effectiveness of our internal control over financial reporting as of December 31, 2025. In making this assessment, our management used the criteria set forth by the Committee of Sponsoring Organizations of the Treadway Commission (“COSO”) in Internal Control—Integrated Framework (2013 framework). Based on this assessment, management concluded that the Company’s internal control over financial reporting was not effective as of December 31, 2025, due to the material weaknesses described below.</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Attestation Report of the Registered Public Accounting Firm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Our independent registered public accounting firm has issued an attestation report on the effectiveness of our internal control over financial reporting. This report appears in Item 8 of this Annual Report on Form 10-K.</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Material Weaknesses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connection with the Lugano Investigation and the related restatement of our previously issued consolidated financial statements, the Company identified certain material weaknesses as of December 31, 2024. Because Lugano was deconsolidated from the Company’s consolidated financial statements as of the date of its Chapter 11 filing in November 2025, certain material weaknesses previously identified within Lugano’s operations (including tone at the top considerations relating to the former Lugano chief executive officer, segregation of duties and security access rights for the former Lugano chief executive officer, and revenue, inventory, and expense controls at Lugano) no longer form part of the assessment of the Company’s internal control over financial reporting as of December 31, 2025.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December 31, 2025, management determined that the following material weaknesses (which were previously identified and disclosed in connection with the Lugano Investigation and CODI’s restatement of its historical financial reports filed with the SEC on Form 10-K/A on December 8, 2025) remained unremediated:</w:t>
      </w:r>
    </w:p>
    <w:p>
      <w:pPr>
        <w:pStyle w:val="TextBody"/>
        <w:bidi w:val="0"/>
        <w:spacing w:lineRule="auto" w:line="288" w:before="180" w:after="283"/>
        <w:ind w:left="0" w:right="0" w:hanging="360"/>
        <w:jc w:val="both"/>
        <w:rPr/>
      </w:pPr>
      <w:r>
        <w:rPr>
          <w:rFonts w:ascii="Arial;sans-serif" w:hAnsi="Arial;sans-serif"/>
          <w:b w:val="false"/>
          <w:color w:val="000000"/>
          <w:sz w:val="20"/>
        </w:rPr>
        <w:t>1.</w:t>
      </w:r>
      <w:r>
        <w:rPr>
          <w:rFonts w:ascii="Arial;sans-serif" w:hAnsi="Arial;sans-serif"/>
          <w:b/>
          <w:color w:val="000000"/>
          <w:sz w:val="20"/>
        </w:rPr>
        <w:t xml:space="preserve">Risk assessment and control design over operating subsidiaries’ specific risks. </w:t>
      </w:r>
      <w:r>
        <w:rPr>
          <w:rFonts w:ascii="Arial;sans-serif" w:hAnsi="Arial;sans-serif"/>
          <w:b w:val="false"/>
          <w:color w:val="000000"/>
          <w:sz w:val="20"/>
        </w:rPr>
        <w:t xml:space="preserve">Company management did not effectively execute its subsidiary risk assessment processes to identify and address industry and operating risks at its former subsidiary, Lugano. This resulted in an incomplete understanding of certain risks and the manner and means of fraud and loss associated with Lugano’s industry and practices. Specifically, the Company’s risk assessment processes did not include a sufficiently formal or rigorous evaluation of risks associated with subsidiary operations. </w:t>
      </w:r>
    </w:p>
    <w:p>
      <w:pPr>
        <w:pStyle w:val="TextBody"/>
        <w:bidi w:val="0"/>
        <w:spacing w:lineRule="auto" w:line="288" w:before="180" w:after="283"/>
        <w:ind w:left="0" w:right="0" w:hanging="360"/>
        <w:jc w:val="both"/>
        <w:rPr/>
      </w:pPr>
      <w:r>
        <w:rPr>
          <w:rFonts w:ascii="Arial;sans-serif" w:hAnsi="Arial;sans-serif"/>
          <w:b w:val="false"/>
          <w:color w:val="000000"/>
          <w:sz w:val="20"/>
        </w:rPr>
        <w:t>2.</w:t>
      </w:r>
      <w:r>
        <w:rPr>
          <w:rFonts w:ascii="Arial;sans-serif" w:hAnsi="Arial;sans-serif"/>
          <w:b/>
          <w:color w:val="000000"/>
          <w:sz w:val="20"/>
        </w:rPr>
        <w:t xml:space="preserve">Monitoring controls and control environment over operating subsidiaries. </w:t>
      </w:r>
      <w:r>
        <w:rPr>
          <w:rFonts w:ascii="Arial;sans-serif" w:hAnsi="Arial;sans-serif"/>
          <w:b w:val="false"/>
          <w:color w:val="000000"/>
          <w:sz w:val="20"/>
        </w:rPr>
        <w:t xml:space="preserve">Compensating and monitoring review controls implemented by management over its operating subsidiaries, including Lugano, lacked sufficient precision and rigor to effectively mitigate the risk of material misstatement. This includes timely identification and escalation of control deficiencies and other indicators of risk, as well as maintaining sufficient contemporaneous evidence to support the level of precision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4" name="Frame1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monitoring review controls. Accordingly, the Company did not design and/or maintain appropriate monitoring review controls that adequately addressed those risks. </w:t>
      </w:r>
    </w:p>
    <w:p>
      <w:pPr>
        <w:pStyle w:val="TextBody"/>
        <w:bidi w:val="0"/>
        <w:spacing w:lineRule="auto" w:line="268" w:before="180" w:after="283"/>
        <w:jc w:val="left"/>
        <w:rPr>
          <w:rFonts w:ascii="Arial;sans-serif" w:hAnsi="Arial;sans-serif"/>
          <w:b w:val="false"/>
          <w:i/>
          <w:color w:val="000000"/>
          <w:sz w:val="20"/>
        </w:rPr>
      </w:pPr>
      <w:r>
        <w:rPr>
          <w:rFonts w:ascii="Arial;sans-serif" w:hAnsi="Arial;sans-serif"/>
          <w:b w:val="false"/>
          <w:i/>
          <w:color w:val="000000"/>
          <w:sz w:val="20"/>
        </w:rPr>
        <w:t>Remediation and Status of Remediation Efforts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Although the material weaknesses were originally identified in connection with Lugano, the Company has implemented and continues to implement remediation measures at the CODI level to address the material weaknesses described above including enhancements to our subsidiary risk assessment processes, monitoring, and escalation, and governance and oversight practices supporting the design and operation of controls, including: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Outsourcing the internal audit function to a qualified third-party service provider to support risk assessment, testing, and monitoring activities and to provide additional resources and expertise;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Re-evaluating investment processes, parameters, risk assessment and governance requirements over subsidiaries;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Enhancing post-acquisition onboarding processes;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Evaluating and enhancing risk and compliance functions, including the effectiveness of implementation and monitoring of risk management and controls at the subsidiary level and of the whistleblower program;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Enhancing processes for identifying and assessing risks at operating subsidiaries, including procedures designed to identify and evaluate industry-specific risks and practices, and to incorporate those risks into our control design and monitoring activities;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Implementing additional management review and monitoring procedures focused on areas of elevated risk across operating subsidiaries, refining the level of precision of such monitoring controls, and including processes intended to improve the timeliness and effectiveness of escalation of control issues and other indicators of risk to senior management and the Audit Committee;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Continuing to evaluate and update policies, procedures, and governance practices relating to subsidiary oversight and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Although the Company has made progress in implementing these remediation actions, management will not be able to conclude that the enhanced controls are operating effectively until they have operated for a sufficient period of time and management has been able to test, and conclude on, their operating effectiveness. Management may also determine that additional remediation measures are required as our evaluation continues. While management believes the actions described above will improve internal control over financial reporting, there can be no assurance that these measures will remediate the material weaknesses or that additional material weaknesses will not be identified in the future.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Notwithstanding the material weaknesses described above, management believes that the consolidated financial statements included in this Annual Report on Form 10-K have been prepared in accordance with U.S. GAAP and fairly present, in all material respects, our financial position, results of operations and cash flows as of and for the periods presented.</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quarter ended December 31, 2025, the Company implemented certain of the remediation actions described above intended to address the material weaknesses described herein. Other than these remediation actions,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5"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Arial;sans-serif" w:hAnsi="Arial;sans-serif"/>
          <w:b/>
          <w:color w:val="000000"/>
          <w:sz w:val="22"/>
        </w:rPr>
      </w:pPr>
      <w:r>
        <w:rPr>
          <w:rFonts w:ascii="Arial;sans-serif" w:hAnsi="Arial;sans-serif"/>
          <w:b/>
          <w:color w:val="000000"/>
          <w:sz w:val="22"/>
        </w:rPr>
        <w:t>ITEM 9B. OTHER INFORMATION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Trading Plans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December 31, 2025, none of the Company’s directors or officers adopted or terminated a Rule 10b5-1 trading arrangement or a non-Rule 10b5-1 trading arrangement (each as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Arial;sans-serif" w:hAnsi="Arial;sans-serif"/>
          <w:b/>
          <w:color w:val="000000"/>
          <w:sz w:val="22"/>
        </w:rPr>
        <w:t xml:space="preserve">ITEM 9C. </w:t>
      </w:r>
      <w:r>
        <w:rPr>
          <w:rFonts w:ascii="Arial;sans-serif" w:hAnsi="Arial;sans-serif"/>
          <w:b/>
          <w:color w:val="000000"/>
          <w:sz w:val="24"/>
        </w:rPr>
        <w:t>Disclosure Regarding Foreign Jurisdictions That Prevent Inspections</w:t>
      </w:r>
    </w:p>
    <w:p>
      <w:pPr>
        <w:pStyle w:val="TextBody"/>
        <w:bidi w:val="0"/>
        <w:spacing w:lineRule="auto" w:line="26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6" name="Frame1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2"/>
        </w:rPr>
      </w:pPr>
      <w:r>
        <w:rPr>
          <w:rFonts w:ascii="Arial;sans-serif" w:hAnsi="Arial;sans-serif"/>
          <w:b/>
          <w:color w:val="000000"/>
          <w:sz w:val="22"/>
        </w:rPr>
        <w:t>ITEM 10. DIRECTORS, EXECUTIVE OFFICERS AND CORPORATE GOVERNANCE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Information concerning our executive officers is incorporated herein by reference to information included in the Proxy Statement for our 2026 Annual Meeting of Shareholders under the caption “Board of Directors, Executive Officers and Committees.”</w:t>
      </w:r>
    </w:p>
    <w:p>
      <w:pPr>
        <w:pStyle w:val="TextBody"/>
        <w:bidi w:val="0"/>
        <w:spacing w:lineRule="auto" w:line="268" w:before="180" w:after="283"/>
        <w:jc w:val="both"/>
        <w:rPr>
          <w:rFonts w:ascii="Arial;sans-serif" w:hAnsi="Arial;sans-serif"/>
          <w:b w:val="false"/>
          <w:color w:val="000000"/>
          <w:sz w:val="20"/>
        </w:rPr>
      </w:pPr>
      <w:r>
        <w:rPr>
          <w:rFonts w:ascii="Arial;sans-serif" w:hAnsi="Arial;sans-serif"/>
          <w:b w:val="false"/>
          <w:color w:val="000000"/>
          <w:sz w:val="20"/>
        </w:rPr>
        <w:t>Information with respect to our directors and the nomination process is incorporated herein by reference to information included in the 2026 Proxy Statement under the caption “Board of Directors, Executive Officers and Committees.”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Information regarding our corporate governance, including our Audit Committee and code of ethics, is incorporated herein by reference to information included in the 2026 Proxy Statement under the caption “Corporate Governance.”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Information regarding compliance with Section 16(a) of the Exchange Act is incorporated herein by reference to information included in the 2026 Proxy Statement under the caption “Share Ownership of Directors, Nominees, Executive Officers and Principal Shareholders.”</w:t>
      </w:r>
    </w:p>
    <w:p>
      <w:pPr>
        <w:pStyle w:val="TextBody"/>
        <w:bidi w:val="0"/>
        <w:spacing w:lineRule="auto" w:line="288" w:before="180" w:after="240"/>
        <w:jc w:val="both"/>
        <w:rPr>
          <w:rFonts w:ascii="Arial;sans-serif" w:hAnsi="Arial;sans-serif"/>
          <w:b w:val="false"/>
          <w:color w:val="000000"/>
          <w:sz w:val="20"/>
        </w:rPr>
      </w:pPr>
      <w:r>
        <w:rPr>
          <w:rFonts w:ascii="Arial;sans-serif" w:hAnsi="Arial;sans-serif"/>
          <w:b w:val="false"/>
          <w:color w:val="000000"/>
          <w:sz w:val="20"/>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ITEM 11. EXECUTIVE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Information with respect to executive compensation is incorporated herein by reference to information included in the Proxy Statement for our 2026 Annual Meeting of Shareholders under the captions “Our Pay”; “Compensation Discussion and Analysis”; and “Pay Versus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2"/>
        </w:rPr>
      </w:pPr>
      <w:r>
        <w:rPr>
          <w:rFonts w:ascii="Arial;sans-serif" w:hAnsi="Arial;sans-serif"/>
          <w:b/>
          <w:color w:val="000000"/>
          <w:sz w:val="22"/>
        </w:rPr>
        <w:t>ITEM 12. SECURITY OWNERSHIP OF CERTAIN BENEFICIAL OWNERS AND MANAGEMENT AND RELATED STOCKHOLDER MATTERS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Information with respect to security ownership of certain beneficial owners and management is incorporated herein by reference to information included in the 2026 Proxy Statement under the caption “Share Ownership of Directors, Nominees, Executive Officers and Principal Shareholders.”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Securities Authorized for Issuance under Equity Compensation Plans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are no securities currently authorized for issuance under an equity compensation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2"/>
        </w:rPr>
      </w:pPr>
      <w:r>
        <w:rPr>
          <w:rFonts w:ascii="Arial;sans-serif" w:hAnsi="Arial;sans-serif"/>
          <w:b/>
          <w:color w:val="000000"/>
          <w:sz w:val="22"/>
        </w:rPr>
        <w:t>ITEM 13. CERTAIN RELATIONSHIPS AND RELATED TRANSACTIONS, AND DIRECTOR INDEPENDENCE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Information with respect to such contractual relationships and independence is incorporated herein by reference to the information in the 2026 Proxy Statement under the caption “Certain Relationships and Related Person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2"/>
        </w:rPr>
      </w:pPr>
      <w:r>
        <w:rPr>
          <w:rFonts w:ascii="Arial;sans-serif" w:hAnsi="Arial;sans-serif"/>
          <w:b/>
          <w:color w:val="000000"/>
          <w:sz w:val="22"/>
        </w:rPr>
        <w:t>ITEM 14. PRINCIPAL ACCOUNTANT FEES AND SERVICES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Information with respect to principal accountant fees and services and pre-approval policies are incorporated herein by reference to information included in the 2026 Proxy Statement under the caption “Our Auditors”.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7" name="Frame1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15. EXHIBITS AND FINANCIAL STATEMENT SCHEDULES</w:t>
      </w:r>
    </w:p>
    <w:p>
      <w:pPr>
        <w:pStyle w:val="TextBody"/>
        <w:bidi w:val="0"/>
        <w:spacing w:lineRule="auto" w:line="288" w:before="240" w:after="283"/>
        <w:ind w:left="0" w:right="0" w:hanging="270"/>
        <w:jc w:val="left"/>
        <w:rPr>
          <w:rFonts w:ascii="Arial;sans-serif" w:hAnsi="Arial;sans-serif"/>
          <w:b w:val="false"/>
          <w:color w:val="000000"/>
          <w:sz w:val="20"/>
        </w:rPr>
      </w:pPr>
      <w:r>
        <w:rPr>
          <w:rFonts w:ascii="Arial;sans-serif" w:hAnsi="Arial;sans-serif"/>
          <w:b w:val="false"/>
          <w:color w:val="000000"/>
          <w:sz w:val="20"/>
        </w:rPr>
        <w:t>1.Financial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Registrant, see “Index to Consolidated Financial Statements and Supplemental Financial Data” set forth on page F-1.</w:t>
      </w:r>
    </w:p>
    <w:p>
      <w:pPr>
        <w:pStyle w:val="TextBody"/>
        <w:bidi w:val="0"/>
        <w:spacing w:before="0" w:after="0"/>
        <w:jc w:val="both"/>
        <w:rPr/>
      </w:pPr>
      <w:r>
        <w:rPr/>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2.Financial Statement Schedule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Registrant, see “Index to Consolidated Financial Statements and Supplemental Financial Data” set forth on page S-1.</w:t>
      </w:r>
    </w:p>
    <w:p>
      <w:pPr>
        <w:pStyle w:val="TextBody"/>
        <w:bidi w:val="0"/>
        <w:spacing w:before="0" w:after="0"/>
        <w:jc w:val="both"/>
        <w:rPr/>
      </w:pPr>
      <w:r>
        <w:rPr/>
      </w:r>
    </w:p>
    <w:p>
      <w:pPr>
        <w:pStyle w:val="TextBody"/>
        <w:bidi w:val="0"/>
        <w:spacing w:lineRule="auto" w:line="288" w:before="240" w:after="283"/>
        <w:ind w:left="0" w:right="0" w:hanging="270"/>
        <w:jc w:val="both"/>
        <w:rPr>
          <w:rFonts w:ascii="Arial;sans-serif" w:hAnsi="Arial;sans-serif"/>
          <w:b w:val="false"/>
          <w:color w:val="000000"/>
          <w:sz w:val="20"/>
        </w:rPr>
      </w:pPr>
      <w:r>
        <w:rPr>
          <w:rFonts w:ascii="Arial;sans-serif" w:hAnsi="Arial;sans-serif"/>
          <w:b w:val="false"/>
          <w:color w:val="000000"/>
          <w:sz w:val="20"/>
        </w:rPr>
        <w:t>3.Exhibits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Registrant, see “Index to Exhibits” set forth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8" name="Frame1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INDEX TO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3069"/>
        <w:gridCol w:w="2935"/>
        <w:gridCol w:w="2968"/>
        <w:gridCol w:w="15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u w:val="single"/>
              </w:rPr>
            </w:pPr>
            <w:r>
              <w:rPr>
                <w:rFonts w:ascii="Arial;sans-serif" w:hAnsi="Arial;sans-serif"/>
                <w:b/>
                <w:color w:val="000000"/>
                <w:sz w:val="17"/>
                <w:u w:val="single"/>
              </w:rPr>
              <w:t>Description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7"/>
                  <w:u w:val="single"/>
                </w:rPr>
                <w:t>Stock and Note Purchase Agreement dated as of July 31, 2006, among Compass Group Diversified Holdings LLC, Compass Group Investments, Inc. and Compass Medical Mattress Partners, LP (incorporated by reference to Exhibit 2.1 of the Form 8-K filed on August 1, 2006 (File No. 000-51937)).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17"/>
                  <w:u w:val="single"/>
                </w:rPr>
                <w:t>Stock Purchase Agreement dated June 24, 2008, among Compass Group Diversified Holdings LLC and the other shareholders party thereto, Compass Group Diversified Holdings LLC, as Sellers’ Representative, Aeroglide Holdings, Inc. and Bühler AG (incorporated by reference to Exhibit 2.1 of the Form 8-K filed on June 26, 2008 (File No. 000-51937)).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17"/>
                  <w:u w:val="single"/>
                </w:rPr>
                <w:t>Stock Purchase Agreement, dated October 17, 2011, by and among Recruit Co., LTD. and RGF Staffing USA, Inc., as Buyers, the shareholders of Staffmark Holdings, Inc., as Sellers, Staffmark Holdings, Inc. and Compass Group Diversified Holdings LLC as Seller Representative (incorporated by reference to Exhibit 2.1 of the Form 8-K filed on October 18, 2011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Arial;sans-serif" w:hAnsi="Arial;sans-serif"/>
                  <w:b w:val="false"/>
                  <w:color w:val="0000FF"/>
                  <w:sz w:val="17"/>
                  <w:u w:val="single"/>
                </w:rPr>
                <w:t>Stock Purchase Agreement dated May 1, 2012, among Candlelight Investment Holdings, Inc., Halo Holding Corporation, Halo Lee Wayne, LLC and each of the holders of equity interests of Halo Lee Wayne, LLC listed on Exhibit A thereto (incorporated by reference to Exhibit 2.1 of the Form 8-K filed on May 2, 2012(File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7"/>
                  <w:u w:val="single"/>
                </w:rPr>
                <w:t>Stock Purchase Agreement, dated May 8, 2019, by and among (i) Calrissian Holdings, LLC; (ii) CEHI Acquisition Corporation; (iii) Compass Group Diversified Holdings LLC; (iv) each Stockholder and Optionholder of the Company; and (v) solely for the purposes of Section 9(r) thereof, Harsco Corporation (incorporated by reference to Exhibit 2.1 of the Form 8-K filed on May 9, 2019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7"/>
                  <w:u w:val="single"/>
                </w:rPr>
                <w:t>Stock Purchase Agreement by and among Compass Group Diversified Holdings LLC, Compass Group Investments, Inc., Compass CS Partners, L.P., Compass CS II Partners, L.P., Compass Crosman Partners, L.P., Compass Advanced Partners, L.P. and Compass Silvue Partners, LP (incorporated by reference to Exhibit 2.1 of the Form S-1 filed on April 13, 2006 (File No. 333-130326)).</w:t>
              </w:r>
            </w:hyperlink>
            <w:r>
              <w:rPr>
                <w:color w:val="000000"/>
              </w:rPr>
              <w:t xml:space="preserve">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7"/>
                  <w:u w:val="single"/>
                </w:rPr>
                <w:t>Stock Purchase Agreement, dated July 16, 2021, by and among (i) Liberty Safe Holding Corporation; (ii) Independence Buyer, Inc.; (iii); Compass Group Diversified Holdings LLC, as the Sellers Representative; and (iv) each Stockholder and Optionholder of Liberty Safe Holding Corporation (incorporated by reference to Exhibit 2.1 of the Form 8-K filed on July 19, 2021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7"/>
                  <w:u w:val="single"/>
                </w:rPr>
                <w:t>Amendment to Stock Purchase Agreement, dated August 3, 2021, by and among Independence Buyer, Inc. and Compass Group Diversified Holdings LLC, as the Sellers Representative (incorporated by reference to Exhibit 2.1 of the Form 8-K filed on August 3, 2021 (File No. 001-34927 and Accession No. 0001345126-21-000031)).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Arial;sans-serif" w:hAnsi="Arial;sans-serif"/>
                  <w:b w:val="false"/>
                  <w:color w:val="0000FF"/>
                  <w:sz w:val="17"/>
                  <w:u w:val="single"/>
                </w:rPr>
                <w:t>Agreement and Plan of Merger, dated October 13, 2021, by and among (i) Tempo Automation, Inc.; (ii) Aspen Acquisition Sub, Inc.; (iii) Compass AC Holdings, Inc.; and (iv) Compass Group Diversified Holdings LLC, as the Sellers Representative (incorporated by reference to Exhibit 2.1 of the Form 8-K filed on October 14, 2021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Arial;sans-serif" w:hAnsi="Arial;sans-serif"/>
                  <w:b w:val="false"/>
                  <w:color w:val="0000FF"/>
                  <w:sz w:val="17"/>
                  <w:u w:val="single"/>
                </w:rPr>
                <w:t>Agreement and Plan of Merger, dated January 10, 2023, by and among (i) APCT Inc.; (ii) Circuit Merger Sub, Inc.; (iii) Compass AC Holdings, Inc.; and (iv) Compass Group Diversified Holdings LLC, as the Equityholders’ Representative (incorporated by reference to Exhibit 2.1 of the Form 8-K filed on January 11, 2023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Arial;sans-serif" w:hAnsi="Arial;sans-serif"/>
                  <w:b w:val="false"/>
                  <w:color w:val="0000FF"/>
                  <w:sz w:val="17"/>
                  <w:u w:val="single"/>
                </w:rPr>
                <w:t>Agreement and Plan of Merger, dated November 1, 2023, by and among (i) Fox Factory, Inc; (ii) Marucci Merger Sub, Inc.; (iii) Wheelhouse Holdings Inc.; and (iv) Compass Group Diversified Holdings LLC, as the Equityholders’ Representative (incorporated by reference to Exhibit 2.1 of the Form 8-K filed on November 2, 2023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Arial;sans-serif" w:hAnsi="Arial;sans-serif"/>
                  <w:b w:val="false"/>
                  <w:color w:val="0000FF"/>
                  <w:sz w:val="17"/>
                  <w:u w:val="single"/>
                </w:rPr>
                <w:t>Agreement and Plan of Merger, dated December 27, 2024, by and among (i) ERGO Acquisition LLC; (ii) Aloha Merger Sub LLC; (iii) EBP Lifestyle Brands Holdings, Inc.; and (iv) Compass Group Diversified Holdings LLC, as the stockholder representative (incorporated by reference to Exhibit 2.1 of the Form 8-K filed on December 30, 2024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Arial;sans-serif" w:hAnsi="Arial;sans-serif"/>
                  <w:b w:val="false"/>
                  <w:color w:val="0000FF"/>
                  <w:sz w:val="17"/>
                  <w:u w:val="single"/>
                </w:rPr>
                <w:t>Certificate of Trust of Compass Diversified Trust (incorporated by reference to Exhibit 3.1 of the Form S-1 filed on December 14, 2005 (File No. 333-130326)).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Arial;sans-serif" w:hAnsi="Arial;sans-serif"/>
                  <w:b w:val="false"/>
                  <w:color w:val="0000FF"/>
                  <w:sz w:val="17"/>
                  <w:u w:val="single"/>
                </w:rPr>
                <w:t>Certificate of Amendment to Certificate of Trust of Compass Diversified Trust (incorporated by reference to Exhibit 3.1 of the Form 8-K filed on September 13, 2007 (File No. 000-51937)).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Arial;sans-serif" w:hAnsi="Arial;sans-serif"/>
                  <w:b w:val="false"/>
                  <w:color w:val="0000FF"/>
                  <w:sz w:val="17"/>
                  <w:u w:val="single"/>
                </w:rPr>
                <w:t>Certificate of Formation of Compass Group Diversified Holdings LLC (incorporated by reference to Exhibit 3.3 of the Form S-1 filed on December 14, 2005 (File No. 333-130326)).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Arial;sans-serif" w:hAnsi="Arial;sans-serif"/>
                  <w:b w:val="false"/>
                  <w:color w:val="0000FF"/>
                  <w:sz w:val="17"/>
                  <w:u w:val="single"/>
                </w:rPr>
                <w:t>Amended and Restated Trust Agreement of Compass Diversified Trust (incorporated by reference to Exhibit 3.5 of the Amendment No. 4 to the Form S-1 filed on April 26, 2006 (File No. 333-130326)).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Arial;sans-serif" w:hAnsi="Arial;sans-serif"/>
                  <w:b w:val="false"/>
                  <w:color w:val="0000FF"/>
                  <w:sz w:val="17"/>
                  <w:u w:val="single"/>
                </w:rPr>
                <w:t>Amendment No. 1 to the Amended and Restated Trust Agreement, dated as of April 25, 2006, of Compass Diversified Trust among Compass Group Diversified Holdings LLC, as Sponsor, The Bank of New York (Delaware), as Delaware Trustee, and the Regular Trustees named therein (incorporated by reference to Exhibit 4.1 of the Form 8-K filed on May 29, 2007 (File No. 000-51937)).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Arial;sans-serif" w:hAnsi="Arial;sans-serif"/>
                  <w:b w:val="false"/>
                  <w:color w:val="0000FF"/>
                  <w:sz w:val="17"/>
                  <w:u w:val="single"/>
                </w:rPr>
                <w:t>Second Amendment to the Amended and Restated Trust Agreement, dated as of April 25, 2006, as amended on May 23, 2007, of Compass Diversified Trust among Compass Group Diversified Holdings LLC, as Sponsor, The Bank of New York (Delaware), as Delaware Trustee, and the Regular Trustees named therein (incorporated by reference to Exhibit 3.2 of the Form 8-K filed on September 13, 2007 (File No. 000-51937)).</w:t>
              </w:r>
            </w:hyperlink>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9" name="Frame1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7"/>
        <w:gridCol w:w="138"/>
        <w:gridCol w:w="141"/>
        <w:gridCol w:w="109"/>
        <w:gridCol w:w="109"/>
        <w:gridCol w:w="109"/>
        <w:gridCol w:w="3093"/>
        <w:gridCol w:w="3093"/>
        <w:gridCol w:w="3101"/>
        <w:gridCol w:w="155"/>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3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Arial;sans-serif" w:hAnsi="Arial;sans-serif"/>
                  <w:b w:val="false"/>
                  <w:color w:val="0000FF"/>
                  <w:sz w:val="17"/>
                  <w:u w:val="single"/>
                </w:rPr>
                <w:t>Third Amendment to the Amended and Restated Trust Agreement dated as of April 25, 2006, as amended on May 25, 2007 and September 14, 2007, of Compass Diversified Holdings among Compass Group Diversified Holdings LLC, as Sponsor, The Bank of New York (Delaware), as Delaware Trustee, and the Regular Trustees named therein (incorporated by reference to Exhibit 4.1 of the Form 8-K filed on December 21, 2007 (File No. 000-51937)).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Arial;sans-serif" w:hAnsi="Arial;sans-serif"/>
                  <w:b w:val="false"/>
                  <w:color w:val="0000FF"/>
                  <w:sz w:val="17"/>
                  <w:u w:val="single"/>
                </w:rPr>
                <w:t>Fourth Amendment dated as of November 1, 2010 to the Amended and Restated Trust Agreement, as amended effective November 1, 2010, of Compass Diversified Holdings, originally effective as of April 25, 2006, by and among Compass Group Diversified Holdings LLC, as Sponsor, The Bank of New York (Delaware), as Delaware Trustee, and the Regular Trustees named therein (incorporated by reference to Exhibit 3.1 of the Form 10-Q filed on November 8, 2010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Arial;sans-serif" w:hAnsi="Arial;sans-serif"/>
                  <w:b w:val="false"/>
                  <w:color w:val="0000FF"/>
                  <w:sz w:val="17"/>
                  <w:u w:val="single"/>
                </w:rPr>
                <w:t>Second Amended and Restated Trust Agreement of the Trust (incorporated by reference to Exhibit 3.1 of the Form 8-K filed on December 7, 2016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Arial;sans-serif" w:hAnsi="Arial;sans-serif"/>
                  <w:b w:val="false"/>
                  <w:color w:val="0000FF"/>
                  <w:sz w:val="17"/>
                  <w:u w:val="single"/>
                </w:rPr>
                <w:t>Third Amended and Restated Trust Agreement of the Trust (incorporated by reference to Exhibit 3.1 of the Form 8-K filed on August 4, 2021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Arial;sans-serif" w:hAnsi="Arial;sans-serif"/>
                  <w:b w:val="false"/>
                  <w:color w:val="0000FF"/>
                  <w:sz w:val="17"/>
                  <w:u w:val="single"/>
                </w:rPr>
                <w:t>First Amendment to the Third Amended and Restated Trust Agreement of the Trust (incorporated by reference to Exhibit 3.1 of the Form 8-K filed on September 3, 2024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Arial;sans-serif" w:hAnsi="Arial;sans-serif"/>
                  <w:b w:val="false"/>
                  <w:color w:val="0000FF"/>
                  <w:sz w:val="17"/>
                  <w:u w:val="single"/>
                </w:rPr>
                <w:t>Second Amended and Restated Operating Agreement of Compass Group Diversified Holdings, LLC dated January 9, 2007 (incorporated by reference to Exhibit 10.2 of the Form 8-K filed on January 10, 2007 (File No. 000-51937)).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Arial;sans-serif" w:hAnsi="Arial;sans-serif"/>
                  <w:b w:val="false"/>
                  <w:color w:val="0000FF"/>
                  <w:sz w:val="17"/>
                  <w:u w:val="single"/>
                </w:rPr>
                <w:t>Third Amended and Restated Operating Agreement of Compass Group Diversified Holdings LLC dated November 1, 2010 (incorporated by reference to Exhibit 3.2 of the Form 10-Q filed on November 8, 2010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Arial;sans-serif" w:hAnsi="Arial;sans-serif"/>
                  <w:b w:val="false"/>
                  <w:color w:val="0000FF"/>
                  <w:sz w:val="17"/>
                  <w:u w:val="single"/>
                </w:rPr>
                <w:t>Fourth Amended and Restated Operating Agreement of Compass Group Diversified Holdings LLC, dated January 1, 2012 (incorporated by reference to Exhibit 3.1 of the Form 10-Q filed on May 7, 2013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Arial;sans-serif" w:hAnsi="Arial;sans-serif"/>
                  <w:b w:val="false"/>
                  <w:color w:val="0000FF"/>
                  <w:sz w:val="17"/>
                  <w:u w:val="single"/>
                </w:rPr>
                <w:t>Fifth Amended and Restated Operating Agreement of the Company (incorporated by reference to Exhibit 3.2 of the Form 8-K filed on December 7, 2016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7"/>
                  <w:u w:val="single"/>
                </w:rPr>
                <w:t>Sixth Amended and Restated Operating Agreement of the Company (incorporated by reference to Exhibit 3.2 of the Form 8-K filed on August 4, 2021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7"/>
                  <w:u w:val="single"/>
                </w:rPr>
                <w:t>First Amendment to the Sixth Amended and Restated Operating Agreement of the Company (incorporated by reference to Exhibit 3.1 of the Form 8-K filed on February 14, 2022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7"/>
                  <w:u w:val="single"/>
                </w:rPr>
                <w:t>Second Amendment to the Sixth Amended and Restated Operating Agreement of the Company (incorporated by reference to Exhibit 3.2 of the Form 8-K filed on September 3, 2024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7"/>
                  <w:u w:val="single"/>
                </w:rPr>
                <w:t>Amended and Restated Share Designation of Compass Diversified Holdings with respect to Series A Preferred Shares (incorporated by reference to Exhibit 3.3 of the Form 8-K filed on August 4, 2021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17"/>
                  <w:u w:val="single"/>
                </w:rPr>
                <w:t>First Amendment to Amended and Restated Share Designation of Compass Diversified Holdings with respect to Series A Preferred Shares (incorporated by reference to Exhibit 3.1 of the Form 8-K filed on March 20, 2024 (File No. 001-34926)).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7"/>
                  <w:u w:val="single"/>
                </w:rPr>
                <w:t>Second Amendment to Amended and Restated Share Designation of Compass Diversified Holdings with respect to Series A Preferred Shares (incorporated by reference Exhibit 4.11 of the Form S-3 filed on September 4, 2024 (File No. 333-281931)).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7"/>
                  <w:u w:val="single"/>
                </w:rPr>
                <w:t>Compass Group Diversified Holdings LLC Trust Interest Designation of Series A Trust Preferred Interests (incorporated by reference to Exhibit 3.2 of the Form 8-K filed on June 28, 2017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17"/>
                  <w:u w:val="single"/>
                </w:rPr>
                <w:t>First Amendment to Trust Interest Designation of Compass Group Diversified Holdings LLC with respect to Series A Trust Preferred Interests (incorporated by reference to Exhibit 3.4 of the Form 8-K filed on March 20, 2024 (File No. 001-34926)).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7"/>
                  <w:u w:val="single"/>
                </w:rPr>
                <w:t>Second Amendment to Trust Interest Designation of Compass Group Diversified Holdings LLC with respect to Series A Trust Preferred Interests (incorporated by reference Exhibit 4.14 of the Form S-3 filed on September 4, 2024 (File No. 333-281931)).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7"/>
                  <w:u w:val="single"/>
                </w:rPr>
                <w:t>Amended and Restated Share Designation of Compass Diversified Holdings with respect to Series B Preferred Shares (incorporated by reference to Exhibit 3.4 of the Form 8-K filed on August 4, 2021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7"/>
                  <w:u w:val="single"/>
                </w:rPr>
                <w:t>First Amendment to Amended and Restated Share Designation of Compass Diversified Holdings with respect to Series B Preferred Shares (incorporated by reference to Exhibit 3.2 of the Form 8-K filed on March 20, 2024 (File No. 001-34926)).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7"/>
                  <w:u w:val="single"/>
                </w:rPr>
                <w:t>Second Amendment to Amended and Restated Share Designation of Compass Diversified Holdings with respect to Series B Preferred Shares (incorporated by reference Exhibit 4.17 of the Form S-3 filed on September 4, 2024 (File No. 333-281931)).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7"/>
                  <w:u w:val="single"/>
                </w:rPr>
                <w:t>Trust Interest Designation of Compass Group Diversified Holdings LLC with respect to Series B Trust Preferred Interests (incorporated by reference to Exhibit 3.2 of the Form 8-K filed on March 13, 2018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7"/>
                  <w:u w:val="single"/>
                </w:rPr>
                <w:t>First Amendment to Trust Interest Designation of Compass Group Diversified Holdings LLC with respect to Series B Trust Preferred Interests (incorporated by reference to Exhibit 3.5 of the Form 8-K filed on March 20, 2024 (File No. 001-34926)).</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7"/>
                  <w:u w:val="single"/>
                </w:rPr>
                <w:t>Second Amendment to Trust Interest Designation of Compass Group Diversified Holdings LLC with respect to Series B Trust Preferred Interests (incorporated by reference Exhibit 4.20 of the Form S-3 filed on September 4, 2024 (File No. 333-281931)).</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17"/>
                  <w:u w:val="single"/>
                </w:rPr>
                <w:t>Amended and Restated Share Designation of Compass Diversified Holdings with respect to Series C Preferred Shares (incorporated by reference to Exhibit 3.5 of the Form 8-K filed on August 4, 2021 (File No. 001-34927)).</w:t>
              </w:r>
            </w:hyperlink>
          </w:p>
        </w:tc>
        <w:tc>
          <w:tcPr>
            <w:tcW w:w="15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7"/>
                  <w:u w:val="single"/>
                </w:rPr>
                <w:t>First Amendment to Amended and Restated Share Designation of Compass Diversified Holdings with respect to Series C Preferred Shares (incorporated by reference to Exhibit 3.3 of the Form 8-K filed on March 20, 2024 (File No. 001-34926)).</w:t>
              </w:r>
            </w:hyperlink>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30" name="Frame1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7"/>
        <w:gridCol w:w="145"/>
        <w:gridCol w:w="148"/>
        <w:gridCol w:w="109"/>
        <w:gridCol w:w="109"/>
        <w:gridCol w:w="109"/>
        <w:gridCol w:w="3206"/>
        <w:gridCol w:w="3023"/>
        <w:gridCol w:w="3032"/>
        <w:gridCol w:w="157"/>
      </w:tblGrid>
      <w:tr>
        <w:trPr/>
        <w:tc>
          <w:tcPr>
            <w:tcW w:w="1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17"/>
                  <w:u w:val="single"/>
                </w:rPr>
                <w:t>Second Amendment to Amended and Restated Share Designation of Compass Diversified Holdings with respect to Series C Preferred Shares (incorporated by reference Exhibit 4.23 of the Form S-3 filed on September 4, 2024 (File No. 333-281931)).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7"/>
                  <w:u w:val="single"/>
                </w:rPr>
                <w:t>Trust Interest Designation of Compass Group Diversified Holdings LLC with respect to Series C Trust Preferred Interests (incorporated by reference to Exhibit 3.2 of the Form 8-K filed on November 20, 2019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Arial;sans-serif" w:hAnsi="Arial;sans-serif"/>
                  <w:b w:val="false"/>
                  <w:color w:val="0000FF"/>
                  <w:sz w:val="17"/>
                  <w:u w:val="single"/>
                </w:rPr>
                <w:t>First Amendment to Trust Interest Designation of Compass Group Diversified Holdings LLC with respect to Series C Trust Preferred Interests (incorporated by reference to Exhibit 3.6 of the Form 8-K filed on March 20, 2024 (File No. 001-34926)).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1">
              <w:r>
                <w:rPr>
                  <w:rStyle w:val="InternetLink"/>
                  <w:rFonts w:ascii="Arial;sans-serif" w:hAnsi="Arial;sans-serif"/>
                  <w:b w:val="false"/>
                  <w:color w:val="0000FF"/>
                  <w:sz w:val="17"/>
                  <w:u w:val="single"/>
                </w:rPr>
                <w:t>Second Amendment to Trust Interest Designation of Compass Group Diversified Holdings LLC with respect to Series C Trust Preferred Interests (incorporated by reference Exhibit 4.26 of the Form S-3 filed on September 4, 2024 (File No. 333-281931)).</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"https://www.sec.gov/Archives/edgar/data/0001345126/000119312521235786/d57259dex31.htm" \l "tx57259_43a"</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Specimen Certificate evidencing a share of trust of Compass Diversified Holdings (incorporated by reference to Exhibit A of Exhibit 3.1 of the Form 8-K filed on August 4, 2021 (File No. 001-34927))</w:t>
            </w:r>
            <w:r>
              <w:rPr>
                <w:rStyle w:val="InternetLink"/>
                <w:sz w:val="17"/>
                <w:u w:val="single"/>
                <w:b w:val="false"/>
                <w:rFonts w:ascii="Arial;sans-serif" w:hAnsi="Arial;sans-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"https://www.sec.gov/Archives/edgar/data/0001345126/000119312521235786/d57259dex32.htm" \l "tx57259_76a"</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Specimen LLC Interest Certificate evidencing an interest of Compass Group Diversified Holdings LLC (incorporated by reference to Exhibit A of Exhibit 3.2 of the Form 8-K filed on August 4, 2021 (File No. 001-34927))</w:t>
            </w:r>
            <w:r>
              <w:rPr>
                <w:rStyle w:val="InternetLink"/>
                <w:sz w:val="17"/>
                <w:u w:val="single"/>
                <w:b w:val="false"/>
                <w:rFonts w:ascii="Arial;sans-serif" w:hAnsi="Arial;sans-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"https://www.sec.gov/Archives/edgar/data/0001345126/000119312521235786/d57259dex33.htm" \l "appa"</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Form of 7.250% Series A Preferred Share Certificate (incorporated by reference to Appendix A of Exhibit 3.3 of the Form 8-K filed on August 4, 2021 (File No. 001-34927)).</w:t>
            </w:r>
            <w:r>
              <w:rPr>
                <w:rStyle w:val="InternetLink"/>
                <w:sz w:val="17"/>
                <w:u w:val="single"/>
                <w:b w:val="false"/>
                <w:rFonts w:ascii="Arial;sans-serif" w:hAnsi="Arial;sans-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"https://www.sec.gov/Archives/edgar/data/0001345126/000119312521235786/d57259dex34.htm" \l "appb"</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Form of 7.875% Series B Fixed-to-Floating Rate Cumulative Preferred Share Certificate (incorporated by reference to Appendix A of Exhibit 3.4 of the Form 8-K filed on August 4, 2021 (File No. 001-34927)).</w:t>
            </w:r>
            <w:r>
              <w:rPr>
                <w:rStyle w:val="InternetLink"/>
                <w:sz w:val="17"/>
                <w:u w:val="single"/>
                <w:b w:val="false"/>
                <w:rFonts w:ascii="Arial;sans-serif" w:hAnsi="Arial;sans-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"https://www.sec.gov/Archives/edgar/data/0001345126/000119312521235786/d57259dex35.htm" \l "appc"</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Form of 7.875% Series C Cumulative Preferred Share Certificate (incorporated by reference to Appendix A of Exhibit 3.5 of the Form 8-K filed on August 4, 2021 (File No. 001-34927)).</w:t>
            </w:r>
            <w:r>
              <w:rPr>
                <w:rStyle w:val="InternetLink"/>
                <w:sz w:val="17"/>
                <w:u w:val="single"/>
                <w:b w:val="false"/>
                <w:rFonts w:ascii="Arial;sans-serif" w:hAnsi="Arial;sans-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2">
              <w:r>
                <w:rPr>
                  <w:rStyle w:val="InternetLink"/>
                  <w:rFonts w:ascii="Arial;sans-serif" w:hAnsi="Arial;sans-serif"/>
                  <w:b w:val="false"/>
                  <w:color w:val="0000FF"/>
                  <w:sz w:val="17"/>
                  <w:u w:val="single"/>
                </w:rPr>
                <w:t>Indenture between Compass Group Diversified Holdings LLC and U.S. Bank National Association, dated as of March 23, 2021 (incorporated by reference to Exhibit 4.1 of the Form 8-K filed on March 23, 2021 (File No. 000-34927)).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Arial;sans-serif" w:hAnsi="Arial;sans-serif"/>
                  <w:b w:val="false"/>
                  <w:color w:val="0000FF"/>
                  <w:sz w:val="17"/>
                  <w:u w:val="single"/>
                </w:rPr>
                <w:t>First Supplemental Indenture, dated as of January 15, 2025, to the Indenture dated as of March 23, 2021 between Compass Group Diversified Holdings LLC and U.S. Bank National Association (incorporated by reference to Exhibit 10.2 of the Form 8-K filed on January 15, 2025 (File No. 000-34927)).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Arial;sans-serif" w:hAnsi="Arial;sans-serif"/>
                  <w:b w:val="false"/>
                  <w:color w:val="000080"/>
                  <w:sz w:val="17"/>
                  <w:u w:val="single"/>
                </w:rPr>
                <w:t>Second Supplemental Indenture, dated as of September 9, 2025, to the Indenture dated as of March 23, 2021, as amended, by and between Compass Group Diversified Holdings LLC and U.S. Bank Trust Company, National Association, as trustee (incorporated by reference to Exhibit 4.1 of the Form 8-K filed on September 10, 2025 (File No. 000-34927))</w:t>
              </w:r>
            </w:hyperlink>
            <w:hyperlink r:id="rId55">
              <w:r>
                <w:rPr>
                  <w:rStyle w:val="InternetLink"/>
                  <w:rFonts w:ascii="Arial;sans-serif" w:hAnsi="Arial;sans-serif"/>
                  <w:b w:val="false"/>
                  <w:color w:val="000080"/>
                  <w:sz w:val="17"/>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Arial;sans-serif" w:hAnsi="Arial;sans-serif"/>
                  <w:b w:val="false"/>
                  <w:color w:val="0000FF"/>
                  <w:sz w:val="17"/>
                  <w:u w:val="single"/>
                </w:rPr>
                <w:t>Indenture between Compass Group Diversified Holdings LLC and U.S. Bank National Association, dated as of November 17, 2021 (incorporated by reference to Exhibit 4.1 of the Form 8-K filed on November 17, 2021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Arial;sans-serif" w:hAnsi="Arial;sans-serif"/>
                  <w:b w:val="false"/>
                  <w:color w:val="0000FF"/>
                  <w:sz w:val="17"/>
                  <w:u w:val="single"/>
                </w:rPr>
                <w:t>First Supplemental Indenture, dated as of January 15, 2025, to the Indenture dated as of November 17, 2021 between Compass Group Diversified Holdings LLC and U.S. Bank National Association (incorporated by reference to Exhibit 10.3 of the Form 8-K filed on January 15, 2025 (File No. 000-34927)).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Arial;sans-serif" w:hAnsi="Arial;sans-serif"/>
                  <w:b w:val="false"/>
                  <w:color w:val="0000FF"/>
                  <w:sz w:val="17"/>
                  <w:u w:val="single"/>
                </w:rPr>
                <w:t>Second Supplemental Indenture, dated as of September 9, 2025, to the Indenture dated as of November 17, 2021, as amended, by and between Compass Group Diversified Holdings LLC and U.S. Bank Trust Company, National Association, as trustee (incorporated by reference to Exhibit 4.2 of the Form 8-K filed on September 10,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2312025ex412.htm">
              <w:r>
                <w:rPr>
                  <w:rStyle w:val="InternetLink"/>
                  <w:rFonts w:ascii="Arial;sans-serif" w:hAnsi="Arial;sans-serif"/>
                  <w:b w:val="false"/>
                  <w:color w:val="0000FF"/>
                  <w:sz w:val="17"/>
                  <w:u w:val="single"/>
                </w:rPr>
                <w:t>Description of Securities</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Arial;sans-serif" w:hAnsi="Arial;sans-serif"/>
                  <w:b w:val="false"/>
                  <w:color w:val="0000FF"/>
                  <w:sz w:val="17"/>
                  <w:u w:val="single"/>
                </w:rPr>
                <w:t>Subscription Agreement dated August 24, 2011, by and among Compass Group Diversified Holdings LLC, Compass Diversified Holdings and CGI Magyar Holdings, LLC (incorporated by reference to Exhibit 10.1 of the Form 8-K filed on August 25, 2011(File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Arial;sans-serif" w:hAnsi="Arial;sans-serif"/>
                  <w:b w:val="false"/>
                  <w:color w:val="0000FF"/>
                  <w:sz w:val="17"/>
                  <w:u w:val="single"/>
                </w:rPr>
                <w:t>Seventh Amended and Restated Management Service Agreement by and between Compass Group Diversified Holdings LLC, and Compass Group Management LLC, dated as of January 15, 2025 and originally effective as of May 16, 2006 (incorporated by reference to Exhibit 10.1 of the Form 8-K filed on January 15,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FF"/>
                  <w:sz w:val="17"/>
                  <w:u w:val="single"/>
                </w:rPr>
                <w:t>Separation Agreement and General Release, dated September 12, 2024, between Compass Group Management LLC and Ryan Faulkingham (incorporated by reference to Exhibit 10.1 of the Form 8-K filed on September 17, 2024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Arial;sans-serif" w:hAnsi="Arial;sans-serif"/>
                  <w:b w:val="false"/>
                  <w:color w:val="0000FF"/>
                  <w:sz w:val="17"/>
                  <w:u w:val="single"/>
                </w:rPr>
                <w:t>Employment Agreement dated August 31, 2024 between Compass Group Management LLC and Stephen Keller (incorporated by reference to Exhibit 10.1 of the Form 8-K filed on August 26, 2024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Arial;sans-serif" w:hAnsi="Arial;sans-serif"/>
                  <w:b w:val="false"/>
                  <w:color w:val="0000FF"/>
                  <w:sz w:val="17"/>
                  <w:u w:val="single"/>
                </w:rPr>
                <w:t>First Amended and Restated Employment Agreement dated January 13, 2025 between Compass Group Management LLC and Stephen Keller.</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Arial;sans-serif" w:hAnsi="Arial;sans-serif"/>
                  <w:b w:val="false"/>
                  <w:color w:val="0000FF"/>
                  <w:sz w:val="17"/>
                  <w:u w:val="single"/>
                </w:rPr>
                <w:t>Third Amended and Restated Credit Agreement among Compass Group Diversified Holdings LLC, the financial institutions party thereto and Bank of America, N.A., dated as of July 12, 2022 (incorporated by reference to Exhibit 10.1 of the Form 8-K filed on July 13, 2022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Arial;sans-serif" w:hAnsi="Arial;sans-serif"/>
                  <w:b w:val="false"/>
                  <w:color w:val="0000FF"/>
                  <w:sz w:val="17"/>
                  <w:u w:val="single"/>
                </w:rPr>
                <w:t>First Incremental Facility Amendment, dated January 9, 2025, by and among Compass Diversified Holdings LLC, Bank of America, N.A., and the lenders party thereto (incorporated by reference to Exhibit 10.1 of the Form 8-K filed on January 10,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Arial;sans-serif" w:hAnsi="Arial;sans-serif"/>
                  <w:b w:val="false"/>
                  <w:color w:val="0000FF"/>
                  <w:sz w:val="17"/>
                  <w:u w:val="single"/>
                </w:rPr>
                <w:t>Forbearance Agreement and Second Amendment to Credit Agreement, dated May 22, 2025, by and among Compass Group Diversified Holdings LLC, the Lenders party thereto, and Bank of America, N.A., in its capacity as Administrative Agent for the Lenders, Swing Line Lender and L/C Issuer (incorporated by reference to Exhibit 10.1 of the Form 8-K filed on May 27,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Arial;sans-serif" w:hAnsi="Arial;sans-serif"/>
                  <w:b w:val="false"/>
                  <w:color w:val="0000FF"/>
                  <w:sz w:val="17"/>
                  <w:u w:val="single"/>
                </w:rPr>
                <w:t>Second Forbearance Agreement and Third Amendment to Credit Agreement, dated July 25, 2025, by and among Compass Group Diversified Holdings LLC, the Lenders party thereto, and Bank of America, N.A., in its capacity as Administrative Agent for the Lenders, Swing Line Lender and L/C Issuer (incorporated by reference to Exhibit 10.1 of the Form 8-K filed on July 28,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31" name="Frame1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129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2"/>
        <w:gridCol w:w="169"/>
        <w:gridCol w:w="171"/>
        <w:gridCol w:w="109"/>
        <w:gridCol w:w="109"/>
        <w:gridCol w:w="109"/>
        <w:gridCol w:w="3227"/>
        <w:gridCol w:w="2977"/>
        <w:gridCol w:w="2985"/>
        <w:gridCol w:w="157"/>
      </w:tblGrid>
      <w:tr>
        <w:trPr/>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Arial;sans-serif" w:hAnsi="Arial;sans-serif"/>
                  <w:b w:val="false"/>
                  <w:color w:val="0000FF"/>
                  <w:sz w:val="17"/>
                  <w:u w:val="single"/>
                </w:rPr>
                <w:t>Forbearance Agreement, dated August 29, 2025, by and among Compass Group Diversified Holdings LLC, the Forbearing Noteholders thereto, and U.S. Bank National Association, in its capacity as Trustee under the Indenture dated March 23, 2021 and Indenture dated November 17, 2021 (incorporated by reference to Exhibit 10.1 of the Form 8-K filed on September 2,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Arial;sans-serif" w:hAnsi="Arial;sans-serif"/>
                  <w:b w:val="false"/>
                  <w:color w:val="0000FF"/>
                  <w:sz w:val="17"/>
                  <w:u w:val="single"/>
                </w:rPr>
                <w:t>Third Forbearance Agreement, dated October 10, 2025, by and among Compass Group Diversified Holdings LLC, the Lenders party thereto, and Bank of America, N.A., in its capacity as Administrative Agent for the Lenders, Swing Line Lender and L/C Issuer (incorporated by reference to Exhibit 10.1 of the Form 8-K filed on October 10,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Arial;sans-serif" w:hAnsi="Arial;sans-serif"/>
                  <w:b w:val="false"/>
                  <w:color w:val="0000FF"/>
                  <w:sz w:val="17"/>
                  <w:u w:val="single"/>
                </w:rPr>
                <w:t>Fourth Forbearance Agreement and Fourth Amendment to Credit Agreement, dated November 7, 2025, by and among Compass Group Diversified Holdings LLC, the Lenders party thereto, and Bank of America, N.A., in its capacity as Administrative Agent for the Lenders, Swing Line Lender and L/C Issuer (incorporated by reference to Exhibit 10.1 of the Form 8-K filed on November 24, 2025 (File No. 001-34927))</w:t>
              </w:r>
            </w:hyperlink>
            <w:r>
              <w:rPr>
                <w:rFonts w:ascii="Arial;sans-serif" w:hAnsi="Arial;sans-serif"/>
                <w:b w:val="false"/>
                <w:color w:val="000000"/>
                <w:sz w:val="17"/>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Arial;sans-serif" w:hAnsi="Arial;sans-serif"/>
                  <w:b w:val="false"/>
                  <w:color w:val="0000FF"/>
                  <w:sz w:val="17"/>
                  <w:u w:val="single"/>
                </w:rPr>
                <w:t>Fifth Forbearance Agreement, dated November 24, 2025, by and among Compass Group Diversified Holdings LLC, the Lenders party thereto, and Bank of America, N.A., in its capacity as Administrative Agent for the Lenders, Swing Line Lender and L/C Issuer (incorporated by reference to Exhibit 10.2 of the Form 8-K filed on November 24,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Arial;sans-serif" w:hAnsi="Arial;sans-serif"/>
                  <w:b w:val="false"/>
                  <w:color w:val="0000FF"/>
                  <w:sz w:val="17"/>
                  <w:u w:val="single"/>
                </w:rPr>
                <w:t>Fifth Amendment to Credit Agreement and Limited Waiver Agreement, dated December 19, 2025, by and among Compass Group Diversified Holdings LLC, the Lenders party thereto, and Bank of America, N.A., in its capacity as Administrative Agent for the Lenders, Swing Line Lender and L/C Issuer (incorporated by reference to Exhibit 10.1 of the Form 8-K filed on December 19,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Arial;sans-serif" w:hAnsi="Arial;sans-serif"/>
                  <w:b w:val="false"/>
                  <w:color w:val="0000FF"/>
                  <w:sz w:val="17"/>
                  <w:u w:val="single"/>
                </w:rPr>
                <w:t>Fifth Amendment Transaction Letter, dated December 19, 2025, by and among Compass Group Diversified Holdings LLC, the Lenders party thereto, and Bank of America, N.A., in its capacity as Administrative Agent for the Lenders, Swing Line Lender and L/C Issuer (incorporated by reference to Exhibit 10.2 of the Form 8-K filed on December 19, 2025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Arial;sans-serif" w:hAnsi="Arial;sans-serif"/>
                  <w:b w:val="false"/>
                  <w:color w:val="000080"/>
                  <w:sz w:val="17"/>
                  <w:u w:val="single"/>
                </w:rPr>
                <w:t>Subscription Agreement, dated December 15, 2023, by and among Compass Group Diversified Holdings LLC, Compass Diversified Holdings and Allspring Special Small Cap Value Fund (incorporated by reference to Exhibit 10.1 of the Form 8-K filed on December 21, 2023 (File No. 001-34927)</w:t>
              </w:r>
            </w:hyperlink>
            <w:hyperlink r:id="rId75">
              <w:r>
                <w:rPr>
                  <w:rStyle w:val="InternetLink"/>
                  <w:rFonts w:ascii="Arial;sans-serif" w:hAnsi="Arial;sans-serif"/>
                  <w:b w:val="false"/>
                  <w:color w:val="000080"/>
                  <w:sz w:val="17"/>
                  <w:u w:val="single"/>
                </w:rPr>
                <w:t>)</w:t>
              </w:r>
            </w:hyperlink>
            <w:hyperlink r:id="rId76">
              <w:r>
                <w:rPr>
                  <w:rStyle w:val="InternetLink"/>
                  <w:rFonts w:ascii="Arial;sans-serif" w:hAnsi="Arial;sans-serif"/>
                  <w:b w:val="false"/>
                  <w:color w:val="000080"/>
                  <w:sz w:val="17"/>
                  <w:u w:val="single"/>
                </w:rPr>
                <w: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Arial;sans-serif" w:hAnsi="Arial;sans-serif"/>
                  <w:b w:val="false"/>
                  <w:color w:val="0000FF"/>
                  <w:sz w:val="17"/>
                  <w:u w:val="single"/>
                </w:rPr>
                <w:t>Compass Diversified Holdings, Compass Group Diversified Holdings LLC and Compass Group Management LLC Policy Regarding Insider Trading, Tipping and other Wrongful Disclosures</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211.htm">
              <w:r>
                <w:rPr>
                  <w:rStyle w:val="InternetLink"/>
                  <w:rFonts w:ascii="Arial;sans-serif" w:hAnsi="Arial;sans-serif"/>
                  <w:b w:val="false"/>
                  <w:color w:val="0000FF"/>
                  <w:sz w:val="17"/>
                  <w:u w:val="single"/>
                </w:rPr>
                <w:t>List of Subsidiaries</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29">
              <w:r>
                <w:rPr>
                  <w:rStyle w:val="InternetLink"/>
                  <w:rFonts w:ascii="Arial;sans-serif" w:hAnsi="Arial;sans-serif"/>
                  <w:b w:val="false"/>
                  <w:color w:val="0000FF"/>
                  <w:sz w:val="16"/>
                  <w:u w:val="single"/>
                </w:rPr>
                <w:t>Power of Attorney (included on the signature page of this Amendment No. 1 to the Company's Annual Report on Form 10-K)</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11.htm">
              <w:r>
                <w:rPr>
                  <w:rStyle w:val="InternetLink"/>
                  <w:rFonts w:ascii="Arial;sans-serif" w:hAnsi="Arial;sans-serif"/>
                  <w:b w:val="false"/>
                  <w:color w:val="0000FF"/>
                  <w:sz w:val="17"/>
                  <w:u w:val="single"/>
                </w:rPr>
                <w:t>Rule 13a-14(a)/15d-14(a) Certification of Chief Executive Officer of Registrant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12.htm">
              <w:r>
                <w:rPr>
                  <w:rStyle w:val="InternetLink"/>
                  <w:rFonts w:ascii="Arial;sans-serif" w:hAnsi="Arial;sans-serif"/>
                  <w:b w:val="false"/>
                  <w:color w:val="0000FF"/>
                  <w:sz w:val="17"/>
                  <w:u w:val="single"/>
                </w:rPr>
                <w:t>Rule 13a-14(a)/15d-14(a) Certification of Chief Financial Officer of Registrant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32.1*</w:t>
            </w:r>
            <w:r>
              <w:rPr>
                <w:rFonts w:ascii="Arial;sans-serif" w:hAnsi="Arial;sans-serif"/>
                <w:b w:val="false"/>
                <w:color w:val="000000"/>
                <w:sz w:val="11"/>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21.htm">
              <w:r>
                <w:rPr>
                  <w:rStyle w:val="InternetLink"/>
                  <w:rFonts w:ascii="Arial;sans-serif" w:hAnsi="Arial;sans-serif"/>
                  <w:b w:val="false"/>
                  <w:color w:val="0000FF"/>
                  <w:sz w:val="17"/>
                  <w:u w:val="single"/>
                </w:rPr>
                <w:t>Section 1350 Certification of Chief Executive Officer of Registrant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32.2*</w:t>
            </w:r>
            <w:r>
              <w:rPr>
                <w:rFonts w:ascii="Arial;sans-serif" w:hAnsi="Arial;sans-serif"/>
                <w:b w:val="false"/>
                <w:color w:val="000000"/>
                <w:sz w:val="11"/>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22.htm">
              <w:r>
                <w:rPr>
                  <w:rStyle w:val="InternetLink"/>
                  <w:rFonts w:ascii="Arial;sans-serif" w:hAnsi="Arial;sans-serif"/>
                  <w:b w:val="false"/>
                  <w:color w:val="0000FF"/>
                  <w:sz w:val="17"/>
                  <w:u w:val="single"/>
                </w:rPr>
                <w:t>Section 1350 Certification of Chief Financial Officer of Registrant</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Arial;sans-serif" w:hAnsi="Arial;sans-serif"/>
                  <w:b w:val="false"/>
                  <w:color w:val="0000FF"/>
                  <w:sz w:val="17"/>
                  <w:u w:val="single"/>
                </w:rPr>
                <w:t>Policy relating to recovery of erroneously awarded compensation, as required by applicable listing standards adopted pursuant to 17 CFR 240.10D-1(incorporated by reference to Exhibit 97.1 of the Form 10-K filed on February 28, 2024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Arial;sans-serif" w:hAnsi="Arial;sans-serif"/>
                  <w:b w:val="false"/>
                  <w:color w:val="0000FF"/>
                  <w:sz w:val="17"/>
                  <w:u w:val="single"/>
                </w:rPr>
                <w:t>Stock Purchase Agreement dated March 31, 2010 by and among Gable 5, Inc., Liberty Safe and Security Products, LLC and Liberty Safe Holding Corporation (incorporated by reference to Exhibit 99.1 of the Form 8-K filed on April 1, 2010 (File No. 000-51937)).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Arial;sans-serif" w:hAnsi="Arial;sans-serif"/>
                  <w:b w:val="false"/>
                  <w:color w:val="0000FF"/>
                  <w:sz w:val="17"/>
                  <w:u w:val="single"/>
                </w:rPr>
                <w:t>Stock Purchase Agreement dated September 16, 2010, by and among ERGO Baby Intermediate Holding Corporation, The ERGO Baby Carrier, Inc., Karin A. Frost, in her individual capacity and as Trustee of the Revocable Trust of Karin A. Frost dated February 22, 2008 and as Trustee of the Karin A. Frost 2009 Qualified Annuity Trust u/a/d 12/21/2009 (incorporated by reference to Exhibit 99.1 of the Form 8-K filed on September 17, 2010 (File No. 000-51937)).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Arial;sans-serif" w:hAnsi="Arial;sans-serif"/>
                  <w:b w:val="false"/>
                  <w:color w:val="0000FF"/>
                  <w:sz w:val="17"/>
                  <w:u w:val="single"/>
                </w:rPr>
                <w:t>Stock Purchase Agreement dated as of March 5, 2012, by and among Arnold Magnetic Technologies Holdings Corporation, Arnold Magnetic Technologies, LLC and AMT Acquisition Corp. (incorporated by reference to Exhibit 99.1 of the Form 8-K filed on March 6, 2012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Arial;sans-serif" w:hAnsi="Arial;sans-serif"/>
                  <w:b w:val="false"/>
                  <w:color w:val="0000FF"/>
                  <w:sz w:val="17"/>
                  <w:u w:val="single"/>
                </w:rPr>
                <w:t>Membership Interest Purchase Agreement dated as of October 10, 2014, by and among Candle Lamp Holdings, LLC, Candle Lamp Company, LLC and Sternocandlelamp Holdings, Inc. (incorporated by reference to Exhibit 99.1 of the Form 8-K filed October 14, 2014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Arial;sans-serif" w:hAnsi="Arial;sans-serif"/>
                  <w:b w:val="false"/>
                  <w:color w:val="0000FF"/>
                  <w:sz w:val="17"/>
                  <w:u w:val="single"/>
                </w:rPr>
                <w:t>Agreement and Plan of Merger, dated as of July 29, 2016, by and among 5.11 ABR Corp., 5.11 ABR Merger Corp., 5.11 Acquisition Corp., TA Associates Management, L.P., as the agent and attorney in fact of the holders of stock and options in 5.11 Acquisition Corp. (incorporated by reference to Exhibit 99.1 of the Form 8-K filed on August 1, 2016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Arial;sans-serif" w:hAnsi="Arial;sans-serif"/>
                  <w:b w:val="false"/>
                  <w:color w:val="0000FF"/>
                  <w:sz w:val="17"/>
                  <w:u w:val="single"/>
                </w:rPr>
                <w:t>Equity Purchase Agreement, dated June 2, 2017, by and among Bullseye Holding Company LLC, Bullseye Acquisition Corporation, CBCP Acquisition Corp. and Wellspring Capital Partners IV, L.P. (incorporated by reference to Exhibit 99.1 of the Form 8-K filed on June 5, 2017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Arial;sans-serif" w:hAnsi="Arial;sans-serif"/>
                  <w:b w:val="false"/>
                  <w:color w:val="0000FF"/>
                  <w:sz w:val="17"/>
                  <w:u w:val="single"/>
                </w:rPr>
                <w:t>Stock Purchase Agreement, dated January 18, 2018, between Warren F. Florkiewicz and FFI Compass, Inc. (incorporated by reference to Exhibit 99.1 of the Form 8-K filed on January 18, 2018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Arial;sans-serif" w:hAnsi="Arial;sans-serif"/>
                  <w:b w:val="false"/>
                  <w:color w:val="0000FF"/>
                  <w:sz w:val="17"/>
                  <w:u w:val="single"/>
                </w:rPr>
                <w:t>Arrangement Agreement, dated February 19, 2019, by and among FHF Holdings Ltd.; 1197879 B.C. Ltd.; Tilray, Inc.; Compass Group Diversified Holdings LLC and each Shareholder that is, or is made pursuant to the Plan of Arrangement, a party thereto (incorporated by reference to Exhibit 99.1 of the Form 8-K filed on February 20, 2019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Arial;sans-serif" w:hAnsi="Arial;sans-serif"/>
                  <w:b w:val="false"/>
                  <w:color w:val="0000FF"/>
                  <w:sz w:val="17"/>
                  <w:u w:val="single"/>
                </w:rPr>
                <w:t>Agreement and Plan of Merger, dated as of March 6, 2020, among Marucci Sports, LLC, Wheelhouse Holdings, Inc., Wheelhouse Holdings Merger Sub LLC and Wheelhouse 2020 LLC (incorporated by reference to Exhibit 99.1 of the Form 8-K filed on March 9, 2020 (File No. 001-34927))</w:t>
              </w:r>
            </w:hyperlink>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32" name="Frame1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130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1"/>
        <w:gridCol w:w="185"/>
        <w:gridCol w:w="187"/>
        <w:gridCol w:w="109"/>
        <w:gridCol w:w="109"/>
        <w:gridCol w:w="109"/>
        <w:gridCol w:w="3044"/>
        <w:gridCol w:w="3044"/>
        <w:gridCol w:w="3051"/>
        <w:gridCol w:w="156"/>
      </w:tblGrid>
      <w:tr>
        <w:trPr/>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3044"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Arial;sans-serif" w:hAnsi="Arial;sans-serif"/>
                  <w:b w:val="false"/>
                  <w:color w:val="0000FF"/>
                  <w:sz w:val="17"/>
                  <w:u w:val="single"/>
                </w:rPr>
                <w:t>Agreement and Plan of Merger, among Reel Holding Corp., BOA Parent Inc., BOA Merger Sub Inc. and Shareholder Representative Services LLC (incorporated by reference to Exhibit 99.3 of the Form 8-K filed on September 22, 2020 (File No. 001-34927))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Arial;sans-serif" w:hAnsi="Arial;sans-serif"/>
                  <w:b w:val="false"/>
                  <w:color w:val="0000FF"/>
                  <w:sz w:val="17"/>
                  <w:u w:val="single"/>
                </w:rPr>
                <w:t>First Amendment to Agreement and Plan of Merger, dated October 16, 2020, among Reel Holding Corp., BOA Parent Inc., BOA Merger Sub Inc. and Shareholder Representative Services LLC (incorporated by reference to Exhibit 99.2 of the Form 8-K filed on October 19, 2020 (File No. 001-34927))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Arial;sans-serif" w:hAnsi="Arial;sans-serif"/>
                  <w:b w:val="false"/>
                  <w:color w:val="0000FF"/>
                  <w:sz w:val="17"/>
                  <w:u w:val="single"/>
                </w:rPr>
                <w:t>Stock Purchase Agreement, dated September 3, 2021, between Lugano Buyer Inc., Mordechai Haim Ferder, as trustee of The Haim Family Trust dated 2/24/2009, Edit Fintzi Ferder, as trustee of The RF 2021 Irrevocable Trust dated 8/30/2021, Mordechai Haim Ferder, as trustee of The TF 2021 Irrevocable Trust dated 8/30/2021, Simba IL Holdings, LLC and Mordechai Haim Ferder in his individual capacity and as initial representative of the Sellers (incorporated by reference to Exhibit 99.2 of the Form 8-K filed on September 7, 2021 (File No. 001-34927 and Accession No. 0001345126-21-000039)).</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Arial;sans-serif" w:hAnsi="Arial;sans-serif"/>
                  <w:b w:val="false"/>
                  <w:color w:val="0000FF"/>
                  <w:sz w:val="17"/>
                  <w:u w:val="single"/>
                </w:rPr>
                <w:t>Stock Purchase Agreement, dated June 4, 2022, between VP PrimaLoft Holdings, LLC and Relentless Intermediate, Inc. (incorporated by reference to Exhibit 99.3 of the Form 8-K filed on June 6, 2022 (File No. 001-34927)).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Arial;sans-serif" w:hAnsi="Arial;sans-serif"/>
                  <w:b w:val="false"/>
                  <w:color w:val="0000FF"/>
                  <w:sz w:val="17"/>
                  <w:u w:val="single"/>
                </w:rPr>
                <w:t>Merger and Stock Purchase Agreement, dated January 14, 2024, by and among The Honey Pot Company Holdings, LLC, VMG Honey Pot Blocker, Inc., NVB1, Inc., VMG Tax-Exempt IV, L.P., New Voices Fund, LP, THP Intermediate, Inc., THP Merger Sub, LLC, the Sellers’ Representative and certain other equity holders of THP.(incorporated by reference to Exhibit 99.3 of the Form 8-K filed on January 16, 2024 (File No. 001-34927)).</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Instance Document - the instance document does not appear in the Interactive Data File because its XBRL tags are embedded within the Inline XBRL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Schema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Calculation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Definition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Label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Presentation Linkbase Document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Cover page formatted as Inline XBRL and contained in Exhibit 101</w:t>
            </w:r>
          </w:p>
        </w:tc>
        <w:tc>
          <w:tcPr>
            <w:tcW w:w="156" w:type="dxa"/>
            <w:tcBorders/>
            <w:vAlign w:val="center"/>
          </w:tcPr>
          <w:p>
            <w:pPr>
              <w:pStyle w:val="TableContents"/>
              <w:bidi w:val="0"/>
              <w:spacing w:before="0" w:after="283"/>
              <w:jc w:val="left"/>
              <w:rPr>
                <w:sz w:val="4"/>
                <w:szCs w:val="4"/>
              </w:rPr>
            </w:pPr>
            <w:r>
              <w:rPr>
                <w:sz w:val="4"/>
                <w:szCs w:val="4"/>
              </w:rPr>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10"/>
        <w:gridCol w:w="2707"/>
        <w:gridCol w:w="38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8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Filed or 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Denotes management contracts and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Amendment No. 1 to the Company's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2"/>
        </w:rPr>
      </w:pPr>
      <w:r>
        <w:rPr>
          <w:rFonts w:ascii="Arial;sans-serif" w:hAnsi="Arial;sans-serif"/>
          <w:b/>
          <w:color w:val="000000"/>
          <w:sz w:val="22"/>
        </w:rPr>
        <w:t>ITEM 16. FORM 10-K SUMMARY</w:t>
      </w:r>
    </w:p>
    <w:p>
      <w:pPr>
        <w:pStyle w:val="TextBody"/>
        <w:bidi w:val="0"/>
        <w:spacing w:before="0" w:after="0"/>
        <w:jc w:val="left"/>
        <w:rPr/>
      </w:pPr>
      <w:r>
        <w:rPr/>
      </w:r>
    </w:p>
    <w:p>
      <w:pPr>
        <w:pStyle w:val="TextBody"/>
        <w:bidi w:val="0"/>
        <w:spacing w:lineRule="auto" w:line="288" w:before="100" w:after="283"/>
        <w:ind w:left="0" w:right="0" w:firstLine="495"/>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445"/>
                <wp:effectExtent l="0" t="0" r="0" b="0"/>
                <wp:wrapNone/>
                <wp:docPr id="133" name="Frame1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u w:val="single"/>
        </w:rPr>
      </w:pPr>
      <w:r>
        <w:rPr>
          <w:rFonts w:ascii="Arial;sans-serif" w:hAnsi="Arial;sans-serif"/>
          <w:b/>
          <w:color w:val="000000"/>
          <w:sz w:val="20"/>
          <w:u w:val="single"/>
        </w:rPr>
        <w:t>SIGNATURE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896" w:type="dxa"/>
        <w:jc w:val="left"/>
        <w:tblInd w:w="0" w:type="dxa"/>
        <w:tblLayout w:type="fixed"/>
        <w:tblCellMar>
          <w:top w:w="28" w:type="dxa"/>
          <w:left w:w="28" w:type="dxa"/>
          <w:bottom w:w="28" w:type="dxa"/>
          <w:right w:w="28" w:type="dxa"/>
        </w:tblCellMar>
      </w:tblPr>
      <w:tblGrid>
        <w:gridCol w:w="803"/>
        <w:gridCol w:w="704"/>
        <w:gridCol w:w="712"/>
        <w:gridCol w:w="727"/>
        <w:gridCol w:w="727"/>
        <w:gridCol w:w="727"/>
        <w:gridCol w:w="727"/>
        <w:gridCol w:w="727"/>
        <w:gridCol w:w="1042"/>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COMPASS GROUP DIVERSIFIED HOLDINGS LLC</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Date: February 26, 2026</w:t>
            </w:r>
          </w:p>
        </w:tc>
        <w:tc>
          <w:tcPr>
            <w:tcW w:w="2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w:t>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Elias J. Sabo</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Elias J. Sabo</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100" w:after="283"/>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SIGNATURE</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726" w:type="dxa"/>
        <w:jc w:val="left"/>
        <w:tblInd w:w="0" w:type="dxa"/>
        <w:tblLayout w:type="fixed"/>
        <w:tblCellMar>
          <w:top w:w="28" w:type="dxa"/>
          <w:left w:w="28" w:type="dxa"/>
          <w:bottom w:w="28" w:type="dxa"/>
          <w:right w:w="28" w:type="dxa"/>
        </w:tblCellMar>
      </w:tblPr>
      <w:tblGrid>
        <w:gridCol w:w="803"/>
        <w:gridCol w:w="704"/>
        <w:gridCol w:w="712"/>
        <w:gridCol w:w="545"/>
        <w:gridCol w:w="545"/>
        <w:gridCol w:w="545"/>
        <w:gridCol w:w="545"/>
        <w:gridCol w:w="545"/>
        <w:gridCol w:w="782"/>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COMPASS DIVERSIFIED HOLDINGS</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Date: February 26, 2026</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By:</w:t>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Stephen Keller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Stephen Keller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Regular Trustee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1445"/>
                <wp:effectExtent l="0" t="0" r="0" b="0"/>
                <wp:wrapNone/>
                <wp:docPr id="134" name="Frame1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INDEX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AND SUPPLEMENTAL FINANCIAL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70"/>
        <w:gridCol w:w="3013"/>
        <w:gridCol w:w="3019"/>
        <w:gridCol w:w="176"/>
        <w:gridCol w:w="176"/>
        <w:gridCol w:w="251"/>
      </w:tblGrid>
      <w:tr>
        <w:trPr/>
        <w:tc>
          <w:tcPr>
            <w:tcW w:w="3570"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Page</w:t>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Historical Financial Statements:</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35">
              <w:r>
                <w:rPr>
                  <w:rStyle w:val="InternetLink"/>
                  <w:rFonts w:ascii="Arial;sans-serif" w:hAnsi="Arial;sans-serif"/>
                  <w:b w:val="false"/>
                  <w:color w:val="0000FF"/>
                  <w:sz w:val="19"/>
                  <w:u w:val="single"/>
                </w:rPr>
                <w:t>Report of Independent Registered Public Accounting Firm on Internal Control Over Financial Reporting</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35">
              <w:r>
                <w:rPr>
                  <w:rStyle w:val="InternetLink"/>
                  <w:rFonts w:ascii="Arial;sans-serif" w:hAnsi="Arial;sans-serif"/>
                  <w:b w:val="false"/>
                  <w:color w:val="000080"/>
                  <w:sz w:val="19"/>
                  <w:u w:val="single"/>
                </w:rPr>
                <w:t>2</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1c8fbf41abdb4a90b1f02abaa0b14bbd_238">
              <w:r>
                <w:rPr>
                  <w:rStyle w:val="InternetLink"/>
                  <w:rFonts w:ascii="Arial;sans-serif" w:hAnsi="Arial;sans-serif"/>
                  <w:b w:val="false"/>
                  <w:color w:val="0000FF"/>
                  <w:sz w:val="19"/>
                  <w:u w:val="single"/>
                </w:rPr>
                <w:t>Report of Independent Registered Public Accounting Firm</w:t>
              </w:r>
            </w:hyperlink>
            <w:r>
              <w:rPr>
                <w:color w:val="000000"/>
              </w:rPr>
              <w:t xml:space="preserve"> </w:t>
            </w:r>
            <w:r>
              <w:rPr>
                <w:rFonts w:ascii="Arial;sans-serif" w:hAnsi="Arial;sans-serif"/>
                <w:b w:val="false"/>
                <w:color w:val="000000"/>
                <w:sz w:val="19"/>
              </w:rPr>
              <w:t>(PCAOB ID Number 248)</w:t>
            </w:r>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38">
              <w:r>
                <w:rPr>
                  <w:rStyle w:val="InternetLink"/>
                  <w:rFonts w:ascii="Arial;sans-serif" w:hAnsi="Arial;sans-serif"/>
                  <w:b w:val="false"/>
                  <w:color w:val="000080"/>
                  <w:sz w:val="19"/>
                  <w:u w:val="single"/>
                </w:rPr>
                <w:t>4</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41">
              <w:r>
                <w:rPr>
                  <w:rStyle w:val="InternetLink"/>
                  <w:rFonts w:ascii="Arial;sans-serif" w:hAnsi="Arial;sans-serif"/>
                  <w:b w:val="false"/>
                  <w:color w:val="0000FF"/>
                  <w:sz w:val="19"/>
                  <w:u w:val="single"/>
                </w:rPr>
                <w:t xml:space="preserve">Consolidated Balance Sheets </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41">
              <w:r>
                <w:rPr>
                  <w:rStyle w:val="InternetLink"/>
                  <w:rFonts w:ascii="Arial;sans-serif" w:hAnsi="Arial;sans-serif"/>
                  <w:b w:val="false"/>
                  <w:color w:val="000080"/>
                  <w:sz w:val="19"/>
                  <w:u w:val="single"/>
                </w:rPr>
                <w:t>6</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47">
              <w:r>
                <w:rPr>
                  <w:rStyle w:val="InternetLink"/>
                  <w:rFonts w:ascii="Arial;sans-serif" w:hAnsi="Arial;sans-serif"/>
                  <w:b w:val="false"/>
                  <w:color w:val="0000FF"/>
                  <w:sz w:val="19"/>
                  <w:u w:val="single"/>
                </w:rPr>
                <w:t xml:space="preserve">Consolidated Statements of Operations </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47">
              <w:r>
                <w:rPr>
                  <w:rStyle w:val="InternetLink"/>
                  <w:rFonts w:ascii="Arial;sans-serif" w:hAnsi="Arial;sans-serif"/>
                  <w:b w:val="false"/>
                  <w:color w:val="000080"/>
                  <w:sz w:val="19"/>
                  <w:u w:val="single"/>
                </w:rPr>
                <w:t>7</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50">
              <w:r>
                <w:rPr>
                  <w:rStyle w:val="InternetLink"/>
                  <w:rFonts w:ascii="Arial;sans-serif" w:hAnsi="Arial;sans-serif"/>
                  <w:b w:val="false"/>
                  <w:color w:val="0000FF"/>
                  <w:sz w:val="19"/>
                  <w:u w:val="single"/>
                </w:rPr>
                <w:t xml:space="preserve">Consolidated Statements of Comprehensive Income (Loss) </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50">
              <w:r>
                <w:rPr>
                  <w:rStyle w:val="InternetLink"/>
                  <w:rFonts w:ascii="Arial;sans-serif" w:hAnsi="Arial;sans-serif"/>
                  <w:b w:val="false"/>
                  <w:color w:val="000080"/>
                  <w:sz w:val="19"/>
                  <w:u w:val="single"/>
                </w:rPr>
                <w:t>8</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53">
              <w:r>
                <w:rPr>
                  <w:rStyle w:val="InternetLink"/>
                  <w:rFonts w:ascii="Arial;sans-serif" w:hAnsi="Arial;sans-serif"/>
                  <w:b w:val="false"/>
                  <w:color w:val="0000FF"/>
                  <w:sz w:val="19"/>
                  <w:u w:val="single"/>
                </w:rPr>
                <w:t xml:space="preserve">Consolidated Statements of Stockholders’ Equity </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53">
              <w:r>
                <w:rPr>
                  <w:rStyle w:val="InternetLink"/>
                  <w:rFonts w:ascii="Arial;sans-serif" w:hAnsi="Arial;sans-serif"/>
                  <w:b w:val="false"/>
                  <w:color w:val="000080"/>
                  <w:sz w:val="19"/>
                  <w:u w:val="single"/>
                </w:rPr>
                <w:t>9</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56">
              <w:r>
                <w:rPr>
                  <w:rStyle w:val="InternetLink"/>
                  <w:rFonts w:ascii="Arial;sans-serif" w:hAnsi="Arial;sans-serif"/>
                  <w:b w:val="false"/>
                  <w:color w:val="0000FF"/>
                  <w:sz w:val="19"/>
                  <w:u w:val="single"/>
                </w:rPr>
                <w:t xml:space="preserve">Consolidated Statements of Cash Flows </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56">
              <w:r>
                <w:rPr>
                  <w:rStyle w:val="InternetLink"/>
                  <w:rFonts w:ascii="Arial;sans-serif" w:hAnsi="Arial;sans-serif"/>
                  <w:b w:val="false"/>
                  <w:color w:val="000080"/>
                  <w:sz w:val="19"/>
                  <w:u w:val="single"/>
                </w:rPr>
                <w:t>11</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59">
              <w:r>
                <w:rPr>
                  <w:rStyle w:val="InternetLink"/>
                  <w:rFonts w:ascii="Arial;sans-serif" w:hAnsi="Arial;sans-serif"/>
                  <w:b w:val="false"/>
                  <w:color w:val="0000FF"/>
                  <w:sz w:val="19"/>
                  <w:u w:val="single"/>
                </w:rPr>
                <w:t xml:space="preserve">Notes to Consolidated Financial Statements </w:t>
              </w:r>
            </w:hyperlink>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F-</w:t>
            </w:r>
            <w:hyperlink w:anchor="i1c8fbf41abdb4a90b1f02abaa0b14bbd_259">
              <w:r>
                <w:rPr>
                  <w:rStyle w:val="InternetLink"/>
                  <w:rFonts w:ascii="Arial;sans-serif" w:hAnsi="Arial;sans-serif"/>
                  <w:b w:val="false"/>
                  <w:color w:val="000080"/>
                  <w:sz w:val="19"/>
                  <w:u w:val="single"/>
                </w:rPr>
                <w:t>13</w:t>
              </w:r>
            </w:hyperlink>
          </w:p>
        </w:tc>
      </w:tr>
      <w:tr>
        <w:trPr/>
        <w:tc>
          <w:tcPr>
            <w:tcW w:w="9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Supplemental Financial Data:</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9"/>
              </w:rPr>
            </w:pPr>
            <w:r>
              <w:rPr>
                <w:rFonts w:ascii="Arial;sans-serif" w:hAnsi="Arial;sans-serif"/>
                <w:b w:val="false"/>
                <w:color w:val="000000"/>
                <w:sz w:val="19"/>
              </w:rPr>
              <w:t>The following supplementary financial data of the registrant and its subsidiaries required to be included in Item 15(a)(2) of Form 10-K are listed below:</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Schedule II – Valuation and Qualifying Accounts</w:t>
            </w:r>
            <w:r>
              <w:rPr>
                <w:color w:val="000000"/>
              </w:rPr>
              <w:t xml:space="preserve"> </w:t>
            </w:r>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FF"/>
                <w:sz w:val="19"/>
                <w:u w:val="single"/>
              </w:rPr>
              <w:t>S-</w:t>
            </w:r>
            <w:hyperlink w:anchor="i1c8fbf41abdb4a90b1f02abaa0b14bbd_367">
              <w:r>
                <w:rPr>
                  <w:rStyle w:val="InternetLink"/>
                  <w:rFonts w:ascii="Arial;sans-serif" w:hAnsi="Arial;sans-serif"/>
                  <w:b w:val="false"/>
                  <w:color w:val="000080"/>
                  <w:sz w:val="19"/>
                  <w:u w:val="single"/>
                </w:rPr>
                <w:t>1</w:t>
              </w:r>
            </w:hyperlink>
          </w:p>
        </w:tc>
      </w:tr>
      <w:tr>
        <w:trPr/>
        <w:tc>
          <w:tcPr>
            <w:tcW w:w="9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All other schedules not listed above have been omitted as not applicable or because the required information is included in the Consolidated Financial Statements or in the notes thereto.</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1445"/>
                <wp:effectExtent l="0" t="0" r="0" b="0"/>
                <wp:wrapNone/>
                <wp:docPr id="135" name="Frame1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REPORT OF INDEPENDENT REGISTERED PUBLIC ACCOUNTING FIRM</w:t>
      </w:r>
    </w:p>
    <w:p>
      <w:pPr>
        <w:pStyle w:val="TextBody"/>
        <w:bidi w:val="0"/>
        <w:spacing w:before="0" w:after="0"/>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0"/>
        <w:ind w:left="0" w:right="0" w:firstLine="225"/>
        <w:jc w:val="left"/>
        <w:rPr>
          <w:rFonts w:ascii="Arial;sans-serif" w:hAnsi="Arial;sans-serif"/>
          <w:b w:val="false"/>
          <w:color w:val="000000"/>
          <w:sz w:val="20"/>
        </w:rPr>
      </w:pPr>
      <w:r>
        <w:rPr>
          <w:rFonts w:ascii="Arial;sans-serif" w:hAnsi="Arial;sans-serif"/>
          <w:b w:val="false"/>
          <w:color w:val="000000"/>
          <w:sz w:val="20"/>
        </w:rPr>
        <w:t>Compass Diversified Holdings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88" w:before="120" w:after="283"/>
        <w:jc w:val="both"/>
        <w:rPr/>
      </w:pPr>
      <w:r>
        <w:rPr>
          <w:rFonts w:ascii="Arial;sans-serif" w:hAnsi="Arial;sans-serif"/>
          <w:b w:val="false"/>
          <w:color w:val="000000"/>
          <w:sz w:val="20"/>
        </w:rPr>
        <w:t xml:space="preserve">We have audited the internal control over financial reporting of Compass Diversified Holdings (a Delaware trust) and subsidiaries (the “Company”) as of December 31, 2025, based on criteria established in the 2013 </w:t>
      </w:r>
      <w:r>
        <w:rPr>
          <w:rFonts w:ascii="Arial;sans-serif" w:hAnsi="Arial;sans-serif"/>
          <w:b w:val="false"/>
          <w:i/>
          <w:color w:val="000000"/>
          <w:sz w:val="20"/>
        </w:rPr>
        <w:t>Internal Control—Integrated Framework</w:t>
      </w:r>
      <w:r>
        <w:rPr>
          <w:color w:val="000000"/>
        </w:rPr>
        <w:t xml:space="preserve"> </w:t>
      </w:r>
      <w:r>
        <w:rPr>
          <w:rFonts w:ascii="Arial;sans-serif" w:hAnsi="Arial;sans-serif"/>
          <w:b w:val="false"/>
          <w:color w:val="000000"/>
          <w:sz w:val="20"/>
        </w:rPr>
        <w:t xml:space="preserve">issued by the Committee of Sponsoring Organizations of the Treadway Commission (“COSO”). In our opinion, because of the effect of the material weakness described in the following paragraphs on the achievement of the objectives of the control criteria, the Company has not maintained effective internal control over financial reporting as of December 31, 2025, based on criteria established in the 2013 </w:t>
      </w:r>
      <w:r>
        <w:rPr>
          <w:rFonts w:ascii="Arial;sans-serif" w:hAnsi="Arial;sans-serif"/>
          <w:b w:val="false"/>
          <w:i/>
          <w:color w:val="000000"/>
          <w:sz w:val="20"/>
        </w:rPr>
        <w:t>Internal Control—Integrated Framework</w:t>
      </w:r>
      <w:r>
        <w:rPr>
          <w:color w:val="000000"/>
        </w:rPr>
        <w:t xml:space="preserve"> </w:t>
      </w:r>
      <w:r>
        <w:rPr>
          <w:rFonts w:ascii="Arial;sans-serif" w:hAnsi="Arial;sans-serif"/>
          <w:b w:val="false"/>
          <w:color w:val="000000"/>
          <w:sz w:val="20"/>
        </w:rPr>
        <w:t>issued by COSO.</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 material weakness is a deficiency, or combination of control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Company’ risk assessment processes do not include a sufficiently formal or rigorous evaluation of risks associated with subsidiary operations.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Company’s monitoring review controls over its subsidiaries lack sufficient precision and rigor to effectively mitigate the risk of material misstatement, including timely identification and escalation of control deficiencies and other indicators of risk, as well as maintaining sufficient contemporaneous evidence to support the level of precision of monitoring review controls.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also have audited, in accordance with the standards of the Public Company Accounting Oversight Board (United States) (“PCAOB”), the consolidated financial statements of the Company as of and for the year ended December 31, 2025. The material weaknesses identified above were considered in determining the nature, timing, and extent of audit tests applied in our audit of the 2025 consolidated financial statements, and this report does not affect our report dated February 26, 2026 which expressed an unqualified opinion on those financial statements.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Basis for opinion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1445"/>
                <wp:effectExtent l="0" t="0" r="0" b="0"/>
                <wp:wrapNone/>
                <wp:docPr id="136" name="Frame1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Other information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We do not express an opinion or any other form of assurance on the Remediation Plan and Status section of Management’s Report.</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GRANT THORNTON LLP</w: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88" w:before="60" w:after="283"/>
        <w:jc w:val="both"/>
        <w:rPr/>
      </w:pPr>
      <w:r>
        <w:rPr>
          <w:rFonts w:ascii="Arial;sans-serif" w:hAnsi="Arial;sans-serif"/>
          <w:b w:val="false"/>
          <w:color w:val="000000"/>
          <w:sz w:val="20"/>
        </w:rPr>
        <w:t>February</w:t>
      </w:r>
      <w:r>
        <w:rPr>
          <w:color w:val="000000"/>
          <w:shd w:fill="FFFFFF" w:val="clear"/>
        </w:rPr>
        <w:t xml:space="preserve"> </w:t>
      </w:r>
      <w:r>
        <w:rPr>
          <w:rFonts w:ascii="Arial;sans-serif" w:hAnsi="Arial;sans-serif"/>
          <w:b w:val="false"/>
          <w:color w:val="000000"/>
          <w:sz w:val="20"/>
          <w:shd w:fill="FFFFFF" w:val="clear"/>
        </w:rPr>
        <w:t>26, 2026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445"/>
                <wp:effectExtent l="0" t="0" r="0" b="0"/>
                <wp:wrapNone/>
                <wp:docPr id="137" name="Frame1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REPORT OF INDEPENDENT REGISTERED PUBLIC ACCOUNTING FIRM</w:t>
      </w:r>
    </w:p>
    <w:p>
      <w:pPr>
        <w:pStyle w:val="TextBody"/>
        <w:bidi w:val="0"/>
        <w:spacing w:before="0" w:after="0"/>
        <w:jc w:val="center"/>
        <w:rPr/>
      </w:pPr>
      <w:r>
        <w:rPr/>
      </w:r>
    </w:p>
    <w:p>
      <w:pPr>
        <w:pStyle w:val="TextBody"/>
        <w:bidi w:val="0"/>
        <w:spacing w:lineRule="auto" w:line="288" w:before="300" w:after="283"/>
        <w:jc w:val="both"/>
        <w:rPr>
          <w:rFonts w:ascii="Arial;sans-serif" w:hAnsi="Arial;sans-serif"/>
          <w:b w:val="false"/>
          <w:color w:val="000000"/>
          <w:sz w:val="20"/>
        </w:rPr>
      </w:pPr>
      <w:r>
        <w:rPr>
          <w:rFonts w:ascii="Arial;sans-serif" w:hAnsi="Arial;sans-serif"/>
          <w:b w:val="false"/>
          <w:color w:val="000000"/>
          <w:sz w:val="20"/>
        </w:rPr>
        <w:t>Board of Directors and Stockholders</w:t>
      </w:r>
    </w:p>
    <w:p>
      <w:pPr>
        <w:pStyle w:val="TextBody"/>
        <w:bidi w:val="0"/>
        <w:spacing w:lineRule="auto" w:line="288" w:before="0" w:after="0"/>
        <w:ind w:left="0" w:right="0" w:firstLine="225"/>
        <w:jc w:val="left"/>
        <w:rPr>
          <w:rFonts w:ascii="Arial;sans-serif" w:hAnsi="Arial;sans-serif"/>
          <w:b w:val="false"/>
          <w:color w:val="000000"/>
          <w:sz w:val="20"/>
        </w:rPr>
      </w:pPr>
      <w:r>
        <w:rPr>
          <w:rFonts w:ascii="Arial;sans-serif" w:hAnsi="Arial;sans-serif"/>
          <w:b w:val="false"/>
          <w:color w:val="000000"/>
          <w:sz w:val="20"/>
        </w:rPr>
        <w:t>Compass Diversified Holdings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Opinion on the financial statements </w:t>
      </w:r>
    </w:p>
    <w:p>
      <w:pPr>
        <w:pStyle w:val="TextBody"/>
        <w:bidi w:val="0"/>
        <w:spacing w:lineRule="auto" w:line="288" w:before="40" w:after="283"/>
        <w:jc w:val="both"/>
        <w:rPr>
          <w:rFonts w:ascii="Arial;sans-serif" w:hAnsi="Arial;sans-serif"/>
          <w:b w:val="false"/>
          <w:color w:val="000000"/>
          <w:sz w:val="20"/>
        </w:rPr>
      </w:pPr>
      <w:r>
        <w:rPr>
          <w:rFonts w:ascii="Arial;sans-serif" w:hAnsi="Arial;sans-serif"/>
          <w:b w:val="false"/>
          <w:color w:val="000000"/>
          <w:sz w:val="20"/>
        </w:rPr>
        <w:t xml:space="preserve">We have audited the accompanying consolidated balance sheets of Compass Diversified Holdings (a Delaware trust) and subsidiaries (the “Company”) as of December 31, 2025 and 2024, the related consolidated statements of operations, comprehensive income (loss), changes in stockholders’ equity, and cash flows for each of the three years in the period ended December 31,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lineRule="auto" w:line="288" w:before="180" w:after="283"/>
        <w:jc w:val="both"/>
        <w:rPr/>
      </w:pPr>
      <w:r>
        <w:rPr>
          <w:rFonts w:ascii="Arial;sans-serif" w:hAnsi="Arial;sans-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Arial;sans-serif" w:hAnsi="Arial;sans-serif"/>
          <w:b w:val="false"/>
          <w:i/>
          <w:color w:val="000000"/>
          <w:sz w:val="20"/>
        </w:rPr>
        <w:t>Internal Control—Integrated Framework</w:t>
      </w:r>
      <w:r>
        <w:rPr>
          <w:color w:val="000000"/>
        </w:rPr>
        <w:t xml:space="preserve"> </w:t>
      </w:r>
      <w:r>
        <w:rPr>
          <w:rFonts w:ascii="Arial;sans-serif" w:hAnsi="Arial;sans-serif"/>
          <w:b w:val="false"/>
          <w:color w:val="000000"/>
          <w:sz w:val="20"/>
        </w:rPr>
        <w:t>issued by the Committee of Sponsoring Organizations of the Treadway Commission (“COSO”), and our report dated February 26, 2026 expressed an adverse opinion.</w:t>
      </w:r>
    </w:p>
    <w:p>
      <w:pPr>
        <w:pStyle w:val="TextBody"/>
        <w:bidi w:val="0"/>
        <w:spacing w:lineRule="auto" w:line="288" w:before="180" w:after="283"/>
        <w:jc w:val="both"/>
        <w:rPr/>
      </w:pPr>
      <w:r>
        <w:rPr>
          <w:rFonts w:ascii="Arial;sans-serif" w:hAnsi="Arial;sans-serif"/>
          <w:b/>
          <w:color w:val="000000"/>
          <w:sz w:val="20"/>
        </w:rPr>
        <w:t>Basis for opinion</w:t>
      </w:r>
      <w:r>
        <w:rPr>
          <w:color w:val="000000"/>
        </w:rPr>
        <w:t xml:space="preserve">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audit matters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Assessment of management’s going concern analysis</w:t>
      </w:r>
    </w:p>
    <w:p>
      <w:pPr>
        <w:pStyle w:val="TextBody"/>
        <w:bidi w:val="0"/>
        <w:spacing w:lineRule="auto" w:line="288" w:before="40" w:after="283"/>
        <w:jc w:val="both"/>
        <w:rPr>
          <w:rFonts w:ascii="Arial;sans-serif" w:hAnsi="Arial;sans-serif"/>
          <w:b w:val="false"/>
          <w:color w:val="000000"/>
          <w:sz w:val="20"/>
        </w:rPr>
      </w:pPr>
      <w:r>
        <w:rPr>
          <w:rFonts w:ascii="Arial;sans-serif" w:hAnsi="Arial;sans-serif"/>
          <w:b w:val="false"/>
          <w:color w:val="000000"/>
          <w:sz w:val="20"/>
        </w:rPr>
        <w:t xml:space="preserve">As described further in note B to the consolidated financial statements, management performed an evaluation of the Company’s ability to comply with its debt covenants and meet its obligations as they become due over the twelve months following the issuance of the consolidated financial statements, including forecasted future financial results which requires significant judgment and estimation. We identified management’s going concern analysis as a critical audit matter.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principal consideration for our determination that management’s going concern analysis is a critical audit matter is that evaluating the appropriateness of the significant assumptions and estimates used in the financial forecasts supporting the analysis requires a high degree of auditor judgment, as well as an increased extent of effort. </w:t>
      </w:r>
    </w:p>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445"/>
                <wp:effectExtent l="0" t="0" r="0" b="0"/>
                <wp:wrapNone/>
                <wp:docPr id="138" name="Frame1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audit procedures related to management’s going concern analysis included the following, among others: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evaluated management’s forecasts, including the reasonableness of revenue growth rates, operating margins, and cash flows, as well as other assumptions used in the Company’s evaluation of forecasted covenant compliance for the Company’s 2022 credit facility. We also evaluated management’s forecasted liquidity positions and ability to meet its obligations as they become due for the twelve months following the issuance of the consolidated financial statements.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evaluated management’s historical ability to forecast revenues, operating margins and growth rates and compared management's forecasts to (1) historical results, (2) management’s business plans, and (3) forecasted information in industry reports and the peer groups of certain of the Company’s subsidiaries.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performed sensitivity analyses, primarily over forecasted EBITDA and indebtedness, to evaluate the impact changes in these assumptions have on the Company’s forecasted covenant compliance, liquidity positions and ability to meet its obligations for the twelve months following the issuance of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Goodwill – PrimaLoft reporting unit </w:t>
      </w:r>
    </w:p>
    <w:p>
      <w:pPr>
        <w:pStyle w:val="TextBody"/>
        <w:bidi w:val="0"/>
        <w:spacing w:lineRule="auto" w:line="288" w:before="40" w:after="283"/>
        <w:jc w:val="both"/>
        <w:rPr>
          <w:rFonts w:ascii="Arial;sans-serif" w:hAnsi="Arial;sans-serif"/>
          <w:b w:val="false"/>
          <w:color w:val="000000"/>
          <w:sz w:val="20"/>
        </w:rPr>
      </w:pPr>
      <w:r>
        <w:rPr>
          <w:rFonts w:ascii="Arial;sans-serif" w:hAnsi="Arial;sans-serif"/>
          <w:b w:val="false"/>
          <w:color w:val="000000"/>
          <w:sz w:val="20"/>
        </w:rPr>
        <w:t xml:space="preserve">As described further in note H to the consolidated financial statements, the Company performed a quantitative goodwill impairment assessment as of March 31, 2025 on its PrimaLoft reporting unit. This reporting unit had goodwill totaling $232.5 million as of March 31, 2025. We identified the Company’s quantitative goodwill impairment assessment for the PrimaLoft reporting unit as a critical audit matter.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principal consideration for our determination that the quantitative impairment assessment for the PrimaLoft reporting unit is a critical audit matter is that the determination of the reporting unit’s fair value required management to make significant estimates and assumptions related to forecasted revenues, market multiples and the discount rate used. This required a high degree of auditor judgment and an increased extent of effort, including the involvement of professionals with specialized skill and knowledge, in auditing these assumptions made by management.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audit procedures related to the quantitative impairment testing of the PrimaLoft reporting unit included the following, among others: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evaluated management’s historical ability to forecast revenue and compared management’s forecasts to (1) historical results, (2) management’s business plans, and (3) forecasted information in industry reports and companies in their respective peer group.</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With the assistance of our valuation specialists, we assessed the valuation methodologies utilized by management.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performed sensitivity analyses on the market multiples and discount rate assumptions used to evaluate the impact changes in these assumptions have on management’s conclusion.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2005.</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New York, New York </w:t>
      </w:r>
    </w:p>
    <w:p>
      <w:pPr>
        <w:pStyle w:val="TextBody"/>
        <w:bidi w:val="0"/>
        <w:spacing w:lineRule="auto" w:line="288" w:before="6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445"/>
                <wp:effectExtent l="0" t="0" r="0" b="0"/>
                <wp:wrapNone/>
                <wp:docPr id="139" name="Frame1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35"/>
        <w:gridCol w:w="2251"/>
        <w:gridCol w:w="2268"/>
        <w:gridCol w:w="212"/>
        <w:gridCol w:w="944"/>
        <w:gridCol w:w="117"/>
        <w:gridCol w:w="117"/>
        <w:gridCol w:w="117"/>
        <w:gridCol w:w="117"/>
        <w:gridCol w:w="212"/>
        <w:gridCol w:w="944"/>
        <w:gridCol w:w="171"/>
      </w:tblGrid>
      <w:tr>
        <w:trPr/>
        <w:tc>
          <w:tcPr>
            <w:tcW w:w="273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COMPASS DIVERSIFIED HOLDINGS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BALANCE SHEETS</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b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br/>
              <w:t>2024</w:t>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Assets</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assets: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68,015 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202,887 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207,172 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 net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404,102 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571,248 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expenses and other current assets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78,398 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126,692 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related parties (refer to Note Q)</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shd w:fill="FFFFFF" w:val="clear"/>
              </w:rPr>
            </w:pPr>
            <w:r>
              <w:rPr>
                <w:rFonts w:ascii="Arial;sans-serif" w:hAnsi="Arial;sans-serif"/>
                <w:b w:val="false"/>
                <w:color w:val="000000"/>
                <w:sz w:val="17"/>
                <w:shd w:fill="FFFFFF" w:val="clear"/>
              </w:rPr>
              <w:t>Due from unconsolidated affiliate (refer to Note C)</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assets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845,159 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964,771 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Property, plant and equipment,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209,742 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244,746 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895,421 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895,916 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Intangible assets, net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892,811 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983,396 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from unconsolidated affiliate, long-term (refer to Note C)</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170,051 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208,593 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3,039,184 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3,297,422 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Liabilities and stockholders’ equity</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liabilities:</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96,335 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expenses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163,265 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Due to related parties (refer to Note Q)</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portion, long-term debt</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1,774,290 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Subsidiary financing arrangements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169,765 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liabilities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52,519 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49,617 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liabilities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349,619 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2,433,423 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income taxes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108,091 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 (refer to Note I)</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1,839,817 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liabilities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171,896 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225,334 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2,465,521 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2,766,848 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Commitments and contingencies (refer to Note P)</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Stockholders’ equity</w:t>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7"/>
              </w:rPr>
            </w:pPr>
            <w:r>
              <w:rPr>
                <w:rFonts w:ascii="Arial;sans-serif" w:hAnsi="Arial;sans-serif"/>
                <w:b w:val="false"/>
                <w:color w:val="000000"/>
                <w:sz w:val="17"/>
              </w:rPr>
              <w:t>Trust preferred shares, 50,000 authorized; 20,109 shares issued and outstanding at December 31, 2025 and 17,497 shares issued and outstanding at December 31, 2024</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7"/>
              </w:rPr>
            </w:pPr>
            <w:r>
              <w:rPr>
                <w:rFonts w:ascii="Arial;sans-serif" w:hAnsi="Arial;sans-serif"/>
                <w:b w:val="false"/>
                <w:color w:val="000000"/>
                <w:sz w:val="17"/>
              </w:rPr>
              <w:t xml:space="preserve">Series A preferred shares, no par value, 4,678 shares issued and outstanding at December 31, 2025 and 4,551 shares issued and outstanding at December 31, 2024 </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112,010 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109,159 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7"/>
              </w:rPr>
            </w:pPr>
            <w:r>
              <w:rPr>
                <w:rFonts w:ascii="Arial;sans-serif" w:hAnsi="Arial;sans-serif"/>
                <w:b w:val="false"/>
                <w:color w:val="000000"/>
                <w:sz w:val="17"/>
              </w:rPr>
              <w:t>Series B preferred shares, no par value, 7,524 shares issued and outstanding at December 31, 2025 and 6,192 shares issued and outstanding at December 31, 2024</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177,771 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147,906 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7"/>
              </w:rPr>
            </w:pPr>
            <w:r>
              <w:rPr>
                <w:rFonts w:ascii="Arial;sans-serif" w:hAnsi="Arial;sans-serif"/>
                <w:b w:val="false"/>
                <w:color w:val="000000"/>
                <w:sz w:val="17"/>
              </w:rPr>
              <w:t>Series C preferred shares, no par value, 7,907 shares issued and outstanding at December 31, 2025 and 6,754 shares issued and outstanding at December 31, 2024</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188,049 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161,767 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7"/>
              </w:rPr>
            </w:pPr>
            <w:r>
              <w:rPr>
                <w:rFonts w:ascii="Arial;sans-serif" w:hAnsi="Arial;sans-serif"/>
                <w:b w:val="false"/>
                <w:color w:val="000000"/>
                <w:sz w:val="17"/>
              </w:rPr>
              <w:t xml:space="preserve">Trust common shares, no par value, 500,000 authorized; 76,135 shares issued and 75,236 shares outstanding at December 31, 2025 and December 31, 2024, respectively </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1,288,951 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1,289,010 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Treasury shares, at cost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other comprehensive income (loss)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deficit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(1,306,585)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(1,004,975)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 attributable to Holdings</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442,024 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678,620 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interest</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131,639 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stockholders’ equity</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573,663 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530,574 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liabilities and stockholders’ equity</w:t>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3,039,184 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3,297,422 </w:t>
            </w:r>
          </w:p>
        </w:tc>
        <w:tc>
          <w:tcPr>
            <w:tcW w:w="1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445"/>
                <wp:effectExtent l="0" t="0" r="0" b="0"/>
                <wp:wrapNone/>
                <wp:docPr id="140" name="Frame1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04"/>
        <w:gridCol w:w="1882"/>
        <w:gridCol w:w="1890"/>
        <w:gridCol w:w="196"/>
        <w:gridCol w:w="871"/>
        <w:gridCol w:w="109"/>
        <w:gridCol w:w="109"/>
        <w:gridCol w:w="109"/>
        <w:gridCol w:w="109"/>
        <w:gridCol w:w="196"/>
        <w:gridCol w:w="871"/>
        <w:gridCol w:w="109"/>
        <w:gridCol w:w="109"/>
        <w:gridCol w:w="109"/>
        <w:gridCol w:w="109"/>
        <w:gridCol w:w="196"/>
        <w:gridCol w:w="871"/>
        <w:gridCol w:w="156"/>
      </w:tblGrid>
      <w:tr>
        <w:trPr/>
        <w:tc>
          <w:tcPr>
            <w:tcW w:w="2204"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 except per share data)</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1,873,584 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1,788,013 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1,689,920 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1,015,200 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674,720 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502,013 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Management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Operating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(69,409)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(109,892)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extinguishment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deconsolidation of Lugano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sale of Crosman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 (refer to Note 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(83,114)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Loss from continuing operations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(266,453)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Loss from continuing operations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(274,651)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discontinued operations, net of income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income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(293,728)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loss from continuing operations attributable to noncontrolling interest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(75,761)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loss from discontinued operations attributable to 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 attributable to Holdings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Amounts attributable to common shares of Holdings: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(198,890)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discontinued operations, net of income tax</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income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attributable to Holdings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Basic and fully diluted income (loss) per share attributable to Holdings (refer to Note K)</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Weighted average number of shares outstanding - basic and fully 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distribution declared per share (refer to Note K)</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445"/>
                <wp:effectExtent l="0" t="0" r="0" b="0"/>
                <wp:wrapNone/>
                <wp:docPr id="141" name="Frame1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72"/>
        <w:gridCol w:w="1981"/>
        <w:gridCol w:w="1929"/>
        <w:gridCol w:w="196"/>
        <w:gridCol w:w="786"/>
        <w:gridCol w:w="109"/>
        <w:gridCol w:w="109"/>
        <w:gridCol w:w="109"/>
        <w:gridCol w:w="109"/>
        <w:gridCol w:w="196"/>
        <w:gridCol w:w="786"/>
        <w:gridCol w:w="109"/>
        <w:gridCol w:w="109"/>
        <w:gridCol w:w="109"/>
        <w:gridCol w:w="109"/>
        <w:gridCol w:w="196"/>
        <w:gridCol w:w="736"/>
        <w:gridCol w:w="155"/>
      </w:tblGrid>
      <w:tr>
        <w:trPr/>
        <w:tc>
          <w:tcPr>
            <w:tcW w:w="237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6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(293,728)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comprehensive income (loss)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 adjustments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Foreign currency amounts reclassified from accumulated other comprehensive income (loss) that increase (decrease) net income: </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Deconsolidation of Lugano</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Disposition of Ergo</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Pension benefit liability, net of tax</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comprehensive income (loss), net of tax</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(287,653)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33,721 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Net loss attributable to 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(76,065)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Other comprehensive income (loss) attributable to noncontrolling interests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comprehensive income (loss) attributable to Holdings, net of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(220,454)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(214,201)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109,951 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445"/>
                <wp:effectExtent l="0" t="0" r="0" b="0"/>
                <wp:wrapNone/>
                <wp:docPr id="142" name="Frame1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5672" w:type="dxa"/>
        <w:jc w:val="left"/>
        <w:tblInd w:w="0" w:type="dxa"/>
        <w:tblLayout w:type="fixed"/>
        <w:tblCellMar>
          <w:top w:w="28" w:type="dxa"/>
          <w:left w:w="28" w:type="dxa"/>
          <w:bottom w:w="28" w:type="dxa"/>
          <w:right w:w="28" w:type="dxa"/>
        </w:tblCellMar>
      </w:tblPr>
      <w:tblGrid>
        <w:gridCol w:w="663"/>
        <w:gridCol w:w="320"/>
        <w:gridCol w:w="278"/>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736"/>
        <w:gridCol w:w="109"/>
        <w:gridCol w:w="109"/>
        <w:gridCol w:w="109"/>
        <w:gridCol w:w="109"/>
        <w:gridCol w:w="249"/>
        <w:gridCol w:w="707"/>
        <w:gridCol w:w="140"/>
        <w:gridCol w:w="109"/>
        <w:gridCol w:w="109"/>
        <w:gridCol w:w="109"/>
        <w:gridCol w:w="196"/>
        <w:gridCol w:w="736"/>
        <w:gridCol w:w="109"/>
        <w:gridCol w:w="109"/>
        <w:gridCol w:w="109"/>
        <w:gridCol w:w="109"/>
        <w:gridCol w:w="196"/>
        <w:gridCol w:w="646"/>
        <w:gridCol w:w="109"/>
        <w:gridCol w:w="109"/>
        <w:gridCol w:w="109"/>
        <w:gridCol w:w="109"/>
        <w:gridCol w:w="225"/>
        <w:gridCol w:w="744"/>
        <w:gridCol w:w="127"/>
        <w:gridCol w:w="109"/>
        <w:gridCol w:w="109"/>
        <w:gridCol w:w="109"/>
        <w:gridCol w:w="196"/>
        <w:gridCol w:w="73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Trust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Stockholders’</w:t>
              <w:br/>
              <w:t>Equity</w:t>
              <w:br/>
              <w:t>Attributable to</w:t>
              <w:br/>
              <w:t>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 of Disc. Ops.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Series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 January 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comprehensive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Trust Common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Trust common shares for treasury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 activity attributable to noncontrolling shareholders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Effect of subsidiary stock option exercise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to noncontrolling shareholders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 of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Disposition of ACI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Disposition of Marucci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(30,562)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Allocation Interests (refer to Note 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Trust Preferred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Trust Common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 December 31, 2023</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comprehensive loss,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Trust Common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Trust Preferred Shares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Trust common shares for treasury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 activity attributable to noncontrolling shareholders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Effect of subsidiary stock option exercise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 of THP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445"/>
                <wp:effectExtent l="0" t="0" r="0" b="0"/>
                <wp:wrapNone/>
                <wp:docPr id="143" name="Frame1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 OF STOCKHOLDERS' EQUITY</w:t>
      </w:r>
    </w:p>
    <w:p>
      <w:pPr>
        <w:pStyle w:val="TextBody"/>
        <w:bidi w:val="0"/>
        <w:spacing w:before="0" w:after="0"/>
        <w:jc w:val="center"/>
        <w:rPr/>
      </w:pPr>
      <w:r>
        <w:rPr/>
      </w:r>
    </w:p>
    <w:p>
      <w:pPr>
        <w:pStyle w:val="TextBody"/>
        <w:bidi w:val="0"/>
        <w:spacing w:before="0" w:after="0"/>
        <w:jc w:val="center"/>
        <w:rPr/>
      </w:pPr>
      <w:r>
        <w:rPr/>
      </w:r>
    </w:p>
    <w:tbl>
      <w:tblPr>
        <w:tblW w:w="16332" w:type="dxa"/>
        <w:jc w:val="left"/>
        <w:tblInd w:w="0" w:type="dxa"/>
        <w:tblLayout w:type="fixed"/>
        <w:tblCellMar>
          <w:top w:w="28" w:type="dxa"/>
          <w:left w:w="28" w:type="dxa"/>
          <w:bottom w:w="28" w:type="dxa"/>
          <w:right w:w="28" w:type="dxa"/>
        </w:tblCellMar>
      </w:tblPr>
      <w:tblGrid>
        <w:gridCol w:w="723"/>
        <w:gridCol w:w="308"/>
        <w:gridCol w:w="24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09"/>
        <w:gridCol w:w="109"/>
        <w:gridCol w:w="109"/>
        <w:gridCol w:w="109"/>
        <w:gridCol w:w="295"/>
        <w:gridCol w:w="635"/>
        <w:gridCol w:w="166"/>
        <w:gridCol w:w="109"/>
        <w:gridCol w:w="109"/>
        <w:gridCol w:w="109"/>
        <w:gridCol w:w="196"/>
        <w:gridCol w:w="736"/>
        <w:gridCol w:w="109"/>
        <w:gridCol w:w="109"/>
        <w:gridCol w:w="109"/>
        <w:gridCol w:w="109"/>
        <w:gridCol w:w="196"/>
        <w:gridCol w:w="736"/>
        <w:gridCol w:w="109"/>
        <w:gridCol w:w="109"/>
        <w:gridCol w:w="109"/>
        <w:gridCol w:w="109"/>
        <w:gridCol w:w="302"/>
        <w:gridCol w:w="625"/>
        <w:gridCol w:w="169"/>
        <w:gridCol w:w="109"/>
        <w:gridCol w:w="109"/>
        <w:gridCol w:w="109"/>
        <w:gridCol w:w="196"/>
        <w:gridCol w:w="73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Trust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Stockholders’</w:t>
              <w:br/>
              <w:t>Equity</w:t>
              <w:br/>
              <w:t>Attributable to</w:t>
              <w:br/>
              <w:t>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 of Disc. Ops.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Series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Series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Trust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Stockholders’</w:t>
              <w:br/>
              <w:t>Equity</w:t>
              <w:br/>
              <w:t>Attributable to</w:t>
              <w:br/>
              <w:t>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w:t>
              <w:br/>
              <w:t>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 of Disc. Ops.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Disposition of Ergo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Allocation Interests (refer to Note 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 December 31, 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comprehensive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 activity attributable to noncontrolling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Effect of subsidiary stock option exercise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noncontrolling shareholder interest to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Deconsolidation of Lugano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Trust Preferred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Trust Common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Balance —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(1,306,585)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445"/>
                <wp:effectExtent l="0" t="0" r="0" b="0"/>
                <wp:wrapNone/>
                <wp:docPr id="144" name="Frame1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92"/>
        <w:gridCol w:w="1904"/>
        <w:gridCol w:w="1908"/>
        <w:gridCol w:w="109"/>
        <w:gridCol w:w="109"/>
        <w:gridCol w:w="109"/>
        <w:gridCol w:w="196"/>
        <w:gridCol w:w="806"/>
        <w:gridCol w:w="109"/>
        <w:gridCol w:w="109"/>
        <w:gridCol w:w="109"/>
        <w:gridCol w:w="109"/>
        <w:gridCol w:w="196"/>
        <w:gridCol w:w="806"/>
        <w:gridCol w:w="109"/>
        <w:gridCol w:w="109"/>
        <w:gridCol w:w="109"/>
        <w:gridCol w:w="109"/>
        <w:gridCol w:w="196"/>
        <w:gridCol w:w="646"/>
        <w:gridCol w:w="156"/>
      </w:tblGrid>
      <w:tr>
        <w:trPr/>
        <w:tc>
          <w:tcPr>
            <w:tcW w:w="2192"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6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(293,728)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(322,770)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discontinued operations,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(274,651)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Adjustments to reconcile net loss to 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expense - inventory step-up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Amortization of debt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Paid-in-kind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deconsolidation of Lugano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sale of Crosman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Noncontrolling stockholder 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for receivable and inventory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Changes in operating assets and liabilities, net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used in operating activities -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(46,332)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operating activities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62,973 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(517,856)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(55,016)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sale of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500,305 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investing activities -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(504,134)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443,547 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investing activities -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(422,450)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570,503 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445"/>
                <wp:effectExtent l="0" t="0" r="0" b="0"/>
                <wp:wrapNone/>
                <wp:docPr id="145" name="Frame1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before="0" w:after="0"/>
        <w:jc w:val="center"/>
        <w:rPr/>
      </w:pPr>
      <w:r>
        <w:rPr/>
      </w:r>
    </w:p>
    <w:tbl>
      <w:tblPr>
        <w:tblW w:w="9189" w:type="dxa"/>
        <w:jc w:val="center"/>
        <w:tblInd w:w="0" w:type="dxa"/>
        <w:tblLayout w:type="fixed"/>
        <w:tblCellMar>
          <w:top w:w="28" w:type="dxa"/>
          <w:left w:w="28" w:type="dxa"/>
          <w:bottom w:w="28" w:type="dxa"/>
          <w:right w:w="28" w:type="dxa"/>
        </w:tblCellMar>
      </w:tblPr>
      <w:tblGrid>
        <w:gridCol w:w="1886"/>
        <w:gridCol w:w="1664"/>
        <w:gridCol w:w="1670"/>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88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from the issuance of Trust Common Shares,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Proceeds and expenses from issuance of Trust Preferred Shares,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treasury shares,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Borrowings under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Repayments under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Issuance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Repayments -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Subsidiary financing arrangements -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Subsidiary financing arrangements -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(60,367)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proceeds provided by noncontrolling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to noncontrolling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Distributions paid - Allocation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(198,724)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impact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Cash and cash equivalents — beginning of period </w:t>
            </w:r>
            <w:r>
              <w:rPr>
                <w:rFonts w:ascii="Arial;sans-serif" w:hAnsi="Arial;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Cash and cash equivalents — end of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pPr>
      <w:r>
        <w:rPr>
          <w:rFonts w:ascii="Arial;sans-serif" w:hAnsi="Arial;sans-serif"/>
          <w:b/>
          <w:color w:val="000000"/>
          <w:sz w:val="13"/>
        </w:rPr>
        <w:t xml:space="preserve">(1) </w:t>
      </w:r>
      <w:r>
        <w:rPr>
          <w:rFonts w:ascii="Arial;sans-serif" w:hAnsi="Arial;sans-serif"/>
          <w:b w:val="false"/>
          <w:color w:val="000000"/>
          <w:sz w:val="19"/>
        </w:rPr>
        <w:t>Includes cash from discontinued operations of $3.8 million at January 1, 2024, and $8.5 million at January 1, 2023.</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88" w:before="180" w:after="283"/>
        <w:jc w:val="center"/>
        <w:rPr>
          <w:rFonts w:ascii="Arial;sans-serif" w:hAnsi="Arial;sans-serif"/>
          <w:b w:val="false"/>
          <w:color w:val="000000"/>
          <w:sz w:val="18"/>
        </w:rPr>
      </w:pPr>
      <w:r>
        <w:rPr>
          <w:rFonts w:ascii="Arial;sans-serif" w:hAnsi="Arial;sans-serif"/>
          <w:b w:val="false"/>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1445"/>
                <wp:effectExtent l="0" t="0" r="0" b="0"/>
                <wp:wrapNone/>
                <wp:docPr id="146" name="Frame1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A — Organization and Business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Compass Diversified Holdings, a Delaware statutory trust (“the Trust”), was formed in Delaware on November 18, 2005. Compass Group Diversified Holdings, LLC, a Delaware limited liability company (the “LLC”), was also formed on November 18, 2005. Collectively, Compass Diversified Holdings and Compass Group Diversified Holdings LLC are referred to as the "Company". The Company was formed to acquire and manage a group of small and middle-market businesses headquartered in North America. In accordance with the Third Amended and Restated Trust Agreement, dated as of August 3, 2021 (as amended and restated, the “Trust Agreement”), the Trust is sole owner of 100% of the Trust Interests (as defined in the Company’s Sixth Amended and Restated Operating Agreement, dated as of August 3, 2021 (as amended and restated, the “LLC Agreement”)) of the LLC and, pursuant to the LLC Agreement, the LLC has outstanding the identical number of Trust Interests as the number of outstanding common shares of the Trust. The LLC is the operating entity with a board of directors and other corporate governance responsibilities, similar to that of a Delaware corporation.</w:t>
      </w:r>
    </w:p>
    <w:p>
      <w:pPr>
        <w:pStyle w:val="TextBody"/>
        <w:bidi w:val="0"/>
        <w:spacing w:lineRule="auto" w:line="288" w:before="240" w:after="300"/>
        <w:jc w:val="both"/>
        <w:rPr/>
      </w:pPr>
      <w:r>
        <w:rPr>
          <w:rFonts w:ascii="Arial;sans-serif" w:hAnsi="Arial;sans-serif"/>
          <w:b w:val="false"/>
          <w:color w:val="000000"/>
          <w:sz w:val="20"/>
          <w:shd w:fill="FFFFFF" w:val="clear"/>
        </w:rPr>
        <w:t xml:space="preserve">The LLC is a controlling owner of eight businesses, or operating segments, at December 31, 2025. The segments are as follows: 5.11 Acquisition Corp. ("5.11"), Boa Holdings Inc. ("BOA"), Relentless Topco, Inc. ("PrimaLoft"), THP Topco, Inc. ("The Honey Pot Co." or "THP"), CBCP Products, LLC ("Velocity Outdoor" or "Velocity"), AMTAC Holdings, LLC (“Arnold”), FFI Compass, Inc. ("Altor Solutions" or "Altor") </w:t>
      </w:r>
      <w:r>
        <w:rPr>
          <w:rFonts w:ascii="Arial;sans-serif" w:hAnsi="Arial;sans-serif"/>
          <w:b w:val="false"/>
          <w:color w:val="000000"/>
          <w:sz w:val="20"/>
        </w:rPr>
        <w:t xml:space="preserve">and SternoCandleLamp Holdings, Inc. (“Sterno”). The segments are referred to interchangeably as “businesses”, “operating segments” or “subsidiaries” throughout the financial statements. Refer to </w:t>
      </w:r>
      <w:hyperlink w:anchor="i1c8fbf41abdb4a90b1f02abaa0b14bbd_322">
        <w:r>
          <w:rPr>
            <w:rStyle w:val="InternetLink"/>
            <w:rFonts w:ascii="Arial;sans-serif" w:hAnsi="Arial;sans-serif"/>
            <w:b w:val="false"/>
            <w:color w:val="0000FF"/>
            <w:sz w:val="20"/>
            <w:u w:val="single"/>
          </w:rPr>
          <w:t>"Note R - Operating Segment Data"</w:t>
        </w:r>
      </w:hyperlink>
      <w:r>
        <w:rPr>
          <w:color w:val="000000"/>
        </w:rPr>
        <w:t xml:space="preserve"> </w:t>
      </w:r>
      <w:r>
        <w:rPr>
          <w:rFonts w:ascii="Arial;sans-serif" w:hAnsi="Arial;sans-serif"/>
          <w:b w:val="false"/>
          <w:color w:val="000000"/>
          <w:sz w:val="20"/>
        </w:rPr>
        <w:t xml:space="preserve">for further discussion of the operating segments. </w:t>
      </w:r>
      <w:r>
        <w:rPr>
          <w:rFonts w:ascii="Arial;sans-serif" w:hAnsi="Arial;sans-serif"/>
          <w:b w:val="false"/>
          <w:color w:val="000000"/>
          <w:sz w:val="20"/>
          <w:shd w:fill="FFFFFF" w:val="clear"/>
        </w:rPr>
        <w:t>Lugano Holding, Inc. ("Lugano") was an operating segment of the Company until November 16, 2025 when Lugano was deconsolidated. Refer to "</w:t>
      </w:r>
      <w:hyperlink w:anchor="i1c8fbf41abdb4a90b1f02abaa0b14bbd_2779">
        <w:r>
          <w:rPr>
            <w:rStyle w:val="InternetLink"/>
          </w:rPr>
          <w:t xml:space="preserve">Note </w:t>
        </w:r>
      </w:hyperlink>
      <w:hyperlink w:anchor="i1c8fbf41abdb4a90b1f02abaa0b14bbd_2779">
        <w:r>
          <w:rPr>
            <w:rStyle w:val="InternetLink"/>
          </w:rPr>
          <w:t>C</w:t>
        </w:r>
      </w:hyperlink>
      <w:hyperlink w:anchor="i1c8fbf41abdb4a90b1f02abaa0b14bbd_2779">
        <w:r>
          <w:rPr>
            <w:rStyle w:val="InternetLink"/>
          </w:rPr>
          <w:t xml:space="preserve"> - Deconsolidation</w:t>
        </w:r>
      </w:hyperlink>
      <w:r>
        <w:rPr>
          <w:rFonts w:ascii="Arial;sans-serif" w:hAnsi="Arial;sans-serif"/>
          <w:b w:val="false"/>
          <w:color w:val="000000"/>
          <w:sz w:val="20"/>
          <w:shd w:fill="FFFFFF" w:val="clear"/>
        </w:rPr>
        <w:t>" for further discussion of the accounting for Lugano. Co</w:t>
      </w:r>
      <w:r>
        <w:rPr>
          <w:rFonts w:ascii="Arial;sans-serif" w:hAnsi="Arial;sans-serif"/>
          <w:b w:val="false"/>
          <w:color w:val="000000"/>
          <w:sz w:val="20"/>
        </w:rPr>
        <w:t>mpass Group Management LLC, a Delaware limited liability company (“CGM” or the “Manager”), manages the day to day operations of the LLC and oversees the management and operations of our businesses pursuant to a management services agreement (the "Management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Note B — Summary of Significant Accounting Policies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consolidated financial statements have been prepared in accordance with accounting principles generally accepted in the United States of America ("GAAP" or "US GAAP"). The results of operations represent the results of operations of the Company’s acquired businesses from the date of their acquisition by the Company, and therefore may not be indicative of the results to be expected for the full year.</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Restatement of Previously Issued Financial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previously disclosed, in April 2025 the Audit Committee of the Company's board of directors of the Company commenced an internal investigation into the financing, accounting, and inventory practices of Lugano based on concerns reported to Company management as to these practices. The findings of the investigation (the "Lugano Investigation") identified certain unrecorded financing arrangements and irregularities in sales, cost of sales, inventory, and accounts receivable recorded by Lugano. As a result of these findings, the Company restated its previously issued audited consolidated financial statements as of December 31, 2024, 2023 and 2022 and for the years ended December 31, 2024, 2023 and 2022 as well as the interim periods in the years ended December 31, 2024, 2023 and 2022 (collectively, the “Affected Periods”) for the correction of historical financial information related to Lugano. Management identified misstatements in each of the Affected Periods that the Company deemed to be material as a result of the Lugano Investigation.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Going Concern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prior year, conditions and events raised substantial doubt about the Company’s ability to continue as a going concern, primarily related to covenant noncompliance under the Company’s 2022 Credit Facility, related cross</w:t>
        <w:noBreakHyphen/>
        <w:t>default provisions in its senior notes, and liquidity uncertainty arising from those matters. These conditions were disclosed in the Company’s previously issued consolidated financial statements on Form 10-K/A for the year ended December 31,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During the current period, the Company resolved the conditions that previously raised substantial doubt. Specifically, the Company entered into an amendment to its 2022 Credit Facility that waived existing covenant breaches and events of default and provided revised covenant terms. In addition, the Company regained compliance with its senior note indentures following the timely delivery of required financial statements.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1445"/>
                <wp:effectExtent l="0" t="0" r="0" b="0"/>
                <wp:wrapNone/>
                <wp:docPr id="147" name="Frame1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lenders and senior noteholders no longer have the ability to accelerate the Company’s indebtedness based on the matters that gave rise to the prior substantial doubt assessment.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Accordingly, management has concluded that the conditions and events that previously raised substantial doubt about the Company’s ability to continue as a going concern have been resolved. As of the issuance date of these consolidated financial statements, management believes the Company has the ability to meet its obligations as they become due for at least one year thereafter. Therefore, these consolidated financial statements have been prepared without inclusion of any adjustments that might result from the outcome of uncertainty related to going concern.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consolidated financial statements include the accounts of the Trust and the Company, as well as the businesses acquired as of their respective acquisition date. All significant intercompany accounts and transactions have been eliminated in consolidation. Discontinued operating entities are reflected as discontinued operations in the Company’s results of operations and statements of financial position.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acquisition of businesses that the Company owns or controls more than a 50% share of the voting interest are accounted for under the acquisition method of accounting. The amount assigned to the identifiable assets acquired and the liabilities assumed is based on the estimated fair values as of the date of acquisition, with the remainder, if any, recorded as goodwill.</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Discontinued Operations</w:t>
      </w:r>
    </w:p>
    <w:p>
      <w:pPr>
        <w:pStyle w:val="TextBody"/>
        <w:bidi w:val="0"/>
        <w:spacing w:lineRule="auto" w:line="288" w:before="120" w:after="283"/>
        <w:jc w:val="both"/>
        <w:rPr/>
      </w:pPr>
      <w:r>
        <w:rPr>
          <w:rFonts w:ascii="Arial;sans-serif" w:hAnsi="Arial;sans-serif"/>
          <w:b w:val="false"/>
          <w:color w:val="000000"/>
          <w:sz w:val="20"/>
        </w:rPr>
        <w:t>The Company completed the sale of EBP Lifestyle Brands Holdings, Inc. (“Ergobaby”) during the fourth quarter of 2024, Wheelhouse Holdings, Inc. ("Marucci") during the fourth quarter of 2023 and Compass AC Holdings, Inc. ("Advanced Circuits" or "ACI") during the first quarter of 2023. The results of operations of Ergobaby are reported as discontinued operations in the consolidated statements of operations for years ended December 31, 2024 and 2023.The results of operations of Marucci and ACI are reported as discontinued operations in the consolidated statements of operations for year ended December 31, 2023. Refer to "</w:t>
      </w:r>
      <w:hyperlink w:anchor="i1c8fbf41abdb4a90b1f02abaa0b14bbd_277">
        <w:r>
          <w:rPr>
            <w:rStyle w:val="InternetLink"/>
            <w:rFonts w:ascii="Arial;sans-serif" w:hAnsi="Arial;sans-serif"/>
            <w:b w:val="false"/>
            <w:color w:val="0000FF"/>
            <w:sz w:val="20"/>
            <w:u w:val="single"/>
          </w:rPr>
          <w:t>Note E - Dispositions</w:t>
        </w:r>
      </w:hyperlink>
      <w:r>
        <w:rPr>
          <w:rFonts w:ascii="Arial;sans-serif" w:hAnsi="Arial;sans-serif"/>
          <w:b w:val="false"/>
          <w:color w:val="000000"/>
          <w:sz w:val="20"/>
        </w:rPr>
        <w:t xml:space="preserve">" for additional information. Unless otherwise indicated, the disclosures accompanying the consolidated financial statements reflect the Company's continuing operations.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Deconsolidation</w:t>
      </w:r>
    </w:p>
    <w:p>
      <w:pPr>
        <w:pStyle w:val="TextBody"/>
        <w:bidi w:val="0"/>
        <w:spacing w:lineRule="auto" w:line="288" w:before="120" w:after="283"/>
        <w:jc w:val="both"/>
        <w:rPr/>
      </w:pPr>
      <w:r>
        <w:rPr>
          <w:rFonts w:ascii="Arial;sans-serif" w:hAnsi="Arial;sans-serif"/>
          <w:b w:val="false"/>
          <w:color w:val="000000"/>
          <w:sz w:val="20"/>
        </w:rPr>
        <w:t xml:space="preserve">On November 16, 2025, Lugano and certain of its subsidiaries filed a voluntary Chapter 11 petition under the United States Bankruptcy Code in the United States Bankruptcy Court for the District of Delaware (the “Lugano Bankruptcy”). The Lugano Bankruptcy resulted in the deconsolidation of Lugano as of the date of the bankruptcy filing. The Company retained its equity ownership of Lugano subsequent to the bankruptcy but has neither control </w:t>
      </w:r>
      <w:r>
        <w:rPr>
          <w:rFonts w:ascii="Arial;sans-serif" w:hAnsi="Arial;sans-serif"/>
          <w:b w:val="false"/>
          <w:color w:val="000000"/>
          <w:sz w:val="20"/>
          <w:shd w:fill="FFFFFF" w:val="clear"/>
        </w:rPr>
        <w:t>nor significant influence ov</w:t>
      </w:r>
      <w:r>
        <w:rPr>
          <w:rFonts w:ascii="Arial;sans-serif" w:hAnsi="Arial;sans-serif"/>
          <w:b w:val="false"/>
          <w:color w:val="000000"/>
          <w:sz w:val="20"/>
        </w:rPr>
        <w:t xml:space="preserve">er Lugano due to the bankruptcy filing. The Company elected the fair value option under Accounting Standards Codification ("ASC") 825 -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to account for its retained financial interest. Accordingly, the investment is measured at fair value on a recurring basis, with changes in fair value, if any, recognized in earnings each reporting period. As a result of this accounting election, the carrying value of the investment, and the related impact on the Company’s results of operations, may fluctuate from period to period due to non</w:t>
        <w:noBreakHyphen/>
        <w:t>cash mark</w:t>
        <w:noBreakHyphen/>
        <w:t>to</w:t>
        <w:noBreakHyphen/>
        <w:t>market adjustments. These fair value adjustments do not impact the Company’s cash flows or liquidity.</w:t>
      </w:r>
      <w:r>
        <w:rPr>
          <w:color w:val="000000"/>
          <w:shd w:fill="FFFFFF" w:val="clear"/>
        </w:rPr>
        <w:t xml:space="preserve"> </w:t>
      </w:r>
      <w:r>
        <w:rPr>
          <w:rFonts w:ascii="Arial;sans-serif" w:hAnsi="Arial;sans-serif"/>
          <w:b w:val="false"/>
          <w:color w:val="000000"/>
          <w:sz w:val="20"/>
          <w:shd w:fill="FFFFFF" w:val="clear"/>
        </w:rPr>
        <w:t>Refer to "</w:t>
      </w:r>
      <w:hyperlink w:anchor="i1c8fbf41abdb4a90b1f02abaa0b14bbd_2779">
        <w:r>
          <w:rPr>
            <w:rStyle w:val="InternetLink"/>
          </w:rPr>
          <w:t>Note C</w:t>
        </w:r>
      </w:hyperlink>
      <w:hyperlink w:anchor="i1c8fbf41abdb4a90b1f02abaa0b14bbd_2779">
        <w:r>
          <w:rPr>
            <w:rStyle w:val="InternetLink"/>
          </w:rPr>
          <w:t xml:space="preserve"> - Deconsolidation</w:t>
        </w:r>
      </w:hyperlink>
      <w:r>
        <w:rPr>
          <w:rFonts w:ascii="Arial;sans-serif" w:hAnsi="Arial;sans-serif"/>
          <w:b w:val="false"/>
          <w:color w:val="000000"/>
          <w:sz w:val="20"/>
          <w:shd w:fill="FFFFFF" w:val="clear"/>
        </w:rPr>
        <w:t>" for additional information.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amounts reported in the consolidated financial statements and the related notes to the consolidated financial statements. These estimates are based on historical factors, management’s best knowledge of current events and actions the Company may undertake in the future. It is possible that in 2026 actual conditions could be better or worse than anticipated when the Company developed the estimates and assumptions, which could materially affect the results of operations and financial position in the future. Actual results could differ from those estimates.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Allocation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has issued Allocation Interests governed by the LLC Agreement that entitle the holders (the "Holders") to receive distributions pursuant to a profit allocation formula upon the occurrence of certain events. The Holders are entitled to receive and as such can elect to receive, if due pursuant to the profit allocation formula, an allocation payment upon the sale of a business (a "Sale Event") and upon election of the Holders during the 30-day period following the fifth anniversary of the date upon which the Company acquired a controlling interest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1445"/>
                <wp:effectExtent l="0" t="0" r="0" b="0"/>
                <wp:wrapNone/>
                <wp:docPr id="148" name="Frame1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F-14</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business (a "Holding Event"). The payment to the Holders for a Sale Event is based on the pre-tax gain from the sale of the business, as part of the gain is allocated to the Holders and reduced by the tax that would be due on the sale transaction by the Company. Payments of profit allocation to the Holders are accounted for as dividends declared on Allocation Interests and recorded in stockholders' equity once they are approved by the Company's Board of Directors ("Board").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jc w:val="both"/>
        <w:rPr/>
      </w:pPr>
      <w:r>
        <w:rPr>
          <w:rFonts w:ascii="Arial;sans-serif" w:hAnsi="Arial;sans-serif"/>
          <w:b w:val="false"/>
          <w:color w:val="000000"/>
          <w:sz w:val="20"/>
        </w:rPr>
        <w:t>The Company recognizes revenue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 Refer to "</w:t>
      </w:r>
      <w:hyperlink w:anchor="i1c8fbf41abdb4a90b1f02abaa0b14bbd_280">
        <w:r>
          <w:rPr>
            <w:rStyle w:val="InternetLink"/>
            <w:rFonts w:ascii="Arial;sans-serif" w:hAnsi="Arial;sans-serif"/>
            <w:b w:val="false"/>
            <w:color w:val="0000FF"/>
            <w:sz w:val="20"/>
            <w:u w:val="single"/>
          </w:rPr>
          <w:t>Note F - Revenue</w:t>
        </w:r>
      </w:hyperlink>
      <w:r>
        <w:rPr>
          <w:rFonts w:ascii="Arial;sans-serif" w:hAnsi="Arial;sans-serif"/>
          <w:b w:val="false"/>
          <w:color w:val="000000"/>
          <w:sz w:val="20"/>
        </w:rPr>
        <w:t>" for a detailed description of the Company's revenue recognition policies.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considers all highly liquid investments with original maturities of three months or less to be cash equivalents. Certain cash account balances held in domestic financial institutions exceed FDIC insurance limits of $250,000 per account and, as a result, there is a concentration of credit risk related to amounts in excess of the insurance limits. We monitor the financial stability of these financial institutions and believe that we are not exposed to any significant credit risk in cash or cash equivalents. At December 31, 2025 and 2024, the amount of cash and cash equivalents held by our subsidiaries in foreign bank accounts was $26.2 million and $24.1 million, respectively.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Accounts receivable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Trade receivables are reported on the consolidated balance sheets at cost adjusted for any write-offs and net of an allowance for credit losses. The Company uses estimates to determine the amount of the allowance for credit losses in order to reduce accounts receivable to their estimated net realizable value. The Company estimates the amount of the required allowance by reviewing the status of past-due receivables and analyzing historical bad debt trends. The Company’s estimate also includes analyzing existing economic conditions. When the Company becomes aware of circumstances that may impair a specific customer’s ability to meet its financial obligations subsequent to the original sale, the Company will record an allowance against amounts due, and thereby reduce the net receivable to the amount it reasonably believes will be collectible. Balances that remain outstanding after the Company has used reasonable collection efforts are written off through a charge to the valuation allowance and a credit to accounts receivable. Prior to deconsolidation, the Company's Lugano operating segment adopted the practical expedient available under the revenue recognition accounting standard whereby for revenue contracts that have an original duration of one year or less, Lugano did not consider the time value of money and did not recognize a financing component on trade receivables where the period between the transfer of a promised good to a customer and the customer’s payment for that good will be one year or less.</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Inventories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Inventories consist of raw materials, work-in-process, manufactured goods and purchased goods acquired for resale. Inventories are stated at the lower of cost or net realizable value, with cost generally determined on the first-in, first-out method or average cost method. Prior to deconsolidation, at our Lugano business, cost was determined based on specific identification. Cost includes raw materials, direct labor, manufacturing overhead and indirect overhead. Net realizable value is based on current replacement cost for raw materials and supplies and on estimated selling costs less reasonably predictable costs of completion, and disposal for finished goods. The net realizable value of the Company’s inventory is estimated based on historical experience, current and forecasted demand and other market conditions. In addition, reserves for inventory losses are estimated based on historical experience. The Company’s inventory reserves are estimates, which could vary significantly from actual results if future economic conditions, customer demand or competition differ from expectations. The Company's historical estimates of these adjustments have not differed materially from actual results.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Property, plant and equipment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Property, plant and equipment is recorded at cost. The cost of major additions or betterments is capitalized, while maintenance and repairs that do not improve or extend the useful lives of the related assets are expensed as incurred.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Depreciation is provided principally on the straight-line method over estimated useful lives. Leasehold improvements are amortized over the life of the lease or the life of the improvement, whichever is shorter.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1445"/>
                <wp:effectExtent l="0" t="0" r="0" b="0"/>
                <wp:wrapNone/>
                <wp:docPr id="149" name="Frame1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F-15</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ranges of useful lives are as follows:</w:t>
      </w:r>
    </w:p>
    <w:tbl>
      <w:tblPr>
        <w:tblW w:w="6721" w:type="dxa"/>
        <w:jc w:val="center"/>
        <w:tblInd w:w="0" w:type="dxa"/>
        <w:tblLayout w:type="fixed"/>
        <w:tblCellMar>
          <w:top w:w="28" w:type="dxa"/>
          <w:left w:w="28" w:type="dxa"/>
          <w:bottom w:w="28" w:type="dxa"/>
          <w:right w:w="28" w:type="dxa"/>
        </w:tblCellMar>
      </w:tblPr>
      <w:tblGrid>
        <w:gridCol w:w="1309"/>
        <w:gridCol w:w="1150"/>
        <w:gridCol w:w="1156"/>
        <w:gridCol w:w="905"/>
        <w:gridCol w:w="905"/>
        <w:gridCol w:w="1296"/>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 to 40 years</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 to 15 years</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furniture, computers and software</w:t>
            </w:r>
          </w:p>
        </w:tc>
        <w:tc>
          <w:tcPr>
            <w:tcW w:w="31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 to 10 years</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Shorter of useful life or lease term</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Property, plant and equipment and other long-lived assets that have definitive lives are evaluated for impairment when events or changes in circumstances indicate that the carrying value of the assets may not be recoverable (‘triggering event’). Upon the occurrence of a triggering event, the asset is reviewed to assess whether the estimated undiscounted cash flows expected from the use of the asset plus residual value from the ultimate disposal exceeds the carrying value of the asset. If the carrying value exceeds the estimated recoverable amounts, the asset is written down to its fair value.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categorizes its assets and liabilities into one of three levels based on the assumptions (inputs) used in valuing the asset or liability. Fair value is defined as the price that would be received to sell an asset or paid to transfer a liability in an orderly transaction between market participants at the measurement date.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Unadjusted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reflecting management's assumptions about the inputs used in pricing the asset or liability.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carrying value of the Company’s financial instruments, including cash and cash equivalents, accounts receivable and accounts payable approximate their fair value due to their short term nature. The carrying value of the Company's current debt, including the subsidiary financing arrangements at Lugano, approximate their fair value due to their classification as current in the accompanying consolidated financial statements. The carrying value of the principal under the Company's outstanding 2022 Term Loan approximates fair value because it bears interest at a variable interest rate that reflects changes in interest rates and changes in the Company's net leverage ratio. The fair value of the Company's Notes are based on interest rates that are currently available to the Company for issuance of debt with similar terms and remaining maturities. If measured at fair value in the financial statements, the 2022 Term Loan and the Senior Notes would be classified as Level 2 in the fair value hierarchy.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allocates the amount it pays for each acquisition to the assets acquired and liabilities assumed based on their fair values at the date of acquisition, including identifiable intangible assets which arise from a contractual or legal right or are separable from goodwill. The Company bases the fair value of identifiable intangible assets acquired in a business combination on detailed valuations that use information and assumptions provided by management, which consider management’s best estimates of inputs and assumptions that a market participant would use. The Company allocates any excess purchase price that exceeds the fair value of the net tangible and identifiable intangible assets acquired to goodwill. The use of alternative valuation assumptions, including estimated growth rates, cash flows, discount rates and estimated useful lives could result in different purchase price allocations and amortization expense in current and future periods. Transaction costs associated with these acquisitions are expensed as incurred through selling, general and administrative expense on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445"/>
                <wp:effectExtent l="0" t="0" r="0" b="0"/>
                <wp:wrapNone/>
                <wp:docPr id="150" name="Frame1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statements of operations. In those circumstances where an acquisition involves a contingent consideration arrangement, the Company recognizes a liability equal to the fair value of the contingent payments expected to be made as of the acquisition date. The Company re-measures this liability each reporting period and records changes in the fair value through operating income within the consolidated statements of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Goodwill represents the excess of the purchase price over the fair value of the assets acquired and liabilities assumed. The Company is required to perform impairment reviews at each of its reporting units annually and more frequently in certain circumstances. In accordance with accounting guidelines, the Company is able to make a qualitative assessment of whether it is more likely than not that a reporting unit’s fair value is less than its carrying amount before applying the quantitative goodwill impairment test.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first step of the process after the qualitative assessment fails is estimating the fair value of each of its reporting units based on a discounted cash flow model using revenue and profit forecast and a market approach which compares peer data and earnings multiples. The Company then compares those estimated fair values with the carrying values, which include allocated goodwill. If the estimated fair value is less than the carrying value, then a goodwill impairment is recorded.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cannot predict the occurrence of certain future events that might adversely affect the implied value of goodwill and/or the fair value of intangible assets. Such events include, but are not limited to, strategic decisions made in response to economic and competitive conditions, the impact of the economic environment on its customer base, and material adverse effects in relationships with significant customers. The impact of over-estimating or under-estimating the implied fair value of goodwill at any of the reporting units could have a material effect on the results of operations and financial position. In addition, the value of the implied goodwill is subject to the volatility of the Company’s operations which may result in significant fluctuation in the value assigned at any point in time.</w:t>
      </w:r>
    </w:p>
    <w:p>
      <w:pPr>
        <w:pStyle w:val="TextBody"/>
        <w:bidi w:val="0"/>
        <w:spacing w:lineRule="auto" w:line="288" w:before="180" w:after="283"/>
        <w:jc w:val="both"/>
        <w:rPr/>
      </w:pPr>
      <w:r>
        <w:rPr>
          <w:rFonts w:ascii="Arial;sans-serif" w:hAnsi="Arial;sans-serif"/>
          <w:b w:val="false"/>
          <w:color w:val="000000"/>
          <w:sz w:val="20"/>
        </w:rPr>
        <w:t>Refer to "</w:t>
      </w:r>
      <w:hyperlink w:anchor="i1c8fbf41abdb4a90b1f02abaa0b14bbd_286">
        <w:r>
          <w:rPr>
            <w:rStyle w:val="InternetLink"/>
            <w:rFonts w:ascii="Arial;sans-serif" w:hAnsi="Arial;sans-serif"/>
            <w:b w:val="false"/>
            <w:color w:val="0000FF"/>
            <w:sz w:val="20"/>
            <w:u w:val="single"/>
          </w:rPr>
          <w:t>Note H - Goodwill and Intangible Assets</w:t>
        </w:r>
      </w:hyperlink>
      <w:r>
        <w:rPr>
          <w:rFonts w:ascii="Arial;sans-serif" w:hAnsi="Arial;sans-serif"/>
          <w:b w:val="false"/>
          <w:color w:val="000000"/>
          <w:sz w:val="20"/>
        </w:rPr>
        <w:t>" for the results of the annual impairment tests.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Deferred debt issuance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Deferred debt issuance costs represent the costs associated with the issuance of debt instruments and are amortized over the life of the related debt instrument. Deferred debt issuance costs are presented in the consolidated balance sheets as a deduction from the carrying value of the associated debt liability.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Product Warranty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recognizes warranty costs based on an estimate of the amounts required to meet future warranty obligations. The Company accrues an estimated liability for exposure to warranty claims at the time of a product sale based on both current and historical claim trends and warranty costs incurred. Warranty reserves are included within "Accrued expenses" in the Company's consolidated balance sheets.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Foreign currency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Certain of the Company’s segments have operations outside the United States, and the local currency is typically the functional currency. The financial statements are translated into U.S. dollars using exchange rates in effect at year-end for assets and liabilities and average exchange rates during the year for results of operations. The resulting translation gain or loss is included in stockholders' equity as other comprehensive income or loss.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Noncontrolling interest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Noncontrolling interest represents the portion of a majority-owned subsidiary’s net income that is owned by noncontrolling shareholders. Noncontrolling interest on the balance sheet represents the portion of equity in a consolidated subsidiary owned by noncontrolling shareholders.</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Income taxes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Deferred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Deferred income taxes are calculated under the asset and liability method which requires the recognition of deferred tax assets and liabilities for the expected future tax consequences of events that have been included in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445"/>
                <wp:effectExtent l="0" t="0" r="0" b="0"/>
                <wp:wrapNone/>
                <wp:docPr id="151" name="Frame1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statements. Deferred income taxes are provided for the differences between the basis of assets and liabilities for financial reporting and income tax purposes at the enacted tax rates.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valuation allowance is established when necessary to reduce deferred tax assets to the amount that is expected to more likely than not be realized. Several of the Company’s majority owned subsidiaries have deferred tax assets recorded at December 31, 2025 which in total amounted to approximately $93.9 million. This deferred tax asset is net of $202.8 million of valuation allowance primarily associated with the realization of domestic and foreign net operating losses, domestic and foreign tax credits and the limitation on the deduction of interest expense. These deferred tax assets are comprised primarily of reserves not currently deductible for tax purposes. The temporary differences that have resulted in the recording of these tax assets may be used to offset taxable income in future periods, reducing the amount of taxes required to be paid. Realization of the deferred tax assets is dependent on generating sufficient future taxable income at those subsidiaries with deferred tax assets. Based upon the expected future results of operations, the Company believes it is more likely than not that those subsidiaries with deferred tax assets will generate sufficient future taxable income to realize the benefit of existing temporary differences, although there can be no assurance of this. The impact of not realizing these deferred tax assets would result in an increase in income tax expense for such period when the determination was made that the assets are not realizable.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Uncertain Tax Positions</w:t>
      </w:r>
    </w:p>
    <w:p>
      <w:pPr>
        <w:pStyle w:val="TextBody"/>
        <w:bidi w:val="0"/>
        <w:spacing w:lineRule="auto" w:line="288" w:before="120" w:after="283"/>
        <w:jc w:val="both"/>
        <w:rPr/>
      </w:pPr>
      <w:r>
        <w:rPr>
          <w:rFonts w:ascii="Arial;sans-serif" w:hAnsi="Arial;sans-serif"/>
          <w:b w:val="false"/>
          <w:color w:val="000000"/>
          <w:sz w:val="20"/>
        </w:rPr>
        <w:t xml:space="preserve">We record uncertain tax positions in accordance with Accounting Standards Codification ASC 740 - </w:t>
      </w:r>
      <w:r>
        <w:rPr>
          <w:rFonts w:ascii="Arial;sans-serif" w:hAnsi="Arial;sans-serif"/>
          <w:b w:val="false"/>
          <w:i/>
          <w:color w:val="000000"/>
          <w:sz w:val="20"/>
        </w:rPr>
        <w:t>Income Taxes</w:t>
      </w:r>
      <w:r>
        <w:rPr>
          <w:rFonts w:ascii="Arial;sans-serif" w:hAnsi="Arial;sans-serif"/>
          <w:b w:val="false"/>
          <w:color w:val="000000"/>
          <w:sz w:val="20"/>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Earnings per common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Basic and fully diluted earnings per Trust common share is computed using the two-class method which requires companies to allocate participating securities that have rights to earnings that otherwise would have been available only to common shareholders as a separate class of securities in calculating earnings per share. The Company has granted Allocation Interests that contain participating rights to receive profit allocations upon the occurrence of a Holding Event or a Sale Event, and has issued Preferred Shares (as defined below) that have rights to distributions when, and if, declared by the Company's Board.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calculation of basic and fully diluted earnings per common share is computed by dividing income available to common shareholders by the weighted average number of Trust common shares outstanding during the period. Earnings per common share reflects the effect of distributions that were declared and paid to the Holders and distributions that were paid on Preferred Shares during the period.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did not have any stock option plans or any other potentially dilutive securities outstanding during the years ended December 31, 2025, 2024 and 2023.</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Advertising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Advertising costs are expensed as incurred and included in selling, general and administrative expense in the consolidated statements of operations. Advertising costs were $37.6 million, $30.6 million and $24.6 million during the years ended December 31, 2025, 2024 and 2023, respectively.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Research and development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Research and development costs are expensed as incurred and included in selling, general and administrative expense in the consolidated statements of operations. The Company incurred research and development expense of $16.6 million, $16.9 million and $13.9 million during the years ended December 31, 2025, 2024 and 2023, respectively.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Employee retirement plans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and many of its segments sponsor defined contribution retirement plans, such as 401(k) plans. Employee contributions to the plan are subject to regulatory limitations and the specific plan provisions. The Company and its segments may match these contributions up to levels specified in the plans and may make additional discretionary contributions as determined by management. The total employer contributions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445"/>
                <wp:effectExtent l="0" t="0" r="0" b="0"/>
                <wp:wrapNone/>
                <wp:docPr id="152" name="Frame1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F-18</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plans were $7.2 million, $5.3 million and $4.6 million for the years ended December 31, 2025, 2024 and 2023, respectively.</w:t>
      </w:r>
    </w:p>
    <w:p>
      <w:pPr>
        <w:pStyle w:val="TextBody"/>
        <w:bidi w:val="0"/>
        <w:spacing w:lineRule="auto" w:line="288" w:before="180" w:after="283"/>
        <w:jc w:val="both"/>
        <w:rPr/>
      </w:pPr>
      <w:r>
        <w:rPr>
          <w:rFonts w:ascii="Arial;sans-serif" w:hAnsi="Arial;sans-serif"/>
          <w:b w:val="false"/>
          <w:color w:val="000000"/>
          <w:sz w:val="20"/>
        </w:rPr>
        <w:t>The Company’s Arnold subsidiary maintains a defined benefit plan for certain of its employees which is more fully described in "</w:t>
      </w:r>
      <w:hyperlink w:anchor="i1c8fbf41abdb4a90b1f02abaa0b14bbd_292">
        <w:r>
          <w:rPr>
            <w:rStyle w:val="InternetLink"/>
            <w:rFonts w:ascii="Arial;sans-serif" w:hAnsi="Arial;sans-serif"/>
            <w:b w:val="false"/>
            <w:color w:val="0000FF"/>
            <w:sz w:val="20"/>
            <w:u w:val="single"/>
          </w:rPr>
          <w:t>Note J - Defined Benefit Plan</w:t>
        </w:r>
      </w:hyperlink>
      <w:r>
        <w:rPr>
          <w:rFonts w:ascii="Arial;sans-serif" w:hAnsi="Arial;sans-serif"/>
          <w:b w:val="false"/>
          <w:color w:val="000000"/>
          <w:sz w:val="20"/>
        </w:rPr>
        <w:t>". Accounting guidelines require employers to recognize the overfunded or underfunded status of defined benefit pension and postretirement plans as assets or liabilities in their consolidated balance sheets and to recognize changes in that funded status in the year in which the changes occur as a component of comprehensive income.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Earnings of certain of our operating segments are seasonal in nature due to various recurring events, holidays and seasonal weather patterns, as well as the timing of our acquisitions during a given year. Historically, the third and fourth quarter have produced the highest net sales in our fiscal year, however, due to various acquisitions in the last three years, there is generally less seasonality in our net sales on a consolidated basis than there has been historically.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based compensation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does not have a stock based compensation plan; however, all of the Company’s subsidiaries maintain stock based compensation plans under which some form of stock compensation, typically stock options or profit interests, is issued to employees and outside directors of each subsidiary. The fair value of the awards are estimated on the date of grant using a pricing model and assumptions specific to the subsidiary that granted the stock award. During the years ended December 31, 2025, 2024 and 2023, $16.1 million, $16.3 million, and $9.5 million of stock based compensation expense was recorded in selling, general and administrative expense in the consolidated statements of operations. As of December 31, 2025, the amount to be recorded for stock-based compensation expense in future years for unvested options is approximately $37.6 million.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12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Income Taxes (Topic 740): Improvements to Income Tax Disclosures</w:t>
      </w:r>
    </w:p>
    <w:p>
      <w:pPr>
        <w:pStyle w:val="TextBody"/>
        <w:bidi w:val="0"/>
        <w:spacing w:lineRule="auto" w:line="288" w:before="120" w:after="283"/>
        <w:jc w:val="both"/>
        <w:rPr/>
      </w:pPr>
      <w:r>
        <w:rPr>
          <w:rFonts w:ascii="Arial;sans-serif" w:hAnsi="Arial;sans-serif"/>
          <w:b w:val="false"/>
          <w:color w:val="000000"/>
          <w:sz w:val="20"/>
        </w:rPr>
        <w:t>In December 2023, the FASB issued ASU No. 2023-09, Income Taxes (Topic 740): Improvements to Income Tax Disclosures. This guidance requires public business entities on an annual basis to provide enhanced disclosures of specific categories of reconciling items included in the rate reconciliation, as well as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ASU 2023-09 is effective for annual periods beginning after December 15, 2024 and early adoption is permitted. The Company adopted ASU 2023-09 for the year ended December 31, 2025 and applied the new disclosure requirements prospectively to the current annual period. Prior period disclosures have not been adjusted to reflect the new disclosure requirements. Refer to "</w:t>
      </w:r>
      <w:hyperlink w:anchor="i1c8fbf41abdb4a90b1f02abaa0b14bbd_301">
        <w:r>
          <w:rPr>
            <w:rStyle w:val="InternetLink"/>
            <w:rFonts w:ascii="Arial;sans-serif" w:hAnsi="Arial;sans-serif"/>
            <w:b w:val="false"/>
            <w:color w:val="0000FF"/>
            <w:sz w:val="20"/>
            <w:u w:val="single"/>
          </w:rPr>
          <w:t>Note L - Income Taxes</w:t>
        </w:r>
      </w:hyperlink>
      <w:r>
        <w:rPr>
          <w:rFonts w:ascii="Arial;sans-serif" w:hAnsi="Arial;sans-serif"/>
          <w:b w:val="false"/>
          <w:color w:val="000000"/>
          <w:sz w:val="20"/>
        </w:rPr>
        <w:t>" in the accompanying notes to the consolidated financial statements for further detail.</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Disaggregation of Income Statement Expenses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 Expense Disaggregation Disclosures (Subtopic 220-40). This guidance will require the disclosure of disaggregation of certain relevant expenses included in the consolidated statements of operations. The guidance will be effective for annual reporting periods beginning after December 15, 2026 and for interim reporting periods beginning December 15, 2027, with early adoption permitted. The Company is currently evaluating the impact this standard will have on the consolidated financial statements.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Interim Reporting</w:t>
      </w:r>
    </w:p>
    <w:p>
      <w:pPr>
        <w:pStyle w:val="TextBody"/>
        <w:bidi w:val="0"/>
        <w:spacing w:lineRule="auto" w:line="288" w:before="120" w:after="300"/>
        <w:jc w:val="both"/>
        <w:rPr>
          <w:rFonts w:ascii="Arial;sans-serif" w:hAnsi="Arial;sans-serif"/>
          <w:b w:val="false"/>
          <w:color w:val="000000"/>
          <w:sz w:val="20"/>
        </w:rPr>
      </w:pPr>
      <w:r>
        <w:rPr>
          <w:rFonts w:ascii="Arial;sans-serif" w:hAnsi="Arial;sans-serif"/>
          <w:b w:val="false"/>
          <w:color w:val="000000"/>
          <w:sz w:val="20"/>
        </w:rPr>
        <w:t>In December 2025, the FASB issued ASU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153" name="Frame1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F-19</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00" w:after="283"/>
        <w:jc w:val="both"/>
        <w:rPr>
          <w:rFonts w:ascii="Arial;sans-serif" w:hAnsi="Arial;sans-serif"/>
          <w:b/>
          <w:color w:val="000000"/>
          <w:sz w:val="20"/>
          <w:shd w:fill="FFFFFF" w:val="clear"/>
        </w:rPr>
      </w:pPr>
      <w:r>
        <w:rPr>
          <w:rFonts w:ascii="Arial;sans-serif" w:hAnsi="Arial;sans-serif"/>
          <w:b/>
          <w:color w:val="000000"/>
          <w:sz w:val="20"/>
          <w:shd w:fill="FFFFFF" w:val="clear"/>
        </w:rPr>
        <w:t>Note C — Deconsolidation</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Lugano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November 16, 2025, Lugano and certain of its subsidiaries filed a voluntary Chapter 11 petition under the United States Bankruptcy Code in the United States Bankruptcy Court for the District of Delaware. As a result of the Lugano Bankruptcy, the Company deconsolidated Lugano and recorded a loss on deconsolidation in the year ending December 31, 2025.</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Retained Interests and Secured Claim</w:t>
      </w:r>
    </w:p>
    <w:p>
      <w:pPr>
        <w:pStyle w:val="TextBody"/>
        <w:bidi w:val="0"/>
        <w:spacing w:lineRule="auto" w:line="288" w:before="120" w:after="283"/>
        <w:jc w:val="both"/>
        <w:rPr/>
      </w:pPr>
      <w:r>
        <w:rPr>
          <w:rFonts w:ascii="Arial;sans-serif" w:hAnsi="Arial;sans-serif"/>
          <w:b w:val="false"/>
          <w:color w:val="000000"/>
          <w:sz w:val="20"/>
        </w:rPr>
        <w:t xml:space="preserve">Following the deconsolidation of Lugano, the Company derecognized Lugano’s assets and liabilities and recognized any retained interest in Lugano at fair value in accordance with ASC 825 - </w:t>
      </w:r>
      <w:r>
        <w:rPr>
          <w:rFonts w:ascii="Arial;sans-serif" w:hAnsi="Arial;sans-serif"/>
          <w:b w:val="false"/>
          <w:i/>
          <w:color w:val="000000"/>
          <w:sz w:val="20"/>
        </w:rPr>
        <w:t>Financial Instruments</w:t>
      </w:r>
      <w:r>
        <w:rPr>
          <w:rFonts w:ascii="Arial;sans-serif" w:hAnsi="Arial;sans-serif"/>
          <w:b w:val="false"/>
          <w:color w:val="000000"/>
          <w:sz w:val="20"/>
        </w:rPr>
        <w:t>. Fair value of the retained equity interest was determined using management’s estimates of expected recoveries from the bankruptcy proceedings. The fair value measurement requires the use of significant judgment and estimates and is based primarily on expected cash flows, including assumptions regarding the timing and amount of potential recoveries in the Lugano bankruptcy proceedings and the priority of claims. At November 16, 2025 and December 31, 2025, the retained equity interest in Lugano was determined to have no value, based on the Company’s assessment of expected recoveries in the bankruptcy proceedings and the priority and amounts of claims senior to equity.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Separately, prior to the bankruptcy filing, the Company had outstanding intercompany indebtedness owed by Lugano, including amounts that were secured by certain Lugano assets. Because intercompany balances are eliminated in consolidation, the fair value of intercompany indebtedness owed by Lugano to the Company was recognized upon deconsolidation in accordance with ASC 810. Any expected recovery (or lack thereof) on the secured claim is reflected through the measurement of the receivable/ claim due from affiliate (including any impairment or allowance), rather than through the fair value of any retained equity interest.</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Loss on Deconsolidation</w:t>
      </w:r>
    </w:p>
    <w:p>
      <w:pPr>
        <w:pStyle w:val="TextBody"/>
        <w:bidi w:val="0"/>
        <w:spacing w:lineRule="auto" w:line="288" w:before="120" w:after="283"/>
        <w:jc w:val="both"/>
        <w:rPr/>
      </w:pPr>
      <w:r>
        <w:rPr>
          <w:rFonts w:ascii="Arial;sans-serif" w:hAnsi="Arial;sans-serif"/>
          <w:b w:val="false"/>
          <w:color w:val="000000"/>
          <w:sz w:val="20"/>
          <w:shd w:fill="FFFFFF" w:val="clear"/>
        </w:rPr>
        <w:t xml:space="preserve">The Company recorded a loss on the deconsolidation of Lugano of </w:t>
      </w:r>
      <w:r>
        <w:rPr>
          <w:rFonts w:ascii="Arial;sans-serif" w:hAnsi="Arial;sans-serif"/>
          <w:b w:val="false"/>
          <w:color w:val="000000"/>
          <w:sz w:val="20"/>
        </w:rPr>
        <w:t>$111.9 million in our consolidated results of operations which reflects (i) the derecognition of Lugano’s assets and liabilities as of the deconsolidation date (resulting in derecognition of Lugano’s net liabilities of $127.6 million), (ii) the derecognition of nonredeemable noncontrolling interests, and (iii) the recognition at fair value of the Company’s retained secured receivable/claim against Lugano as of the deconsolidation date, calculated as follows:</w:t>
      </w:r>
    </w:p>
    <w:tbl>
      <w:tblPr>
        <w:tblW w:w="5837" w:type="dxa"/>
        <w:jc w:val="center"/>
        <w:tblInd w:w="0" w:type="dxa"/>
        <w:tblLayout w:type="fixed"/>
        <w:tblCellMar>
          <w:top w:w="28" w:type="dxa"/>
          <w:left w:w="28" w:type="dxa"/>
          <w:bottom w:w="28" w:type="dxa"/>
          <w:right w:w="28" w:type="dxa"/>
        </w:tblCellMar>
      </w:tblPr>
      <w:tblGrid>
        <w:gridCol w:w="1574"/>
        <w:gridCol w:w="1384"/>
        <w:gridCol w:w="1391"/>
        <w:gridCol w:w="109"/>
        <w:gridCol w:w="109"/>
        <w:gridCol w:w="109"/>
        <w:gridCol w:w="196"/>
        <w:gridCol w:w="81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Fair value of receivable due from unconsolidated affiliate </w:t>
            </w:r>
            <w:r>
              <w:rPr>
                <w:rFonts w:ascii="Arial;sans-serif" w:hAnsi="Arial;sans-serif"/>
                <w:b/>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(239,434)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Carrying amount of net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deconsolidation of Lugano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(111,876)</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color w:val="000000"/>
          <w:sz w:val="13"/>
        </w:rPr>
        <w:t xml:space="preserve">(1) </w:t>
      </w:r>
      <w:r>
        <w:rPr>
          <w:rFonts w:ascii="Arial;sans-serif" w:hAnsi="Arial;sans-serif"/>
          <w:b w:val="false"/>
          <w:color w:val="000000"/>
          <w:sz w:val="20"/>
        </w:rPr>
        <w:t>Represents management’s estimate of recoveries expected from the Lugano bankruptcy proceedings with respect to the Company’s senior secured receivable/claim against Lugano as of the deconsolidation date, measured using the fair value option under ASC 825. Accordingly, the receivable is measured at fair value at each reporting date, and changes in fair value are recognized in earnings in the period in which they occur. The determination of fair value requires the use of significant judgment and estimates, and may be affected by developments related to the Lugano bankruptcy proceedings. As a result, the carrying amount of the receivable, and the related impact on the Company’s results of operations, may fluctuate from period to period. At December 31, 2025, the Company recorded a receivable due from unconsolidated affiliate of $71.0 million classified as current and $26.0 million classified as noncurrent. The classification between current and noncurrent is based on management’s estimate of the timing of expected cash receipts from the Lugano bankruptcy proceedings. Refer to "</w:t>
      </w:r>
      <w:hyperlink w:anchor="i1c8fbf41abdb4a90b1f02abaa0b14bbd_304">
        <w:r>
          <w:rPr>
            <w:rStyle w:val="InternetLink"/>
            <w:rFonts w:ascii="Arial;sans-serif" w:hAnsi="Arial;sans-serif"/>
            <w:b w:val="false"/>
            <w:color w:val="0000FF"/>
            <w:sz w:val="20"/>
            <w:u w:val="single"/>
          </w:rPr>
          <w:t>Note M - Fair Value Measurements</w:t>
        </w:r>
      </w:hyperlink>
      <w:r>
        <w:rPr>
          <w:rFonts w:ascii="Arial;sans-serif" w:hAnsi="Arial;sans-serif"/>
          <w:b w:val="false"/>
          <w:color w:val="000000"/>
          <w:sz w:val="20"/>
        </w:rPr>
        <w:t>" for additional information.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Lugano's results of operations that are included in the Company's consolidated for the period from January 1, 2025 through November 16, 2025, the date of deconsolidation, and for the years ended December 31,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154" name="Frame1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F-20</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7"/>
        <w:gridCol w:w="814"/>
        <w:gridCol w:w="818"/>
        <w:gridCol w:w="109"/>
        <w:gridCol w:w="109"/>
        <w:gridCol w:w="109"/>
        <w:gridCol w:w="528"/>
        <w:gridCol w:w="2158"/>
        <w:gridCol w:w="293"/>
        <w:gridCol w:w="109"/>
        <w:gridCol w:w="109"/>
        <w:gridCol w:w="109"/>
        <w:gridCol w:w="324"/>
        <w:gridCol w:w="1314"/>
        <w:gridCol w:w="180"/>
        <w:gridCol w:w="109"/>
        <w:gridCol w:w="109"/>
        <w:gridCol w:w="109"/>
        <w:gridCol w:w="319"/>
        <w:gridCol w:w="1293"/>
        <w:gridCol w:w="256"/>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For the period January 1, 2025 through November 16,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2023</w:t>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79,113 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60,446 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45,791 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36,253 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(77,883)</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(61,840)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(54,352)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Income (loss) from operations before income taxes </w:t>
            </w:r>
            <w:r>
              <w:rPr>
                <w:rFonts w:ascii="Arial;sans-serif" w:hAnsi="Arial;sans-serif"/>
                <w:b w:val="false"/>
                <w:color w:val="000000"/>
                <w:sz w:val="12"/>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(113,718)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(217,584)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(143,883)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(113,463)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(218,488)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(144,031)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3"/>
        </w:rPr>
        <w:t xml:space="preserve">(1) </w:t>
      </w:r>
      <w:r>
        <w:rPr>
          <w:rFonts w:ascii="Arial;sans-serif" w:hAnsi="Arial;sans-serif"/>
          <w:b w:val="false"/>
          <w:color w:val="000000"/>
          <w:sz w:val="20"/>
        </w:rPr>
        <w:t>The results of operations for the periods from January 1, 2025 through November 16, 2025 and the years ended December 31, 2024 and 2023, exclude $61.9 million, $57.2 million and $33.5 million, respectively, of intercompany interest expense which is eliminated in consolidation.</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Investment in Lugano</w:t>
      </w:r>
    </w:p>
    <w:p>
      <w:pPr>
        <w:pStyle w:val="TextBody"/>
        <w:bidi w:val="0"/>
        <w:spacing w:lineRule="auto" w:line="288" w:before="120" w:after="283"/>
        <w:jc w:val="both"/>
        <w:rPr/>
      </w:pPr>
      <w:r>
        <w:rPr>
          <w:rFonts w:ascii="Arial;sans-serif" w:hAnsi="Arial;sans-serif"/>
          <w:b w:val="false"/>
          <w:color w:val="000000"/>
          <w:sz w:val="20"/>
          <w:shd w:fill="FFFFFF" w:val="clear"/>
        </w:rPr>
        <w:t>Prior to the Lugano Bankruptcy, Lugano was a consolidated subsidiary of the Company and a</w:t>
      </w:r>
      <w:r>
        <w:rPr>
          <w:rFonts w:ascii="Arial;sans-serif" w:hAnsi="Arial;sans-serif"/>
          <w:b w:val="false"/>
          <w:color w:val="000000"/>
          <w:sz w:val="20"/>
        </w:rPr>
        <w:t xml:space="preserve">ll significant intercompany accounts and transactions between the Company and Lugano, including the Company's investment in Lugano and all intercompany loans, were eliminated in consolidation. </w:t>
      </w:r>
      <w:r>
        <w:rPr>
          <w:rFonts w:ascii="Arial;sans-serif" w:hAnsi="Arial;sans-serif"/>
          <w:b w:val="false"/>
          <w:color w:val="000000"/>
          <w:sz w:val="20"/>
          <w:shd w:fill="FFFFFF" w:val="clear"/>
        </w:rPr>
        <w:t xml:space="preserve">The Company's equity investment in Lugano is accounted for subsequent to the bankruptcy using the fair value method. Since the Lugano entity is expected to be dissolved through the bankruptcy process and </w:t>
      </w:r>
      <w:r>
        <w:rPr>
          <w:rFonts w:ascii="Arial;sans-serif" w:hAnsi="Arial;sans-serif"/>
          <w:b w:val="false"/>
          <w:color w:val="000000"/>
          <w:sz w:val="20"/>
        </w:rPr>
        <w:t>the liabilities of the secured and unsecured creditors significantly exceed the estimated recovery proceeds from the Lugano Bankruptcy,</w:t>
      </w:r>
      <w:r>
        <w:rPr>
          <w:color w:val="000000"/>
          <w:shd w:fill="FFFFFF" w:val="clear"/>
        </w:rPr>
        <w:t xml:space="preserve"> </w:t>
      </w:r>
      <w:r>
        <w:rPr>
          <w:rFonts w:ascii="Arial;sans-serif" w:hAnsi="Arial;sans-serif"/>
          <w:b w:val="false"/>
          <w:color w:val="000000"/>
          <w:sz w:val="20"/>
          <w:shd w:fill="FFFFFF" w:val="clear"/>
        </w:rPr>
        <w:t>the Company has assessed the fair value of the equity investment as $0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D — Acquisition of Businesses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acquisitions of our businesses are accounted for under the acquisition method of accounting. For each new segment-level acquisition, the Company typically structures the transaction so that a newly created holding company acquires 100% of the equity interests in the acquired business. The entirety of the purchase consideration is paid by the newly created holding company to the selling shareholders. The total purchase consideration is the amount paid to the selling shareholders and we will, from time to time, allow the selling shareholder to reinvest a portion of their proceeds alongside the Company at the same price per share, into the holding company that acquires the target business. Once the acquisition is complete, the selling shareholders no longer hold equity interests in the acquired company, but rather hold noncontrolling interest in the holding company that acquired the target business. Because the selling shareholders are investing in the transaction alongside the Company at the same price per share as the Company and are not retaining their existing equity in the acquired business, the Company includes the amount provided by noncontrolling shareholders in the total purchase consideration.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 component of our acquisition financing strategy that we utilize in acquiring the businesses we own and manage is to provide both equity capital and debt capital, raised at the parent level, typically through our existing 2022 Credit Facility. The debt capital is in the form of “intercompany loans” made by the LLC to the newly created holding company and the acquired business and are due from the newly created holding company and the acquired business, and payable to the LLC by the newly created holding company and the acquired business. The selling shareholders of the acquired businesses are not a party to the intercompany loan agreements nor do they have any obligation to repay the intercompany loans. These intercompany loans eliminate in consolidation and are not reflected on the Company's consolidated balance sheets.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Acquisition of The Honey Pot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January 31, 2024 (the "Closing Date"), the LLC, through its newly formed acquisition subsidiaries, THP Topco, Inc., a Delaware corporation (“THP Topco”) and THP Intermediate, Inc., a Delaware corporation (“THP Buyer”), acquired The Honey Pot Company Holdings, LLC (“THP”) and certain of its affiliated entities pursuant to a Merger and Stock Purchase Agreement (the “THP Purchase Agreement”) dated January 14, 2024 by and among THP Buyer, THP, VMG Honey Pot Blocker, Inc. (“Blocker I”), NVB1, Inc. (“Blocker II”), VMG Tax-Exempt IV, L.P., New Voices Fund, LP, THP Merger Sub, LLC (“THP Merger Sub”), VMG Honey Pot Holdings, LLC, as the Sellers’ Representative, and certain remaining equity holders of THP. Pursuant to the THP Purchase Agreement, subsequent to certain internal reorganizations, THP Buyer acquired all of the issued and outstanding equity of Blocker I and Blocker II and, thereafter, THP Merger Sub merged with and into THP (the “THP Merger”), with THP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155" name="Frame1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F-21</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surviving such that the separate existence of THP Merger Sub ceased, with THP surviving the Merger as a wholly-owned, indirect subsidiary of the THP Topco. THP is the parent company of The Honey Pot Company (DE), LLC (“The Honey Pot Co.”).</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acquired THP for a total purchase price, including proceeds from noncontrolling shareholders, of approximately $380 million (the “THP Purchase Price”), before working capital and certain other adjustments, at the Closing Date. The Company funded the THP Purchase Price with cash on hand. Certain equity holders of THP invested in the transaction along with the Company, representing 15% of the initial equity interest in THP Topco. The Company directly owns approximately 85% of THP Topco, which in turn indirectly owns all of the issued and outstanding equity interests of THP and The Honey Pot Co. Concurrent with the Closing Date, the Company provided a credit facility to THP Buyer, THP and The Honey Pot Co., as borrowers (the “THP Credit Agreement”), pursuant to which a secured revolving loan commitment and secured term loans were made available to Buyer, THP and The Honey Pot Co. (collectively, the “Borrowers”). The initial amount outstanding under these facilities on the Closing Date was approximately $110 million.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Honey Pot Co. is a feminine care brand that offers an extensive range of holistic wellness products across feminine hygiene, menstrual, consumer health, and sexual wellness categories. The Honey Pot Co.’s mission is to educate, support, and provide consumers around the world with the tools and resources that promote menstrual health and vaginal wellness.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results of operations of The Honey Pot Co. have been included in the consolidated results of operations since the date of acquisition. The Honey Pot Co.'s results of operations are reported as a separate operating segment as a branded consumer business. The table below provides the recording of the fair value of assets acquired and liabilities assumed as of the date of acquisition.</w:t>
      </w:r>
    </w:p>
    <w:tbl>
      <w:tblPr>
        <w:tblW w:w="10205" w:type="dxa"/>
        <w:jc w:val="left"/>
        <w:tblInd w:w="0" w:type="dxa"/>
        <w:tblLayout w:type="fixed"/>
        <w:tblCellMar>
          <w:top w:w="28" w:type="dxa"/>
          <w:left w:w="28" w:type="dxa"/>
          <w:bottom w:w="28" w:type="dxa"/>
          <w:right w:w="28" w:type="dxa"/>
        </w:tblCellMar>
      </w:tblPr>
      <w:tblGrid>
        <w:gridCol w:w="946"/>
        <w:gridCol w:w="830"/>
        <w:gridCol w:w="836"/>
        <w:gridCol w:w="109"/>
        <w:gridCol w:w="109"/>
        <w:gridCol w:w="109"/>
        <w:gridCol w:w="439"/>
        <w:gridCol w:w="1652"/>
        <w:gridCol w:w="244"/>
        <w:gridCol w:w="109"/>
        <w:gridCol w:w="109"/>
        <w:gridCol w:w="109"/>
        <w:gridCol w:w="446"/>
        <w:gridCol w:w="1512"/>
        <w:gridCol w:w="250"/>
        <w:gridCol w:w="109"/>
        <w:gridCol w:w="109"/>
        <w:gridCol w:w="109"/>
        <w:gridCol w:w="372"/>
        <w:gridCol w:w="1399"/>
        <w:gridCol w:w="298"/>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Preliminary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Final Purchase Price Allocation</w:t>
            </w:r>
          </w:p>
        </w:tc>
      </w:tr>
      <w:tr>
        <w:trPr/>
        <w:tc>
          <w:tcPr>
            <w:tcW w:w="2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380,121 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(2,796)</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377,325 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Fair value of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4,076 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Accounts receivable</w:t>
            </w:r>
            <w:r>
              <w:rPr>
                <w:color w:val="000000"/>
              </w:rPr>
              <w:t xml:space="preserve"> </w:t>
            </w:r>
            <w:r>
              <w:rPr>
                <w:rFonts w:ascii="Arial;sans-serif" w:hAnsi="Arial;sans-serif"/>
                <w:b/>
                <w:color w:val="000000"/>
                <w:sz w:val="11"/>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16,361 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16,361 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Inventory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18,986 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Property, plant and equipment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247,000 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271,300 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3,958 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Total identifiable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292,269 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20,980 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313,249 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Fair value of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10,957 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10,957 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27,846 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30,526 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40,283 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42,963 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identifiable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251,986 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270,286 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128,135 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(21,096)</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107,039 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156" name="Frame1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6384" w:type="dxa"/>
        <w:jc w:val="left"/>
        <w:tblInd w:w="0" w:type="dxa"/>
        <w:tblLayout w:type="fixed"/>
        <w:tblCellMar>
          <w:top w:w="28" w:type="dxa"/>
          <w:left w:w="28" w:type="dxa"/>
          <w:bottom w:w="28" w:type="dxa"/>
          <w:right w:w="28" w:type="dxa"/>
        </w:tblCellMar>
      </w:tblPr>
      <w:tblGrid>
        <w:gridCol w:w="847"/>
        <w:gridCol w:w="744"/>
        <w:gridCol w:w="749"/>
        <w:gridCol w:w="109"/>
        <w:gridCol w:w="109"/>
        <w:gridCol w:w="109"/>
        <w:gridCol w:w="196"/>
        <w:gridCol w:w="736"/>
        <w:gridCol w:w="109"/>
        <w:gridCol w:w="109"/>
        <w:gridCol w:w="109"/>
        <w:gridCol w:w="109"/>
        <w:gridCol w:w="196"/>
        <w:gridCol w:w="631"/>
        <w:gridCol w:w="109"/>
        <w:gridCol w:w="109"/>
        <w:gridCol w:w="109"/>
        <w:gridCol w:w="109"/>
        <w:gridCol w:w="196"/>
        <w:gridCol w:w="73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Acquisition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Cash acquired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working capital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380,121 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377,325 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6"/>
        </w:rPr>
        <w:t xml:space="preserve">(1) </w:t>
      </w:r>
      <w:r>
        <w:rPr>
          <w:rFonts w:ascii="Arial;sans-serif" w:hAnsi="Arial;sans-serif"/>
          <w:b w:val="false"/>
          <w:color w:val="000000"/>
          <w:sz w:val="20"/>
        </w:rPr>
        <w:t>The fair value of accounts receivable approximates book value acquired.</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purchase allocation presented above is based upon management's estimate of the fair values using valuation techniques including income, cost and market approaches. In estimating the fair value of the identifiable acquired assets and assumed liabilities, the fair value estimates are based on, but not limited to, expected future revenue and cash flows, expected future growth rates and estimated discount rates. Current and noncurrent assets, property, plant and equipment and current and other liabilities are estimated at their historical carrying values, which approximates fair value. Inventory is recognized at fair value, with finished goods stated at selling price less an estimated cost to sell. Property, plant and equipment will be depreciated on a straight-line basis over the remaining useful lives of the assets. Goodwill is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goodwill of $107.0 million reflects the strategic fit of The Honey Pot Co. in the Company's branded consumer business and is not expected to be deductible for income tax purposes.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the second quarter of 2024, the purchase price allocation for The Honey Pot Co. was adjusted to reflect certain measurement period adjustments due to updated intangible asset valuation and an adjustment to deferred tax liabilities. Customer relationships was increased $24.3 million, with a corresponding decrease to goodwill. Deferred income tax liability increased $2.7 million, with a corresponding decrease to goodwill. In the third quarter of 2024, the purchase price of The Honey Pot Co. was adjusted to reflect the working capital settlement, additional purchase consideration of $0.5 million, and the related tax effect. The purchase price allocation for The Honey Pot Co. was finalized during the third quarter of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intangible assets recorded related to The Honey Pot Co. acquisition are as follows (in thousands):</w:t>
      </w:r>
    </w:p>
    <w:tbl>
      <w:tblPr>
        <w:tblW w:w="5459" w:type="dxa"/>
        <w:jc w:val="center"/>
        <w:tblInd w:w="0" w:type="dxa"/>
        <w:tblLayout w:type="fixed"/>
        <w:tblCellMar>
          <w:top w:w="28" w:type="dxa"/>
          <w:left w:w="28" w:type="dxa"/>
          <w:bottom w:w="28" w:type="dxa"/>
          <w:right w:w="28" w:type="dxa"/>
        </w:tblCellMar>
      </w:tblPr>
      <w:tblGrid>
        <w:gridCol w:w="653"/>
        <w:gridCol w:w="571"/>
        <w:gridCol w:w="576"/>
        <w:gridCol w:w="109"/>
        <w:gridCol w:w="109"/>
        <w:gridCol w:w="109"/>
        <w:gridCol w:w="196"/>
        <w:gridCol w:w="736"/>
        <w:gridCol w:w="109"/>
        <w:gridCol w:w="109"/>
        <w:gridCol w:w="109"/>
        <w:gridCol w:w="109"/>
        <w:gridCol w:w="575"/>
        <w:gridCol w:w="575"/>
        <w:gridCol w:w="814"/>
      </w:tblGrid>
      <w:tr>
        <w:trPr/>
        <w:tc>
          <w:tcPr>
            <w:tcW w:w="65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Estimated Useful Lives</w:t>
            </w:r>
          </w:p>
        </w:tc>
      </w:tr>
      <w:tr>
        <w:trPr/>
        <w:tc>
          <w:tcPr>
            <w:tcW w:w="1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Tradename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18 years</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13 years</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271,300 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tradename was considered the primary intangible asset and was valued at $225.0 million using a multi-period excess earnings method. The customer relationships were valued at $46.3 million using a multi-period excess earnings method. The multi-period excess earnings method assumes an asset has value to the extent that it enables its owners to earn a return in excess of the other assets utilized in the business.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Unaudited pro forma information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unaudited pro forma data for the year ended December 31, 2024 gives effect to the acquisition of The Honey Pot Co. as described above, and the dispositions of Ergo, as if these transactions had been completed as of January 1, 2024.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157" name="Frame1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8651" w:type="dxa"/>
        <w:jc w:val="center"/>
        <w:tblInd w:w="0" w:type="dxa"/>
        <w:tblLayout w:type="fixed"/>
        <w:tblCellMar>
          <w:top w:w="28" w:type="dxa"/>
          <w:left w:w="28" w:type="dxa"/>
          <w:bottom w:w="28" w:type="dxa"/>
          <w:right w:w="28" w:type="dxa"/>
        </w:tblCellMar>
      </w:tblPr>
      <w:tblGrid>
        <w:gridCol w:w="2427"/>
        <w:gridCol w:w="2132"/>
        <w:gridCol w:w="2145"/>
        <w:gridCol w:w="109"/>
        <w:gridCol w:w="109"/>
        <w:gridCol w:w="109"/>
        <w:gridCol w:w="260"/>
        <w:gridCol w:w="1156"/>
        <w:gridCol w:w="204"/>
      </w:tblGrid>
      <w:tr>
        <w:trPr/>
        <w:tc>
          <w:tcPr>
            <w:tcW w:w="2427"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1,798,684 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756,753 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(14,559)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(327,994)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Net loss from continuing operations attributable to Holdings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(217,190)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fully diluted net loss per share from continuing operations attributable to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acquisitions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Altor Solutions</w:t>
      </w:r>
    </w:p>
    <w:p>
      <w:pPr>
        <w:pStyle w:val="TextBody"/>
        <w:bidi w:val="0"/>
        <w:spacing w:lineRule="auto" w:line="288" w:before="120" w:after="283"/>
        <w:jc w:val="both"/>
        <w:rPr/>
      </w:pPr>
      <w:r>
        <w:rPr>
          <w:rFonts w:ascii="Arial;sans-serif" w:hAnsi="Arial;sans-serif"/>
          <w:b w:val="false"/>
          <w:i/>
          <w:color w:val="000000"/>
          <w:sz w:val="20"/>
        </w:rPr>
        <w:t>Lifoam</w:t>
      </w:r>
      <w:r>
        <w:rPr>
          <w:color w:val="000000"/>
        </w:rPr>
        <w:t xml:space="preserve"> </w:t>
      </w:r>
      <w:r>
        <w:rPr>
          <w:rFonts w:ascii="Arial;sans-serif" w:hAnsi="Arial;sans-serif"/>
          <w:b w:val="false"/>
          <w:color w:val="000000"/>
          <w:sz w:val="20"/>
        </w:rPr>
        <w:t>- On October 1, 2024, Altor Solutions acquired 100% of the outstanding equity interests of Lifoam Industries LLC, a Delaware limited liability company (“Lifoam”) pursuant to a Purchase and Sale Agreement entered into on August 19, 2024 (the “Lifoam Acquisition”). Lifoam is a manufacturer and distributor of temperature-controlled shipping solutions. The purchase price was $139.3 million, after working capital and other adjustments to the purchase price. Altor incurred transaction costs of approximately $1.8 million, which are included in selling, general and administrative expense in the consolidated statements of operations. The acquisition and related transaction costs were funded through additional term loans of $143.7 million under the Altor intercompany credit agreement. The Company funded the additional intercompany loans used for the acquisition of Lifoam with a draw on the 2022 Revolving Credit Facility. Altor recorded a purchase price allocation of $19.4 million in goodwill, which is expected to be deductible for income tax purposes, $49.4 million in intangible assets comprised of $39.5 million in customer relationships and $9.9 million in tradenames, $24 million in capital asset step-up and $1.6 million in inventory step-up. The purchase price allocation was finalized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E — Dispositions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Sale of Ergo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December 27, 2024, the LLC, solely in its capacity as the representative of the holders of stock and options of Ergobaby, a majority owned subsidiary of the Company, entered into a definitive Agreement and Plan of Merger (the “Ergobaby Merger Agreement”) with ERGO Acquisition LLC (“Ergo Acquiror”), Aloha Merger Sub LLC ( “Aloha Merger Sub”) and Ergobaby, to sell to Ergo Acquiror all of the issued and outstanding securities of Ergobaby, the parent company of the operating entity, The ERGO Baby Carrier, Inc., through a merger of Aloha Merger Sub with and into Ergobaby, with Ergobaby surviving the merger and becoming a wholly owned subsidiary of Acquiror (the “Ergobaby Merger”). On the same day, December 27, 2024, the parties completed the Ergobaby Merger pursuant to the Ergobaby Merger Agreement.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sale price of Ergobaby was based on an enterprise value of $104 million and will be subject to certain adjustments based on matters such as transaction expenses of Ergobaby, the net working capital and cash and debt balances of Ergobaby at the time of the closing. The LLC owned approximately 82% of the outstanding stock of Ergobaby on a fully diluted basis prior to the Merger. After the allocation of the sales price to Ergobaby non-controlling equityholders and the payment of transaction expenses, the Company received approximately $99.1 million of total proceeds at closing. This amount was in respect of its debt and equity interests in Ergobaby (which was acquired by the Company on September 16, 2010) and the payment of accrued interest. The Company recorded a pre-tax gain on the sale of Ergobaby of $6.1 million. The proceeds from the Ergo sale were used to pay down outstanding debt under the Company’s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158" name="Frame1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F-24</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Summarized results of operations of Ergo for the previous years through the date of disposition are as follows (in thousands):</w:t>
      </w:r>
    </w:p>
    <w:tbl>
      <w:tblPr>
        <w:tblW w:w="10205" w:type="dxa"/>
        <w:jc w:val="center"/>
        <w:tblInd w:w="0" w:type="dxa"/>
        <w:tblLayout w:type="fixed"/>
        <w:tblCellMar>
          <w:top w:w="28" w:type="dxa"/>
          <w:left w:w="28" w:type="dxa"/>
          <w:bottom w:w="28" w:type="dxa"/>
          <w:right w:w="28" w:type="dxa"/>
        </w:tblCellMar>
      </w:tblPr>
      <w:tblGrid>
        <w:gridCol w:w="1367"/>
        <w:gridCol w:w="1180"/>
        <w:gridCol w:w="1177"/>
        <w:gridCol w:w="776"/>
        <w:gridCol w:w="2564"/>
        <w:gridCol w:w="434"/>
        <w:gridCol w:w="109"/>
        <w:gridCol w:w="109"/>
        <w:gridCol w:w="109"/>
        <w:gridCol w:w="467"/>
        <w:gridCol w:w="1541"/>
        <w:gridCol w:w="372"/>
      </w:tblGrid>
      <w:tr>
        <w:trPr/>
        <w:tc>
          <w:tcPr>
            <w:tcW w:w="13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For the period January 1, 2024 through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2023</w:t>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93,213 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93,859 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60,091 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60,320 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income (loss)</w:t>
            </w:r>
          </w:p>
        </w:tc>
        <w:tc>
          <w:tcPr>
            <w:tcW w:w="3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(5,461)</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4,820 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Income (loss) from operations before income taxes </w:t>
            </w:r>
            <w:r>
              <w:rPr>
                <w:rFonts w:ascii="Arial;sans-serif" w:hAnsi="Arial;sans-serif"/>
                <w:b/>
                <w:color w:val="000000"/>
                <w:sz w:val="12"/>
              </w:rPr>
              <w:t xml:space="preserve">(1) </w:t>
            </w:r>
          </w:p>
        </w:tc>
        <w:tc>
          <w:tcPr>
            <w:tcW w:w="3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(5,526)</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1,379 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(1,308)</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Income (loss) from discontinued operations </w:t>
            </w:r>
            <w:r>
              <w:rPr>
                <w:rFonts w:ascii="Arial;sans-serif" w:hAnsi="Arial;sans-serif"/>
                <w:b/>
                <w:color w:val="000000"/>
                <w:sz w:val="11"/>
              </w:rPr>
              <w:t>(1)</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(6,905)</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6,092 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3"/>
        </w:rPr>
        <w:t xml:space="preserve">(1) </w:t>
      </w:r>
      <w:r>
        <w:rPr>
          <w:rFonts w:ascii="Arial;sans-serif" w:hAnsi="Arial;sans-serif"/>
          <w:b w:val="false"/>
          <w:color w:val="000000"/>
          <w:sz w:val="20"/>
        </w:rPr>
        <w:t>The results of operations for the periods from January 1, 2024 through disposition and the year ended December 31, 2023, each exclude $8.8 million and $8.7 million, respectively, of intercompany interest expense.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Sale of Marucci</w:t>
      </w:r>
    </w:p>
    <w:p>
      <w:pPr>
        <w:pStyle w:val="TextBody"/>
        <w:bidi w:val="0"/>
        <w:spacing w:lineRule="auto" w:line="288" w:before="120" w:after="283"/>
        <w:jc w:val="both"/>
        <w:rPr/>
      </w:pPr>
      <w:r>
        <w:rPr>
          <w:rFonts w:ascii="Arial;sans-serif" w:hAnsi="Arial;sans-serif"/>
          <w:b w:val="false"/>
          <w:color w:val="000000"/>
          <w:sz w:val="20"/>
          <w:shd w:fill="FFFFFF" w:val="clear"/>
        </w:rPr>
        <w:t xml:space="preserve">On November 1, 2023, the LLC, solely in its capacity as the representative of the holders of stock and options of Wheelhouse Holdings, Inc. ("Wheelhouse"), a majority owned subsidiary of the LLC, entered into a definitive Agreement and Plan of Merger with Fox Factory, Inc. (“Marucci Purchaser”), Marucci Merger Sub, Inc. (“Marucci Merger Sub”) and Wheelhouse, pursuant to which Marucci Purchaser agreed to acquire all of the issued and outstanding securities of Wheelhouse, the parent company of the operating entity, Marucci Sports, LLC, through a merger of Marucci Merger Sub with and into Wheelhouse, with Wheelhouse surviving the merger and becoming a wholly owned subsidiary of Marucci Purchaser. </w:t>
      </w:r>
      <w:r>
        <w:rPr>
          <w:rFonts w:ascii="Arial;sans-serif" w:hAnsi="Arial;sans-serif"/>
          <w:b w:val="false"/>
          <w:color w:val="000000"/>
          <w:sz w:val="20"/>
        </w:rPr>
        <w:t xml:space="preserve">On November 14, 2023, the parties completed the Merger pursuant to the Agreement. The sale price of Wheelhouse was based on an enterprise value of $572 million, subject to certain adjustments based on matters such as transaction tax benefits, transaction expenses of Wheelhouse, the net working capital and cash and debt balances of Wheelhouse at the time of the closing. After the allocation of the sales price to Wheelhouse non-controlling equityholders and the payment of transaction expenses, we received approximately </w:t>
      </w:r>
      <w:r>
        <w:rPr>
          <w:rFonts w:ascii="Arial;sans-serif" w:hAnsi="Arial;sans-serif"/>
          <w:b w:val="false"/>
          <w:color w:val="000000"/>
          <w:sz w:val="20"/>
          <w:shd w:fill="FFFFFF" w:val="clear"/>
        </w:rPr>
        <w:t>$484.0 million o</w:t>
      </w:r>
      <w:r>
        <w:rPr>
          <w:rFonts w:ascii="Arial;sans-serif" w:hAnsi="Arial;sans-serif"/>
          <w:b w:val="false"/>
          <w:color w:val="000000"/>
          <w:sz w:val="20"/>
        </w:rPr>
        <w:t>f total proceeds at closing of which $87.3 million related to the repayment of intercompany loans with the Compa</w:t>
      </w:r>
      <w:r>
        <w:rPr>
          <w:rFonts w:ascii="Arial;sans-serif" w:hAnsi="Arial;sans-serif"/>
          <w:b w:val="false"/>
          <w:color w:val="000000"/>
          <w:sz w:val="20"/>
          <w:shd w:fill="FFFFFF" w:val="clear"/>
        </w:rPr>
        <w:t>ny</w:t>
      </w:r>
      <w:r>
        <w:rPr>
          <w:rFonts w:ascii="Arial;sans-serif" w:hAnsi="Arial;sans-serif"/>
          <w:b w:val="false"/>
          <w:color w:val="000000"/>
          <w:sz w:val="20"/>
        </w:rPr>
        <w:t xml:space="preserve">. We recorded a pre-tax gain on sale of Marucci of $241.4 million in the year ended December 31, 2023. In the first quarter of 2024, the LLC received a net working capital settlement of approximately $3.3 million related to Marucci, which was recognized as an additional gain on sale of discontinued operations, net of taxes, in the accompanying consolidated statements of operations. The proceeds from the Marucci sale were used to pay down outstanding debt under the Company’s 2022 Credit Facility and to fund an acquisition by Company.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Summarized results of operations of Marucci for the period from January 1, 2023 through the date of disposition are as follows (in thousands):</w:t>
      </w:r>
    </w:p>
    <w:tbl>
      <w:tblPr>
        <w:tblW w:w="7768" w:type="dxa"/>
        <w:jc w:val="center"/>
        <w:tblInd w:w="0" w:type="dxa"/>
        <w:tblLayout w:type="fixed"/>
        <w:tblCellMar>
          <w:top w:w="28" w:type="dxa"/>
          <w:left w:w="28" w:type="dxa"/>
          <w:bottom w:w="28" w:type="dxa"/>
          <w:right w:w="28" w:type="dxa"/>
        </w:tblCellMar>
      </w:tblPr>
      <w:tblGrid>
        <w:gridCol w:w="1302"/>
        <w:gridCol w:w="1141"/>
        <w:gridCol w:w="1156"/>
        <w:gridCol w:w="752"/>
        <w:gridCol w:w="2826"/>
        <w:gridCol w:w="591"/>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For the period January 1, 2023 through disposition</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167,898 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94,891 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income </w:t>
            </w:r>
          </w:p>
        </w:tc>
        <w:tc>
          <w:tcPr>
            <w:tcW w:w="3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17,073 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Income from operations before income taxes </w:t>
            </w:r>
            <w:r>
              <w:rPr>
                <w:rFonts w:ascii="Arial;sans-serif" w:hAnsi="Arial;sans-serif"/>
                <w:b/>
                <w:color w:val="000000"/>
                <w:sz w:val="12"/>
              </w:rPr>
              <w:t xml:space="preserve">(1) </w:t>
            </w:r>
          </w:p>
        </w:tc>
        <w:tc>
          <w:tcPr>
            <w:tcW w:w="3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17,040 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(2,467)</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Income from discontinued operations </w:t>
            </w:r>
            <w:r>
              <w:rPr>
                <w:rFonts w:ascii="Arial;sans-serif" w:hAnsi="Arial;sans-serif"/>
                <w:b/>
                <w:color w:val="000000"/>
                <w:sz w:val="11"/>
              </w:rPr>
              <w:t>(1)</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19,507 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3"/>
        </w:rPr>
        <w:t xml:space="preserve">(1) </w:t>
      </w:r>
      <w:r>
        <w:rPr>
          <w:rFonts w:ascii="Arial;sans-serif" w:hAnsi="Arial;sans-serif"/>
          <w:b w:val="false"/>
          <w:color w:val="000000"/>
          <w:sz w:val="20"/>
        </w:rPr>
        <w:t>The results of operations for the period from January 1, 2023 through disposition excludes $8.9 million of intercompany interest expense.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Sale of Advanced Circuits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January 10, 2023, the LLC, solely in its capacity as the representative of the holders of stock and options of Compass AC Holdings, Inc., a majority owned subsidiary of the LLC, entered into a definitive Agreement and Plan of Merger with APCT Inc. (“ACI Purchaser”), Circuit Merger Sub, Inc. (“ACI Merger Sub”) and Advanced Circuits,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1445"/>
                <wp:effectExtent l="0" t="0" r="0" b="0"/>
                <wp:wrapNone/>
                <wp:docPr id="159" name="Frame1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F-25</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pursuant to which ACI Purchaser agreed to acquire all of the issued and outstanding securities of Advanced Circuits, the parent company of the operating entity, Advanced Circuits, Inc., through a merger of ACI Merger Sub with and into Advanced Circuits, with Advanced Circuits surviving the merger and becoming a wholly owned subsidiary of ACI Purchaser (the “ACI Merger”). The ACI Merger was completed on February 14, 2023. The sale price of Advanced Circuits was based on an enterprise value of $220 million, subject to certain adjustments based on matters such as the working capital and cash and debt balances of Advanced Circuits at the time of the closing. After the allocation of the sales price to Advanced Circuits non-controlling equity holders and the payment of transaction expenses, the Company received approximately $170.9 million of total proceeds at closing, of which $66.9 million related to the repayment of intercompany loans with the Company.</w:t>
      </w:r>
      <w:r>
        <w:rPr>
          <w:color w:val="000000"/>
          <w:shd w:fill="FFFFFF" w:val="clear"/>
        </w:rPr>
        <w:t xml:space="preserve"> </w:t>
      </w:r>
      <w:r>
        <w:rPr>
          <w:rFonts w:ascii="Arial;sans-serif" w:hAnsi="Arial;sans-serif"/>
          <w:b w:val="false"/>
          <w:color w:val="000000"/>
          <w:sz w:val="20"/>
          <w:shd w:fill="FFFFFF" w:val="clear"/>
        </w:rPr>
        <w:t xml:space="preserve">We recorded a pre-tax gain on sale of $106.9 million on the sale of Advanced Circuits </w:t>
      </w:r>
      <w:r>
        <w:rPr>
          <w:rFonts w:ascii="Arial;sans-serif" w:hAnsi="Arial;sans-serif"/>
          <w:b w:val="false"/>
          <w:color w:val="000000"/>
          <w:sz w:val="20"/>
        </w:rPr>
        <w:t xml:space="preserve">in the year ended </w:t>
      </w:r>
      <w:r>
        <w:rPr>
          <w:rFonts w:ascii="Arial;sans-serif" w:hAnsi="Arial;sans-serif"/>
          <w:b w:val="false"/>
          <w:color w:val="000000"/>
          <w:sz w:val="20"/>
          <w:shd w:fill="FFFFFF" w:val="clear"/>
        </w:rPr>
        <w:t xml:space="preserve">December 31, 2023.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Summarized results of operations of ACI for the period from January 1, 2023 through the date of disposition are as follows (in thousands):</w:t>
      </w:r>
    </w:p>
    <w:tbl>
      <w:tblPr>
        <w:tblW w:w="8233" w:type="dxa"/>
        <w:jc w:val="center"/>
        <w:tblInd w:w="0" w:type="dxa"/>
        <w:tblLayout w:type="fixed"/>
        <w:tblCellMar>
          <w:top w:w="28" w:type="dxa"/>
          <w:left w:w="28" w:type="dxa"/>
          <w:bottom w:w="28" w:type="dxa"/>
          <w:right w:w="28" w:type="dxa"/>
        </w:tblCellMar>
      </w:tblPr>
      <w:tblGrid>
        <w:gridCol w:w="1470"/>
        <w:gridCol w:w="1289"/>
        <w:gridCol w:w="1305"/>
        <w:gridCol w:w="884"/>
        <w:gridCol w:w="2583"/>
        <w:gridCol w:w="702"/>
      </w:tblGrid>
      <w:tr>
        <w:trPr/>
        <w:tc>
          <w:tcPr>
            <w:tcW w:w="14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For the period January 1, 2023 through disposition</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sales</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8,829 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3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3,663 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income </w:t>
            </w:r>
          </w:p>
        </w:tc>
        <w:tc>
          <w:tcPr>
            <w:tcW w:w="3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1,058 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Income (loss) from operations before income taxes </w:t>
            </w:r>
            <w:r>
              <w:rPr>
                <w:rFonts w:ascii="Arial;sans-serif" w:hAnsi="Arial;sans-serif"/>
                <w:b/>
                <w:color w:val="000000"/>
                <w:sz w:val="12"/>
              </w:rPr>
              <w:t xml:space="preserve">(1) </w:t>
            </w:r>
          </w:p>
        </w:tc>
        <w:tc>
          <w:tcPr>
            <w:tcW w:w="3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(2,464)</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Provision (benefit) for income taxes</w:t>
            </w:r>
          </w:p>
        </w:tc>
        <w:tc>
          <w:tcPr>
            <w:tcW w:w="3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(1,073)</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Income (loss) from discontinued operations </w:t>
            </w:r>
            <w:r>
              <w:rPr>
                <w:rFonts w:ascii="Arial;sans-serif" w:hAnsi="Arial;sans-serif"/>
                <w:b/>
                <w:color w:val="000000"/>
                <w:sz w:val="11"/>
              </w:rPr>
              <w:t>(1)</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2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(1,391)</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3"/>
        </w:rPr>
        <w:t xml:space="preserve">(1) </w:t>
      </w:r>
      <w:r>
        <w:rPr>
          <w:rFonts w:ascii="Arial;sans-serif" w:hAnsi="Arial;sans-serif"/>
          <w:b w:val="false"/>
          <w:color w:val="000000"/>
          <w:sz w:val="20"/>
        </w:rPr>
        <w:t>The results of operations for the period from January 1, 2023 through disposition excludes $1.4 million of intercompany interest expense.</w:t>
      </w:r>
      <w:r>
        <w:rPr>
          <w:color w:val="000000"/>
        </w:rPr>
        <w:t>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Gain on sale of discontinued operations - income tax</w:t>
      </w:r>
    </w:p>
    <w:p>
      <w:pPr>
        <w:pStyle w:val="TextBody"/>
        <w:bidi w:val="0"/>
        <w:spacing w:lineRule="auto" w:line="288" w:before="120" w:after="283"/>
        <w:jc w:val="both"/>
        <w:rPr/>
      </w:pPr>
      <w:r>
        <w:rPr>
          <w:rFonts w:ascii="Arial;sans-serif" w:hAnsi="Arial;sans-serif"/>
          <w:b w:val="false"/>
          <w:color w:val="000000"/>
          <w:sz w:val="20"/>
        </w:rPr>
        <w:t>Effective September 1, 2021, the Trust elected to be treated as a corporation for U.S. federal income tax purposes. Prior to the Effective Date, the Trust was treated as a partnership for U.S. federal income tax purposes and the Trust’s items of income, gain, loss and deduction flowed through from the Trust to the shareholders, and the Trust shareholders were subject to income taxes on their allocable share of the Trust’s income and gains. After the Effective Date, the Trust is taxed as a corporation and is subject to U.S. federal corporate income tax at the Trust level. The election to be treated as a corporation for U.S federal income tax purposes, resulted in an approximate $328 million gain to the Trust for U.S. federal income tax purposes. This taxable capital gain should result in a basis step-up for the Trust after the Election. This basis step-up should provide a tax benefit to the Trust, as it should increase the Trust’s basis in its subsidiaries as of September 1, 2021, which in turn should reduce future gains, if and when the Trust divests such subsidiar</w:t>
      </w:r>
      <w:r>
        <w:rPr>
          <w:rFonts w:ascii="Arial;sans-serif" w:hAnsi="Arial;sans-serif"/>
          <w:b w:val="false"/>
          <w:color w:val="000000"/>
          <w:sz w:val="20"/>
          <w:shd w:fill="FFFFFF" w:val="clear"/>
        </w:rPr>
        <w:t>ies. The Trust filed for a Private Letter Ruling ("PLR"), with the Internal Revenue Service ("IRS") regarding the basis step-up. While the IRS declined to rule on the private letter request, they did not indicate that the Company's proposed treatment was unreasonable and the Company intends to reflect the basis step up on future tax returns. However, since the IRS declined to rule on the private letter request, the Company has concluded that a full reserve should be recorded for the stepped-up basis b</w:t>
      </w:r>
      <w:r>
        <w:rPr>
          <w:rFonts w:ascii="Arial;sans-serif" w:hAnsi="Arial;sans-serif"/>
          <w:b w:val="false"/>
          <w:color w:val="000000"/>
          <w:sz w:val="20"/>
        </w:rPr>
        <w:t xml:space="preserve">enefit in accordance with ASC 740 and has recorded an unrecognized tax benefit of $7.4 million that reduced the gain on Ergobaby in 2024, and $27.9 million that reduced the gain on sale of Advanced Circuits and Marucci in 2023. The sale of Ergobaby in the year ending December 31, 2024 resulted in a tax benefit of $9.9 million that increased the gain on the sale of Ergobaby. The Advanced Circuits and Marucci sales in the year ending December 31, 2023 were subject to income tax expense. Prior to the sale of Marucci in the fourth quarter of 2023, the Trust had sufficient net operating losses to offset the gain on sale of Advanced Circuits and did not record income tax expense. The sale of Marucci and the resulting gain that was recorded, combined with the gain on Advanced Circuits, utilized all of the Trust's net operating losses and resulted in taxable income in the fourth quarter of 2023. The Trust recorded income tax expense of $37.4 million that reduced the gain on sale of discontinued operations. The pre-tax gain on sale of Advanced Circuits and Marucci totaled $348.4 million, and was reduced by the $37.4 million in income tax expense and the $27.9 million in unrecognized tax benefits, resulting in the </w:t>
      </w:r>
      <w:r>
        <w:rPr>
          <w:rFonts w:ascii="Arial;sans-serif" w:hAnsi="Arial;sans-serif"/>
          <w:b w:val="false"/>
          <w:color w:val="000000"/>
          <w:sz w:val="20"/>
          <w:shd w:fill="FFFFFF" w:val="clear"/>
        </w:rPr>
        <w:t>$283.0 million</w:t>
      </w:r>
      <w:r>
        <w:rPr>
          <w:color w:val="000000"/>
        </w:rPr>
        <w:t xml:space="preserve"> </w:t>
      </w:r>
      <w:r>
        <w:rPr>
          <w:rFonts w:ascii="Arial;sans-serif" w:hAnsi="Arial;sans-serif"/>
          <w:b w:val="false"/>
          <w:color w:val="000000"/>
          <w:sz w:val="20"/>
        </w:rPr>
        <w:t xml:space="preserve">recorded as gain on sale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1445"/>
                <wp:effectExtent l="0" t="0" r="0" b="0"/>
                <wp:wrapNone/>
                <wp:docPr id="160" name="Frame1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discontinued operations in the statement of operations in the year ending December 31, 2023.</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Disposition of Crosman</w:t>
      </w:r>
    </w:p>
    <w:p>
      <w:pPr>
        <w:pStyle w:val="TextBody"/>
        <w:bidi w:val="0"/>
        <w:spacing w:lineRule="auto" w:line="288" w:before="120" w:after="283"/>
        <w:jc w:val="both"/>
        <w:rPr/>
      </w:pPr>
      <w:r>
        <w:rPr>
          <w:rFonts w:ascii="Arial;sans-serif" w:hAnsi="Arial;sans-serif"/>
          <w:b w:val="false"/>
          <w:color w:val="000000"/>
          <w:sz w:val="20"/>
        </w:rPr>
        <w:t xml:space="preserve">On April 30, 2024, Velocity Outdoor entered into a stock purchase agreement to sell Crosman Corporation ("Crosman"), its airgun product division, to Daisy Manufacturing Company, for an enterprise value of approximately </w:t>
      </w:r>
      <w:r>
        <w:rPr>
          <w:rFonts w:ascii="Arial;sans-serif" w:hAnsi="Arial;sans-serif"/>
          <w:b w:val="false"/>
          <w:color w:val="000000"/>
          <w:sz w:val="20"/>
          <w:shd w:fill="FFFFFF" w:val="clear"/>
        </w:rPr>
        <w:t xml:space="preserve">$63 million. The sale was completed on the same day. The Company recorded a loss of $24.6 million on the sale of Crosman in the quarter ended June 30, 2024, and a gain of </w:t>
      </w:r>
      <w:r>
        <w:rPr>
          <w:rFonts w:ascii="Arial;sans-serif" w:hAnsi="Arial;sans-serif"/>
          <w:b w:val="false"/>
          <w:color w:val="000000"/>
          <w:sz w:val="20"/>
        </w:rPr>
        <w:t>$0.4 million</w:t>
      </w:r>
      <w:r>
        <w:rPr>
          <w:color w:val="000000"/>
          <w:shd w:fill="FFFFFF" w:val="clear"/>
        </w:rPr>
        <w:t xml:space="preserve"> </w:t>
      </w:r>
      <w:r>
        <w:rPr>
          <w:rFonts w:ascii="Arial;sans-serif" w:hAnsi="Arial;sans-serif"/>
          <w:b w:val="false"/>
          <w:color w:val="000000"/>
          <w:sz w:val="20"/>
          <w:shd w:fill="FFFFFF" w:val="clear"/>
        </w:rPr>
        <w:t>in the third quarter of 2024 related to the working capital settlement. Vel</w:t>
      </w:r>
      <w:r>
        <w:rPr>
          <w:rFonts w:ascii="Arial;sans-serif" w:hAnsi="Arial;sans-serif"/>
          <w:b w:val="false"/>
          <w:color w:val="000000"/>
          <w:sz w:val="20"/>
        </w:rPr>
        <w:t>ocity received net proceeds of approximately $61.9 million related to the sale of Crosman, which was used to repay amounts outstanding under its intercompany credit agreement. The results of operation of Crosman are included in the accompanying consolidated financial statements through the date of sale.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F - Revenue </w:t>
      </w:r>
    </w:p>
    <w:p>
      <w:pPr>
        <w:pStyle w:val="TextBody"/>
        <w:bidi w:val="0"/>
        <w:spacing w:lineRule="auto" w:line="288" w:before="180" w:after="283"/>
        <w:jc w:val="both"/>
        <w:rPr/>
      </w:pPr>
      <w:r>
        <w:rPr>
          <w:rFonts w:ascii="Arial;sans-serif" w:hAnsi="Arial;sans-serif"/>
          <w:b/>
          <w:i/>
          <w:color w:val="000000"/>
          <w:sz w:val="20"/>
        </w:rPr>
        <w:t xml:space="preserve">Performance Obligations </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Revenues are recognized when control of the promised goods or service is transferred to the customer, in an amount that reflects the consideration the Company expects to be entitled to in exchange for those goods and services. Each product or service represents a separate performance obligation.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 recognized as the related performance obligations are satisfied as discussed above. The Company determines standalone selling prices based on the price at which the performance obligation is sold separately. The standalone selling price is directly observable as it is the price at which the Company sells its products separately to the customer. The Company assesses promised goods or services as performance obligations deemed immaterial at the contract level. Revenue is recognized generally upon shipment terms for products and when the service is performed for services. </w:t>
      </w:r>
    </w:p>
    <w:p>
      <w:pPr>
        <w:pStyle w:val="TextBody"/>
        <w:bidi w:val="0"/>
        <w:spacing w:lineRule="auto" w:line="288" w:before="180" w:after="283"/>
        <w:jc w:val="both"/>
        <w:rPr/>
      </w:pPr>
      <w:r>
        <w:rPr>
          <w:rFonts w:ascii="Arial;sans-serif" w:hAnsi="Arial;sans-serif"/>
          <w:b/>
          <w:i/>
          <w:color w:val="000000"/>
          <w:sz w:val="20"/>
          <w:shd w:fill="FFFFFF" w:val="clear"/>
        </w:rPr>
        <w:t>Shipping and handling costs</w:t>
      </w:r>
      <w:r>
        <w:rPr>
          <w:color w:val="000000"/>
          <w:shd w:fill="FFFFFF" w:val="clear"/>
        </w:rPr>
        <w:t xml:space="preserve"> </w:t>
      </w:r>
      <w:r>
        <w:rPr>
          <w:rFonts w:ascii="Arial;sans-serif" w:hAnsi="Arial;sans-serif"/>
          <w:b/>
          <w:color w:val="000000"/>
          <w:sz w:val="20"/>
          <w:shd w:fill="FFFFFF" w:val="clear"/>
        </w:rPr>
        <w:t xml:space="preserve">- </w:t>
      </w:r>
      <w:r>
        <w:rPr>
          <w:rFonts w:ascii="Arial;sans-serif" w:hAnsi="Arial;sans-serif"/>
          <w:b w:val="false"/>
          <w:color w:val="000000"/>
          <w:sz w:val="20"/>
          <w:shd w:fill="FFFFFF" w:val="clear"/>
        </w:rPr>
        <w:t>The Company accounts for shipping and handling activities performed after control of a good has been transferred to the customer as a fulfillment cost. Therefore, both revenue and costs of shipping and handling are recorded at the same time. As a result, any consideration (including freight and landing costs) related to these activities are included as a component of the overall transaction consideration and allocated to the performance obligations of the contract. Costs associated with shipment of products to a customer are accounted for as a fulfillment cost and are typically included in selling, general and administrative expense. Shipping and handling fees billed directly to customers are included in sales.</w:t>
      </w:r>
    </w:p>
    <w:p>
      <w:pPr>
        <w:pStyle w:val="TextBody"/>
        <w:bidi w:val="0"/>
        <w:spacing w:lineRule="auto" w:line="288" w:before="180" w:after="283"/>
        <w:jc w:val="both"/>
        <w:rPr/>
      </w:pPr>
      <w:r>
        <w:rPr>
          <w:rFonts w:ascii="Arial;sans-serif" w:hAnsi="Arial;sans-serif"/>
          <w:b/>
          <w:i/>
          <w:color w:val="000000"/>
          <w:sz w:val="20"/>
        </w:rPr>
        <w:t xml:space="preserve">Warranty </w:t>
      </w:r>
      <w:r>
        <w:rPr>
          <w:rFonts w:ascii="Arial;sans-serif" w:hAnsi="Arial;sans-serif"/>
          <w:b w:val="false"/>
          <w:i/>
          <w:color w:val="000000"/>
          <w:sz w:val="20"/>
        </w:rPr>
        <w:t xml:space="preserve">- </w:t>
      </w:r>
      <w:r>
        <w:rPr>
          <w:rFonts w:ascii="Arial;sans-serif" w:hAnsi="Arial;sans-serif"/>
          <w:b w:val="false"/>
          <w:color w:val="000000"/>
          <w:sz w:val="20"/>
        </w:rPr>
        <w:t>For product sales, the Company provides standard assurance-type warranties as the Company only warrants its products against defects in materials and workmanship (i.e., manufacturing flaws). Although the warranties are not required by law, the tasks performed over the warranty period are only to remediate instances when products do not meet the promised specifications. Customers do not have the option to purchase warranties separately. The Company’s warranty periods generally range from 90 days to three years depending on the nature of the product and are consistent with industry standards. The periods are reasonable to ensure that products conform to specifications. The Company does not have a history of performing activities outside the scope of the standard warranty.</w:t>
      </w:r>
    </w:p>
    <w:p>
      <w:pPr>
        <w:pStyle w:val="TextBody"/>
        <w:bidi w:val="0"/>
        <w:spacing w:lineRule="auto" w:line="288" w:before="120" w:after="283"/>
        <w:jc w:val="both"/>
        <w:rPr/>
      </w:pPr>
      <w:r>
        <w:rPr>
          <w:rFonts w:ascii="Arial;sans-serif" w:hAnsi="Arial;sans-serif"/>
          <w:b/>
          <w:i/>
          <w:color w:val="000000"/>
          <w:sz w:val="20"/>
        </w:rPr>
        <w:t xml:space="preserve">Variable Consideration - </w:t>
      </w:r>
      <w:r>
        <w:rPr>
          <w:rFonts w:ascii="Arial;sans-serif" w:hAnsi="Arial;sans-serif"/>
          <w:b w:val="false"/>
          <w:color w:val="000000"/>
          <w:sz w:val="20"/>
        </w:rPr>
        <w:t>The Company’s policy around estimating variable consideration related to sales incentives (early pay discounts, rights of return, rebates, chargebacks, and other discounts) included in certain customer contracts are recorded as a reduction in the transaction price.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only to the extent that it is probable</w:t>
      </w:r>
      <w:r>
        <w:rPr>
          <w:color w:val="000000"/>
        </w:rPr>
        <w:t xml:space="preserve"> </w:t>
      </w:r>
      <w:r>
        <w:rPr>
          <w:rFonts w:ascii="Arial;sans-serif" w:hAnsi="Arial;sans-serif"/>
          <w:b w:val="false"/>
          <w:color w:val="000000"/>
          <w:sz w:val="20"/>
        </w:rPr>
        <w:t>that a significant reversal in the amount of cumulative revenue</w:t>
      </w:r>
      <w:r>
        <w:rPr>
          <w:color w:val="000000"/>
        </w:rPr>
        <w:t xml:space="preserve"> </w:t>
      </w:r>
      <w:r>
        <w:rPr>
          <w:rFonts w:ascii="Arial;sans-serif" w:hAnsi="Arial;sans-serif"/>
          <w:b w:val="false"/>
          <w:color w:val="000000"/>
          <w:sz w:val="20"/>
        </w:rPr>
        <w:t xml:space="preserve">recognized will not occur when the uncertainty associated with the variable consideration is subsequently resolved.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certain of the Company’s arrangements related to product sales, a right of return exists, which is included in the transaction price. For these right of return arrangements, an asset (and corresponding adjustment to cost of sale) for its right to recover the products from the customers is recorded. The asset recognized is the carrying amount of the product (for example, inventory) less any expected costs to recover the products (including potential decreases in the value to the Company of the returned product). Additionally, the Company records a refund liability for the amount of consideration that it does not expect to be entitled. The amounts associated with right of return arrangements are not material to the Company's statement of position or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445"/>
                <wp:effectExtent l="0" t="0" r="0" b="0"/>
                <wp:wrapNone/>
                <wp:docPr id="161" name="Frame1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i/>
          <w:color w:val="000000"/>
          <w:sz w:val="20"/>
        </w:rPr>
        <w:t xml:space="preserve">Sales and Other Similar Taxes - </w:t>
      </w:r>
      <w:r>
        <w:rPr>
          <w:rFonts w:ascii="Arial;sans-serif" w:hAnsi="Arial;sans-serif"/>
          <w:b w:val="false"/>
          <w:color w:val="000000"/>
          <w:sz w:val="20"/>
        </w:rPr>
        <w:t>The Company notes that under its contracts with customers, the customer is responsible for all sales and other similar taxes, which the Company will invoice the customer for if they are applicable. The Company excludes sales taxes and similar taxes from the measurement of transaction price.</w:t>
      </w:r>
    </w:p>
    <w:p>
      <w:pPr>
        <w:pStyle w:val="TextBody"/>
        <w:bidi w:val="0"/>
        <w:spacing w:lineRule="auto" w:line="288" w:before="180" w:after="283"/>
        <w:jc w:val="both"/>
        <w:rPr/>
      </w:pPr>
      <w:r>
        <w:rPr>
          <w:rFonts w:ascii="Arial;sans-serif" w:hAnsi="Arial;sans-serif"/>
          <w:b/>
          <w:i/>
          <w:color w:val="000000"/>
          <w:sz w:val="20"/>
        </w:rPr>
        <w:t>Cost to Obtain a Contract</w:t>
      </w:r>
      <w:r>
        <w:rPr>
          <w:color w:val="000000"/>
        </w:rPr>
        <w:t xml:space="preserve"> </w:t>
      </w:r>
      <w:r>
        <w:rPr>
          <w:rFonts w:ascii="Arial;sans-serif" w:hAnsi="Arial;sans-serif"/>
          <w:b w:val="false"/>
          <w:i/>
          <w:color w:val="000000"/>
          <w:sz w:val="20"/>
        </w:rPr>
        <w:t xml:space="preserve">- </w:t>
      </w:r>
      <w:r>
        <w:rPr>
          <w:rFonts w:ascii="Arial;sans-serif" w:hAnsi="Arial;sans-serif"/>
          <w:b w:val="false"/>
          <w:color w:val="000000"/>
          <w:sz w:val="20"/>
        </w:rPr>
        <w:t xml:space="preserve">The Company recognizes the incremental costs of obtaining a contract as an expense when incurred as the amortization period of the asset that the Company otherwise would have recognized is one year or less. </w:t>
      </w:r>
    </w:p>
    <w:p>
      <w:pPr>
        <w:pStyle w:val="TextBody"/>
        <w:bidi w:val="0"/>
        <w:spacing w:lineRule="auto" w:line="288" w:before="180" w:after="120"/>
        <w:jc w:val="both"/>
        <w:rPr/>
      </w:pPr>
      <w:r>
        <w:rPr>
          <w:rFonts w:ascii="Arial;sans-serif" w:hAnsi="Arial;sans-serif"/>
          <w:b/>
          <w:i/>
          <w:color w:val="000000"/>
          <w:sz w:val="20"/>
        </w:rPr>
        <w:t>Disaggregated Revenue - Revenue Streams &amp; Timing of Revenue Recognition</w:t>
      </w:r>
      <w:r>
        <w:rPr>
          <w:color w:val="000000"/>
        </w:rPr>
        <w:t xml:space="preserve"> </w:t>
      </w:r>
      <w:r>
        <w:rPr>
          <w:rFonts w:ascii="Arial;sans-serif" w:hAnsi="Arial;sans-serif"/>
          <w:b w:val="false"/>
          <w:i/>
          <w:color w:val="000000"/>
          <w:sz w:val="20"/>
        </w:rPr>
        <w:t xml:space="preserve">- </w:t>
      </w:r>
      <w:r>
        <w:rPr>
          <w:rFonts w:ascii="Arial;sans-serif" w:hAnsi="Arial;sans-serif"/>
          <w:b w:val="false"/>
          <w:color w:val="000000"/>
          <w:sz w:val="20"/>
        </w:rPr>
        <w:t xml:space="preserve">The Company disaggregates revenue by strategic business unit and by geography for each strategic business unit which are categories that depict how the nature, amount and uncertainty of revenue and cash flows are affected by economic factors. The disaggregation in the tables below reflects where revenue is earned based on the shipping address of our customers unless otherwise noted.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 Lugano was a reportable segment of the Company until November 16, 2025 when Lugano filed for bankruptcy and was deconsolidated. The results of operations of Lugano are included in the disaggregation of revenue by reportable segment for the year ended December 31, 2025 for the period from January 1, 2025 through November 16, 2025. </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 xml:space="preserve">The following tables provide disaggregation of revenue by reportable segment geography for the years ended December 31, 2025, 2024 and 2023 (in thousands). </w:t>
      </w:r>
    </w:p>
    <w:tbl>
      <w:tblPr>
        <w:tblW w:w="10184" w:type="dxa"/>
        <w:jc w:val="left"/>
        <w:tblInd w:w="0" w:type="dxa"/>
        <w:tblLayout w:type="fixed"/>
        <w:tblCellMar>
          <w:top w:w="28" w:type="dxa"/>
          <w:left w:w="28" w:type="dxa"/>
          <w:bottom w:w="28" w:type="dxa"/>
          <w:right w:w="28" w:type="dxa"/>
        </w:tblCellMar>
      </w:tblPr>
      <w:tblGrid>
        <w:gridCol w:w="545"/>
        <w:gridCol w:w="477"/>
        <w:gridCol w:w="493"/>
        <w:gridCol w:w="196"/>
        <w:gridCol w:w="871"/>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329"/>
        <w:gridCol w:w="1089"/>
        <w:gridCol w:w="186"/>
        <w:gridCol w:w="109"/>
        <w:gridCol w:w="109"/>
        <w:gridCol w:w="109"/>
        <w:gridCol w:w="196"/>
        <w:gridCol w:w="871"/>
        <w:gridCol w:w="154"/>
      </w:tblGrid>
      <w:tr>
        <w:trPr/>
        <w:tc>
          <w:tcPr>
            <w:tcW w:w="54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2025</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432,580 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35,817 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551,845 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BOA </w:t>
            </w:r>
            <w:r>
              <w:rPr>
                <w:rFonts w:ascii="Arial;sans-serif" w:hAnsi="Arial;sans-serif"/>
                <w:b/>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Lugano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PrimaLoft</w:t>
            </w:r>
            <w:r>
              <w:rPr>
                <w:color w:val="000000"/>
              </w:rPr>
              <w:t xml:space="preserve"> </w:t>
            </w:r>
            <w:r>
              <w:rPr>
                <w:rFonts w:ascii="Arial;sans-serif" w:hAnsi="Arial;sans-serif"/>
                <w:b/>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Sterno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1,447,325 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50,414 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54,593 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1,873,584 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1445"/>
                <wp:effectExtent l="0" t="0" r="0" b="0"/>
                <wp:wrapNone/>
                <wp:docPr id="162" name="Frame1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F-28</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10184" w:type="dxa"/>
        <w:jc w:val="center"/>
        <w:tblInd w:w="0" w:type="dxa"/>
        <w:tblLayout w:type="fixed"/>
        <w:tblCellMar>
          <w:top w:w="28" w:type="dxa"/>
          <w:left w:w="28" w:type="dxa"/>
          <w:bottom w:w="28" w:type="dxa"/>
          <w:right w:w="28" w:type="dxa"/>
        </w:tblCellMar>
      </w:tblPr>
      <w:tblGrid>
        <w:gridCol w:w="557"/>
        <w:gridCol w:w="487"/>
        <w:gridCol w:w="471"/>
        <w:gridCol w:w="196"/>
        <w:gridCol w:w="871"/>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329"/>
        <w:gridCol w:w="1089"/>
        <w:gridCol w:w="186"/>
        <w:gridCol w:w="109"/>
        <w:gridCol w:w="109"/>
        <w:gridCol w:w="109"/>
        <w:gridCol w:w="196"/>
        <w:gridCol w:w="871"/>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2024</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36,043 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532,161 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BOA</w:t>
            </w:r>
            <w:r>
              <w:rPr>
                <w:color w:val="000000"/>
              </w:rPr>
              <w:t xml:space="preserve"> </w:t>
            </w:r>
            <w:r>
              <w:rPr>
                <w:rFonts w:ascii="Arial;sans-serif" w:hAnsi="Arial;sans-serif"/>
                <w:b/>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PrimaLoft</w:t>
            </w:r>
            <w:r>
              <w:rPr>
                <w:color w:val="000000"/>
              </w:rPr>
              <w:t xml:space="preserve"> </w:t>
            </w:r>
            <w:r>
              <w:rPr>
                <w:rFonts w:ascii="Arial;sans-serif" w:hAnsi="Arial;sans-serif"/>
                <w:b/>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Sterno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1,351,668 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54,882 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1,788,013 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89" w:type="dxa"/>
        <w:jc w:val="center"/>
        <w:tblInd w:w="0" w:type="dxa"/>
        <w:tblLayout w:type="fixed"/>
        <w:tblCellMar>
          <w:top w:w="28" w:type="dxa"/>
          <w:left w:w="28" w:type="dxa"/>
          <w:bottom w:w="28" w:type="dxa"/>
          <w:right w:w="28" w:type="dxa"/>
        </w:tblCellMar>
      </w:tblPr>
      <w:tblGrid>
        <w:gridCol w:w="367"/>
        <w:gridCol w:w="321"/>
        <w:gridCol w:w="332"/>
        <w:gridCol w:w="196"/>
        <w:gridCol w:w="871"/>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329"/>
        <w:gridCol w:w="1089"/>
        <w:gridCol w:w="186"/>
        <w:gridCol w:w="109"/>
        <w:gridCol w:w="109"/>
        <w:gridCol w:w="109"/>
        <w:gridCol w:w="196"/>
        <w:gridCol w:w="871"/>
        <w:gridCol w:w="154"/>
      </w:tblGrid>
      <w:tr>
        <w:trPr/>
        <w:tc>
          <w:tcPr>
            <w:tcW w:w="36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2023</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Mexico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Other 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423,750 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533,089 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BOA </w:t>
            </w:r>
            <w:r>
              <w:rPr>
                <w:rFonts w:ascii="Arial;sans-serif" w:hAnsi="Arial;sans-serif"/>
                <w:b/>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Lugano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PrimaLoft</w:t>
            </w:r>
            <w:r>
              <w:rPr>
                <w:color w:val="000000"/>
              </w:rPr>
              <w:t xml:space="preserve"> </w:t>
            </w:r>
            <w:r>
              <w:rPr>
                <w:rFonts w:ascii="Arial;sans-serif" w:hAnsi="Arial;sans-serif"/>
                <w:b/>
                <w:color w:val="000000"/>
                <w:sz w:val="12"/>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156,853 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9,186 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5,080 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Sterno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1,284,539 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143,613 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144,589 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55,351 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1,689,920 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13"/>
        </w:rPr>
        <w:t xml:space="preserve">(1) </w:t>
      </w:r>
      <w:r>
        <w:rPr>
          <w:rFonts w:ascii="Arial;sans-serif" w:hAnsi="Arial;sans-serif"/>
          <w:b w:val="false"/>
          <w:color w:val="000000"/>
          <w:sz w:val="20"/>
        </w:rPr>
        <w:t>For BOA and PrimaLoft, revenue reflects the location of the Brand Partners of each business.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G - Inventory and Property, Plant, and Equipment</w:t>
      </w:r>
    </w:p>
    <w:tbl>
      <w:tblPr>
        <w:tblW w:w="4659" w:type="dxa"/>
        <w:jc w:val="center"/>
        <w:tblInd w:w="0" w:type="dxa"/>
        <w:tblLayout w:type="fixed"/>
        <w:tblCellMar>
          <w:top w:w="28" w:type="dxa"/>
          <w:left w:w="28" w:type="dxa"/>
          <w:bottom w:w="28" w:type="dxa"/>
          <w:right w:w="28" w:type="dxa"/>
        </w:tblCellMar>
      </w:tblPr>
      <w:tblGrid>
        <w:gridCol w:w="796"/>
        <w:gridCol w:w="700"/>
        <w:gridCol w:w="709"/>
        <w:gridCol w:w="196"/>
        <w:gridCol w:w="736"/>
        <w:gridCol w:w="109"/>
        <w:gridCol w:w="109"/>
        <w:gridCol w:w="109"/>
        <w:gridCol w:w="109"/>
        <w:gridCol w:w="196"/>
        <w:gridCol w:w="73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Inventory</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Raw materials and supplies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615,059 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obsolescence reserve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571,248 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1445"/>
                <wp:effectExtent l="0" t="0" r="0" b="0"/>
                <wp:wrapNone/>
                <wp:docPr id="163" name="Frame1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F-29</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5514" w:type="dxa"/>
        <w:jc w:val="center"/>
        <w:tblInd w:w="0" w:type="dxa"/>
        <w:tblLayout w:type="fixed"/>
        <w:tblCellMar>
          <w:top w:w="28" w:type="dxa"/>
          <w:left w:w="28" w:type="dxa"/>
          <w:bottom w:w="28" w:type="dxa"/>
          <w:right w:w="28" w:type="dxa"/>
        </w:tblCellMar>
      </w:tblPr>
      <w:tblGrid>
        <w:gridCol w:w="1107"/>
        <w:gridCol w:w="975"/>
        <w:gridCol w:w="978"/>
        <w:gridCol w:w="196"/>
        <w:gridCol w:w="736"/>
        <w:gridCol w:w="109"/>
        <w:gridCol w:w="109"/>
        <w:gridCol w:w="109"/>
        <w:gridCol w:w="109"/>
        <w:gridCol w:w="196"/>
        <w:gridCol w:w="736"/>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Property, plant and equipment</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Machinery and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269,367 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Office furniture, computers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Buildings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Construction in 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492,878 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498,316 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(253,570)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244,746 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300"/>
        <w:jc w:val="both"/>
        <w:rPr>
          <w:rFonts w:ascii="Arial;sans-serif" w:hAnsi="Arial;sans-serif"/>
          <w:b w:val="false"/>
          <w:color w:val="000000"/>
          <w:sz w:val="20"/>
        </w:rPr>
      </w:pPr>
      <w:r>
        <w:rPr>
          <w:rFonts w:ascii="Arial;sans-serif" w:hAnsi="Arial;sans-serif"/>
          <w:b w:val="false"/>
          <w:color w:val="000000"/>
          <w:sz w:val="20"/>
        </w:rPr>
        <w:t xml:space="preserve">Depreciation expense was approximately $45.3 million, $43.9 million and $46.0 million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Note H — Goodwill and Intangible Assets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 </w:t>
      </w:r>
    </w:p>
    <w:p>
      <w:pPr>
        <w:pStyle w:val="TextBody"/>
        <w:bidi w:val="0"/>
        <w:spacing w:lineRule="auto" w:line="288" w:before="180" w:after="283"/>
        <w:jc w:val="both"/>
        <w:rPr/>
      </w:pPr>
      <w:r>
        <w:rPr>
          <w:rFonts w:ascii="Arial;sans-serif" w:hAnsi="Arial;sans-serif"/>
          <w:b w:val="false"/>
          <w:color w:val="000000"/>
          <w:sz w:val="20"/>
        </w:rPr>
        <w:t xml:space="preserve">A reconciliation of the change in the carrying value of goodwill by segment for the years ended December 31, 2025 and 2024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453"/>
        <w:gridCol w:w="378"/>
        <w:gridCol w:w="391"/>
        <w:gridCol w:w="109"/>
        <w:gridCol w:w="109"/>
        <w:gridCol w:w="109"/>
        <w:gridCol w:w="316"/>
        <w:gridCol w:w="1190"/>
        <w:gridCol w:w="176"/>
        <w:gridCol w:w="109"/>
        <w:gridCol w:w="109"/>
        <w:gridCol w:w="109"/>
        <w:gridCol w:w="709"/>
        <w:gridCol w:w="1581"/>
        <w:gridCol w:w="397"/>
        <w:gridCol w:w="109"/>
        <w:gridCol w:w="109"/>
        <w:gridCol w:w="109"/>
        <w:gridCol w:w="394"/>
        <w:gridCol w:w="817"/>
        <w:gridCol w:w="220"/>
        <w:gridCol w:w="109"/>
        <w:gridCol w:w="109"/>
        <w:gridCol w:w="109"/>
        <w:gridCol w:w="337"/>
        <w:gridCol w:w="1267"/>
        <w:gridCol w:w="271"/>
      </w:tblGrid>
      <w:tr>
        <w:trPr/>
        <w:tc>
          <w:tcPr>
            <w:tcW w:w="45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Acquisitions/Measurement Period 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Goodwill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December 31, 2025</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92,966 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92,966 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254,153 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 Outdoor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114,619 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39,267 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Sterno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Corporate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895,916 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895,421 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1445"/>
                <wp:effectExtent l="0" t="0" r="0" b="0"/>
                <wp:wrapNone/>
                <wp:docPr id="164" name="Frame1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F-30</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50"/>
        <w:gridCol w:w="375"/>
        <w:gridCol w:w="389"/>
        <w:gridCol w:w="109"/>
        <w:gridCol w:w="109"/>
        <w:gridCol w:w="109"/>
        <w:gridCol w:w="314"/>
        <w:gridCol w:w="1180"/>
        <w:gridCol w:w="174"/>
        <w:gridCol w:w="109"/>
        <w:gridCol w:w="109"/>
        <w:gridCol w:w="109"/>
        <w:gridCol w:w="513"/>
        <w:gridCol w:w="1932"/>
        <w:gridCol w:w="289"/>
        <w:gridCol w:w="109"/>
        <w:gridCol w:w="109"/>
        <w:gridCol w:w="109"/>
        <w:gridCol w:w="318"/>
        <w:gridCol w:w="927"/>
        <w:gridCol w:w="177"/>
        <w:gridCol w:w="109"/>
        <w:gridCol w:w="109"/>
        <w:gridCol w:w="109"/>
        <w:gridCol w:w="334"/>
        <w:gridCol w:w="1256"/>
        <w:gridCol w:w="269"/>
      </w:tblGrid>
      <w:tr>
        <w:trPr/>
        <w:tc>
          <w:tcPr>
            <w:tcW w:w="4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Acquisitions/Measurement Period Adjustments </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Goodwill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at December 31, 2024</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92,966 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92,966 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254,153 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254,153 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232,536 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107,039 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107,039 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 Outdoor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91,129 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23,490 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114,619 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39,267 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39,267 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Sterno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55,336 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55,336 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Corporate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773,569 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130,529 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895,916 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Arial;sans-serif" w:hAnsi="Arial;sans-serif"/>
          <w:b/>
          <w:color w:val="000000"/>
          <w:sz w:val="14"/>
        </w:rPr>
        <w:t>(1)    </w:t>
      </w:r>
      <w:r>
        <w:rPr>
          <w:rFonts w:ascii="Arial;sans-serif" w:hAnsi="Arial;sans-serif"/>
          <w:b w:val="false"/>
          <w:color w:val="000000"/>
          <w:sz w:val="18"/>
        </w:rPr>
        <w:t>Acquisition of businesses during the year ended December 31, 2024 includes the acquisition of The Honey Pot Co. by the Company, and an add-on acquisition at Altor.</w:t>
      </w:r>
    </w:p>
    <w:p>
      <w:pPr>
        <w:pStyle w:val="TextBody"/>
        <w:bidi w:val="0"/>
        <w:spacing w:lineRule="auto" w:line="288" w:before="240" w:after="283"/>
        <w:ind w:left="0" w:right="0" w:hanging="360"/>
        <w:jc w:val="both"/>
        <w:rPr/>
      </w:pPr>
      <w:r>
        <w:rPr>
          <w:rFonts w:ascii="Arial;sans-serif" w:hAnsi="Arial;sans-serif"/>
          <w:b w:val="false"/>
          <w:color w:val="000000"/>
          <w:sz w:val="20"/>
          <w:shd w:fill="FFFFFF" w:val="clear"/>
        </w:rPr>
        <w:t>Approximately $202.7 million of goo</w:t>
      </w:r>
      <w:r>
        <w:rPr>
          <w:rFonts w:ascii="Arial;sans-serif" w:hAnsi="Arial;sans-serif"/>
          <w:b w:val="false"/>
          <w:color w:val="000000"/>
          <w:sz w:val="20"/>
        </w:rPr>
        <w:t>dwill is deductible for income tax purposes at December 31,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Annual Impairment Testing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uses a qualitative approach to test goodwill and indefinite lived intangible assets for impairment by first assessing qualitative factors to determine whether it is more-likely than-not that the fair value of a reporting unit is less than its carrying amount as a basis for determining whether it is necessary to perform quantitative goodwill impairment testing. </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Annual Impairment Testing</w:t>
      </w:r>
    </w:p>
    <w:p>
      <w:pPr>
        <w:pStyle w:val="TextBody"/>
        <w:bidi w:val="0"/>
        <w:spacing w:lineRule="auto" w:line="288" w:before="120" w:after="283"/>
        <w:jc w:val="both"/>
        <w:rPr/>
      </w:pPr>
      <w:r>
        <w:rPr>
          <w:rFonts w:ascii="Arial;sans-serif" w:hAnsi="Arial;sans-serif"/>
          <w:b w:val="false"/>
          <w:color w:val="000000"/>
          <w:sz w:val="20"/>
          <w:shd w:fill="FFFFFF" w:val="clear"/>
        </w:rPr>
        <w:t>For the Company's annual impairment testing a</w:t>
      </w:r>
      <w:r>
        <w:rPr>
          <w:rFonts w:ascii="Arial;sans-serif" w:hAnsi="Arial;sans-serif"/>
          <w:b w:val="false"/>
          <w:color w:val="000000"/>
          <w:sz w:val="20"/>
        </w:rPr>
        <w:t xml:space="preserve">t March 31, 2025, the Company performed a qualitative assessment of our reporting units with goodwill balances. The results of the qualitative analysis indicated that it was more-likely-than-not that the fair value of each of the reporting units tested except PrimaLoft exceeded their carrying value. Based on the Company's analysis, the Company determined that the PrimaLoft operating segment required quantitative testing because we could not conclude that the fair value of this reporting unit significantly exceeded the carrying value based on qualitative factors alone. </w:t>
      </w:r>
      <w:r>
        <w:rPr>
          <w:rFonts w:ascii="Arial;sans-serif" w:hAnsi="Arial;sans-serif"/>
          <w:b w:val="false"/>
          <w:color w:val="000000"/>
          <w:sz w:val="20"/>
          <w:shd w:fill="FFFFFF" w:val="clear"/>
        </w:rPr>
        <w:t>The Company performed the quantitative impairment test of PrimaLoft using both an income approach and a market approach. The prospective information used in the income approach considered macroeconomic data, industry and reporting unit specific facts and circumstances and was our best estimate of operational results and cash flows for the PrimaLoft reporting unit as of the date of our impairment testing. The results of the testing indicated that the fair value of PrimaLoft exceeded the carrying value by 11.3%.</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2024 Annual Impairment Testing</w:t>
      </w:r>
    </w:p>
    <w:p>
      <w:pPr>
        <w:pStyle w:val="TextBody"/>
        <w:bidi w:val="0"/>
        <w:spacing w:lineRule="auto" w:line="288" w:before="120" w:after="283"/>
        <w:jc w:val="both"/>
        <w:rPr/>
      </w:pPr>
      <w:r>
        <w:rPr>
          <w:rFonts w:ascii="Arial;sans-serif" w:hAnsi="Arial;sans-serif"/>
          <w:b w:val="false"/>
          <w:color w:val="000000"/>
          <w:sz w:val="20"/>
        </w:rPr>
        <w:t>For the Company's annual impairment testing at March 31, 2024, the Company performed a qualitative assessment of our reporting units. The results of the qualitative analysis indicated that it was more-likely-than-not that the fair value of each of our reporting units except Velocity exceeded their carrying value. Based on our analysis, the Company determined that the Velocity operating segment required quantitative testing because we could not conclude that the fair value of this reporting unit significantly exceeded the carrying value based on qualitative factors alone. The Company</w:t>
      </w:r>
      <w:r>
        <w:rPr>
          <w:color w:val="000000"/>
          <w:shd w:fill="FFFFFF" w:val="clear"/>
        </w:rPr>
        <w:t xml:space="preserve"> </w:t>
      </w:r>
      <w:r>
        <w:rPr>
          <w:rFonts w:ascii="Arial;sans-serif" w:hAnsi="Arial;sans-serif"/>
          <w:b w:val="false"/>
          <w:color w:val="000000"/>
          <w:sz w:val="20"/>
          <w:shd w:fill="FFFFFF" w:val="clear"/>
        </w:rPr>
        <w:t>performed a quantitative test of Velocity and the results of the testing indicated that the fair value of Velocity did not exceed the carrying value, resulting in goodwill impairment expense of $8.2 million as of March 31, 2024.</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2023 Annual Impairment Testing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determined that the Velocity reporting unit required additional quantitative testing because we could not conclude that the fair value of the reporting unit exceeded its carrying value based on qualitative factors alone. For the reporting units that were tested only on a qualitative basis for the 2023 annual impairment testing,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1445"/>
                <wp:effectExtent l="0" t="0" r="0" b="0"/>
                <wp:wrapNone/>
                <wp:docPr id="165" name="Frame1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F-31</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results of the qualitative analysis indicated that it was more likely than not that the fair value exceeded the carrying value of these reporting units.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quantitative test of Velocity was performed using an income approach to determine the fair value of the reporting unit. The discount rate used in the income approach was 15% and the results of the quantitative impairment testing indicated that the fair value of the Velocity reporting unit exceeded the carrying value by 21%.</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Interim Impairment Testing</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2025 Interim Impairment Testing</w:t>
      </w:r>
    </w:p>
    <w:p>
      <w:pPr>
        <w:pStyle w:val="TextBody"/>
        <w:bidi w:val="0"/>
        <w:spacing w:lineRule="auto" w:line="288" w:before="180" w:after="283"/>
        <w:jc w:val="both"/>
        <w:rPr/>
      </w:pPr>
      <w:r>
        <w:rPr>
          <w:rFonts w:ascii="Arial;sans-serif" w:hAnsi="Arial;sans-serif"/>
          <w:b w:val="false"/>
          <w:color w:val="000000"/>
          <w:sz w:val="20"/>
          <w:u w:val="single"/>
          <w:shd w:fill="FFFFFF" w:val="clear"/>
        </w:rPr>
        <w:t>Arnold</w:t>
      </w:r>
      <w:r>
        <w:rPr>
          <w:color w:val="000000"/>
          <w:shd w:fill="FFFFFF" w:val="clear"/>
        </w:rPr>
        <w:t xml:space="preserve"> </w:t>
      </w:r>
      <w:r>
        <w:rPr>
          <w:rFonts w:ascii="Arial;sans-serif" w:hAnsi="Arial;sans-serif"/>
          <w:b w:val="false"/>
          <w:i/>
          <w:color w:val="000000"/>
          <w:sz w:val="20"/>
          <w:shd w:fill="FFFFFF" w:val="clear"/>
        </w:rPr>
        <w:t xml:space="preserve">- </w:t>
      </w:r>
      <w:r>
        <w:rPr>
          <w:rFonts w:ascii="Arial;sans-serif" w:hAnsi="Arial;sans-serif"/>
          <w:b w:val="false"/>
          <w:color w:val="000000"/>
          <w:sz w:val="20"/>
        </w:rPr>
        <w:t xml:space="preserve">The Company performed an interim impairment test of goodwill at Arnold as of October 31, 2025. During 2025, Arnold was negatively impacted by both production delays related to facility transitions, and supply chain constraints caused by export controls and disruption in the market for rare earth minerals, a key component in certain of Arnold's products. As a result, the operating results of Arnold were below our forecast and prior year results for the business. While Arnold's backlog continued to grow, the production delays and supply chain disruption caused by the export controls led us to determine that a triggering event had occurred. </w:t>
      </w:r>
      <w:r>
        <w:rPr>
          <w:rFonts w:ascii="Arial;sans-serif" w:hAnsi="Arial;sans-serif"/>
          <w:b w:val="false"/>
          <w:color w:val="000000"/>
          <w:sz w:val="20"/>
          <w:shd w:fill="FFFFFF" w:val="clear"/>
        </w:rPr>
        <w:t xml:space="preserve">The Company used an income approach for the impairment test, whereby we estimated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discount rate of 14.2% in the income approach. The results of the testing indicated that the fair value of Arnold exceeded the carrying value by 77%. </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2023 Interim Impairment Testing</w:t>
      </w:r>
    </w:p>
    <w:p>
      <w:pPr>
        <w:pStyle w:val="TextBody"/>
        <w:bidi w:val="0"/>
        <w:spacing w:lineRule="auto" w:line="288" w:before="120" w:after="283"/>
        <w:jc w:val="both"/>
        <w:rPr/>
      </w:pPr>
      <w:r>
        <w:rPr>
          <w:rFonts w:ascii="Arial;sans-serif" w:hAnsi="Arial;sans-serif"/>
          <w:b w:val="false"/>
          <w:color w:val="000000"/>
          <w:sz w:val="20"/>
          <w:u w:val="single"/>
          <w:shd w:fill="FFFFFF" w:val="clear"/>
        </w:rPr>
        <w:t>PrimaLoft</w:t>
      </w:r>
      <w:r>
        <w:rPr>
          <w:color w:val="000000"/>
          <w:shd w:fill="FFFFFF" w:val="clear"/>
        </w:rPr>
        <w:t xml:space="preserve"> </w:t>
      </w:r>
      <w:r>
        <w:rPr>
          <w:rFonts w:ascii="Arial;sans-serif" w:hAnsi="Arial;sans-serif"/>
          <w:b w:val="false"/>
          <w:color w:val="000000"/>
          <w:sz w:val="20"/>
          <w:shd w:fill="FFFFFF" w:val="clear"/>
        </w:rPr>
        <w:t xml:space="preserve">- The Company performed an interim impairment test of goodwill at PrimaLoft as of December 31, 2023. </w:t>
      </w:r>
      <w:r>
        <w:rPr>
          <w:rFonts w:ascii="Arial;sans-serif" w:hAnsi="Arial;sans-serif"/>
          <w:b w:val="false"/>
          <w:color w:val="000000"/>
          <w:sz w:val="20"/>
        </w:rPr>
        <w:t xml:space="preserve">As a result of </w:t>
      </w:r>
      <w:r>
        <w:rPr>
          <w:rFonts w:ascii="Arial;sans-serif" w:hAnsi="Arial;sans-serif"/>
          <w:b w:val="false"/>
          <w:color w:val="000000"/>
          <w:sz w:val="20"/>
          <w:shd w:fill="FFFFFF" w:val="clear"/>
        </w:rPr>
        <w:t>operating results that were below forecast amounts that were used as the basis for the purchase price allocation performed when PrimaLoft was acquired as well as the failure of certain financial covenants in the intercompany credit agreement as of December 31, 2023, the Company determined that a triggering event had occurred. The Company performed the quantitative impairment test using both an income approach and a market approach. The prospective information used in the income approach considered macroeconomic data, industry and reporting unit specific facts and circumstances and was our best estimate of operational results and cash flows for the PrimaLoft reporting unit as of the date of our impairment testing. The discount rate used in the income approach was 11.3% The results of the quantitative impairment testing indicated that the fair value of the PrimaLoft reporting unit did not exceed its carrying value, resulting in goodwill impairment expense of $57.8 million in the year ended December 31, 2023.</w:t>
      </w:r>
    </w:p>
    <w:p>
      <w:pPr>
        <w:pStyle w:val="TextBody"/>
        <w:bidi w:val="0"/>
        <w:spacing w:lineRule="auto" w:line="288" w:before="120" w:after="283"/>
        <w:jc w:val="both"/>
        <w:rPr/>
      </w:pPr>
      <w:r>
        <w:rPr>
          <w:rFonts w:ascii="Arial;sans-serif" w:hAnsi="Arial;sans-serif"/>
          <w:b w:val="false"/>
          <w:color w:val="000000"/>
          <w:sz w:val="20"/>
          <w:u w:val="single"/>
          <w:shd w:fill="FFFFFF" w:val="clear"/>
        </w:rPr>
        <w:t>Velocity Outdoor</w:t>
      </w:r>
      <w:r>
        <w:rPr>
          <w:color w:val="000000"/>
          <w:shd w:fill="FFFFFF" w:val="clear"/>
        </w:rPr>
        <w:t xml:space="preserve"> </w:t>
      </w:r>
      <w:r>
        <w:rPr>
          <w:rFonts w:ascii="Arial;sans-serif" w:hAnsi="Arial;sans-serif"/>
          <w:b w:val="false"/>
          <w:color w:val="000000"/>
          <w:sz w:val="20"/>
          <w:shd w:fill="FFFFFF" w:val="clear"/>
        </w:rPr>
        <w:t xml:space="preserve">- The Company performed interim quantitative impairment testing of goodwill at Velocity at August 31, 2023. As a result of operating results that were below the forecast that we used in the quantitative impairment test of Velocity Outdoor at March 31, 2023, the Company determined that a triggering event had occurred at Velocity in the third quarter of 2023 and performed an interim impairment test as of August 31, 2023. The Company used an income approach for the impairment test, whereby we estimated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weighted average cost of capital of 17% in the income approach. The discount rate used was based on the weighted average cost of capital adjusted for the relevant risk associated with business specific characteristics and Velocity's ability to execute on projected cash flows. Based on the results </w:t>
      </w:r>
      <w:r>
        <w:rPr>
          <w:rFonts w:ascii="Arial;sans-serif" w:hAnsi="Arial;sans-serif"/>
          <w:b w:val="false"/>
          <w:color w:val="000000"/>
          <w:sz w:val="20"/>
        </w:rPr>
        <w:t xml:space="preserve">of the impairment test, the fair value of Velocity did not exceed its carrying value. The Company recorded goodwill impairment of </w:t>
      </w:r>
      <w:r>
        <w:rPr>
          <w:rFonts w:ascii="Arial;sans-serif" w:hAnsi="Arial;sans-serif"/>
          <w:b w:val="false"/>
          <w:color w:val="000000"/>
          <w:sz w:val="20"/>
          <w:shd w:fill="FFFFFF" w:val="clear"/>
        </w:rPr>
        <w:t>$31.6 million</w:t>
      </w:r>
      <w:r>
        <w:rPr>
          <w:color w:val="000000"/>
        </w:rPr>
        <w:t xml:space="preserve"> </w:t>
      </w:r>
      <w:r>
        <w:rPr>
          <w:rFonts w:ascii="Arial;sans-serif" w:hAnsi="Arial;sans-serif"/>
          <w:b w:val="false"/>
          <w:color w:val="000000"/>
          <w:sz w:val="20"/>
        </w:rPr>
        <w:t>during the year ended December 31, 2023.</w:t>
      </w:r>
    </w:p>
    <w:p>
      <w:pPr>
        <w:pStyle w:val="TextBody"/>
        <w:bidi w:val="0"/>
        <w:spacing w:lineRule="auto" w:line="288" w:before="240" w:after="283"/>
        <w:jc w:val="both"/>
        <w:rPr/>
      </w:pPr>
      <w:r>
        <w:rPr>
          <w:rFonts w:ascii="Arial;sans-serif" w:hAnsi="Arial;sans-serif"/>
          <w:b w:val="false"/>
          <w:color w:val="000000"/>
          <w:sz w:val="20"/>
        </w:rPr>
        <w:t>The following is a summary of the net carrying amount of goodwill at December 31, 2025, and 2024 (</w:t>
      </w:r>
      <w:r>
        <w:rPr>
          <w:rFonts w:ascii="Arial;sans-serif" w:hAnsi="Arial;sans-serif"/>
          <w:b w:val="false"/>
          <w:i/>
          <w:color w:val="000000"/>
          <w:sz w:val="20"/>
        </w:rPr>
        <w:t>in thousands</w:t>
      </w:r>
      <w:r>
        <w:rPr>
          <w:rFonts w:ascii="Arial;sans-serif" w:hAnsi="Arial;sans-serif"/>
          <w:b w:val="false"/>
          <w:color w:val="000000"/>
          <w:sz w:val="20"/>
        </w:rPr>
        <w:t>):</w:t>
      </w:r>
    </w:p>
    <w:tbl>
      <w:tblPr>
        <w:tblW w:w="6444" w:type="dxa"/>
        <w:jc w:val="center"/>
        <w:tblInd w:w="0" w:type="dxa"/>
        <w:tblLayout w:type="fixed"/>
        <w:tblCellMar>
          <w:top w:w="28" w:type="dxa"/>
          <w:left w:w="28" w:type="dxa"/>
          <w:bottom w:w="28" w:type="dxa"/>
          <w:right w:w="28" w:type="dxa"/>
        </w:tblCellMar>
      </w:tblPr>
      <w:tblGrid>
        <w:gridCol w:w="938"/>
        <w:gridCol w:w="825"/>
        <w:gridCol w:w="832"/>
        <w:gridCol w:w="109"/>
        <w:gridCol w:w="109"/>
        <w:gridCol w:w="109"/>
        <w:gridCol w:w="262"/>
        <w:gridCol w:w="1167"/>
        <w:gridCol w:w="146"/>
        <w:gridCol w:w="109"/>
        <w:gridCol w:w="109"/>
        <w:gridCol w:w="109"/>
        <w:gridCol w:w="260"/>
        <w:gridCol w:w="1156"/>
        <w:gridCol w:w="20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 gross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1,311,318 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1,311,813 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Accumulated impairment losses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(415,897)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 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895,421 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895,916 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300"/>
        <w:jc w:val="both"/>
        <w:rPr/>
      </w:pPr>
      <w:r>
        <w:rPr>
          <w:rFonts w:ascii="Arial;sans-serif" w:hAnsi="Arial;sans-serif"/>
          <w:b/>
          <w:color w:val="000000"/>
          <w:sz w:val="12"/>
        </w:rPr>
        <w:t>(1)</w:t>
      </w:r>
      <w:r>
        <w:rPr>
          <w:color w:val="000000"/>
        </w:rPr>
        <w:t xml:space="preserve"> </w:t>
      </w:r>
      <w:r>
        <w:rPr>
          <w:rFonts w:ascii="Arial;sans-serif" w:hAnsi="Arial;sans-serif"/>
          <w:b w:val="false"/>
          <w:color w:val="000000"/>
          <w:sz w:val="20"/>
        </w:rPr>
        <w:t>Comprised of accumulated goodwill impairment expens</w:t>
      </w:r>
      <w:r>
        <w:rPr>
          <w:rFonts w:ascii="Arial;sans-serif" w:hAnsi="Arial;sans-serif"/>
          <w:b w:val="false"/>
          <w:color w:val="000000"/>
          <w:sz w:val="20"/>
          <w:shd w:fill="FFFFFF" w:val="clear"/>
        </w:rPr>
        <w:t xml:space="preserve">e of $260.6 million at </w:t>
      </w:r>
      <w:r>
        <w:rPr>
          <w:rFonts w:ascii="Arial;sans-serif" w:hAnsi="Arial;sans-serif"/>
          <w:b w:val="false"/>
          <w:color w:val="000000"/>
          <w:sz w:val="20"/>
        </w:rPr>
        <w:t>Lugano, $72.7 million at Velocity, $24.9 million at Arnold and $57.8 million at PrimaLoft.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445"/>
                <wp:effectExtent l="0" t="0" r="0" b="0"/>
                <wp:wrapNone/>
                <wp:docPr id="166" name="Frame1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Intangible Assets</w:t>
      </w:r>
    </w:p>
    <w:p>
      <w:pPr>
        <w:pStyle w:val="TextBody"/>
        <w:bidi w:val="0"/>
        <w:spacing w:lineRule="auto" w:line="288" w:before="180" w:after="283"/>
        <w:jc w:val="left"/>
        <w:rPr/>
      </w:pPr>
      <w:r>
        <w:rPr>
          <w:rFonts w:ascii="Arial;sans-serif" w:hAnsi="Arial;sans-serif"/>
          <w:b w:val="false"/>
          <w:color w:val="000000"/>
          <w:sz w:val="20"/>
        </w:rPr>
        <w:t xml:space="preserve">Intangible assets are comprised of the following </w:t>
      </w:r>
      <w:r>
        <w:rPr>
          <w:rFonts w:ascii="Arial;sans-serif" w:hAnsi="Arial;sans-serif"/>
          <w:b w:val="false"/>
          <w:i/>
          <w:color w:val="000000"/>
          <w:sz w:val="20"/>
        </w:rPr>
        <w:t>(in thousands):</w:t>
      </w:r>
    </w:p>
    <w:tbl>
      <w:tblPr>
        <w:tblW w:w="7489" w:type="dxa"/>
        <w:jc w:val="center"/>
        <w:tblInd w:w="0" w:type="dxa"/>
        <w:tblLayout w:type="fixed"/>
        <w:tblCellMar>
          <w:top w:w="28" w:type="dxa"/>
          <w:left w:w="28" w:type="dxa"/>
          <w:bottom w:w="28" w:type="dxa"/>
          <w:right w:w="28" w:type="dxa"/>
        </w:tblCellMar>
      </w:tblPr>
      <w:tblGrid>
        <w:gridCol w:w="1118"/>
        <w:gridCol w:w="982"/>
        <w:gridCol w:w="990"/>
        <w:gridCol w:w="109"/>
        <w:gridCol w:w="109"/>
        <w:gridCol w:w="109"/>
        <w:gridCol w:w="196"/>
        <w:gridCol w:w="871"/>
        <w:gridCol w:w="109"/>
        <w:gridCol w:w="109"/>
        <w:gridCol w:w="109"/>
        <w:gridCol w:w="109"/>
        <w:gridCol w:w="196"/>
        <w:gridCol w:w="871"/>
        <w:gridCol w:w="109"/>
        <w:gridCol w:w="109"/>
        <w:gridCol w:w="109"/>
        <w:gridCol w:w="109"/>
        <w:gridCol w:w="312"/>
        <w:gridCol w:w="312"/>
        <w:gridCol w:w="442"/>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Weighted</w:t>
              <w:br/>
              <w:t>Average</w:t>
              <w:br/>
              <w:t>Useful Lives</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7"/>
              </w:rPr>
            </w:pPr>
            <w:r>
              <w:rPr>
                <w:rFonts w:ascii="Arial;sans-serif" w:hAnsi="Arial;sans-serif"/>
                <w:b/>
                <w:i/>
                <w:color w:val="000000"/>
                <w:sz w:val="17"/>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Technology and 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Trade names,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contractual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Trade names,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In-process research and development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intangibles,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7"/>
              </w:rPr>
            </w:pPr>
            <w:r>
              <w:rPr>
                <w:rFonts w:ascii="Arial;sans-serif" w:hAnsi="Arial;sans-serif"/>
                <w:b/>
                <w:i/>
                <w:color w:val="000000"/>
                <w:sz w:val="17"/>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Technology and 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Trade names,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contractual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300"/>
        <w:jc w:val="both"/>
        <w:rPr/>
      </w:pPr>
      <w:r>
        <w:rPr>
          <w:rFonts w:ascii="Arial;sans-serif" w:hAnsi="Arial;sans-serif"/>
          <w:b/>
          <w:color w:val="000000"/>
          <w:sz w:val="12"/>
        </w:rPr>
        <w:t xml:space="preserve">(1) </w:t>
      </w:r>
      <w:r>
        <w:rPr>
          <w:rFonts w:ascii="Arial;sans-serif" w:hAnsi="Arial;sans-serif"/>
          <w:b w:val="false"/>
          <w:color w:val="000000"/>
          <w:sz w:val="20"/>
        </w:rPr>
        <w:t>In-process research and development is considered indefinite lived until the underlying technology becomes viable, at which point the intangible asset will be amortized over the expected useful life.</w:t>
      </w:r>
      <w:r>
        <w:rPr>
          <w:color w:val="000000"/>
        </w:rPr>
        <w:t xml:space="preserv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Definite-Lived Intangible Asset Impairment Testing</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2025 - Interim long-lived asset impairment testing</w:t>
      </w:r>
    </w:p>
    <w:p>
      <w:pPr>
        <w:pStyle w:val="TextBody"/>
        <w:bidi w:val="0"/>
        <w:spacing w:lineRule="auto" w:line="288" w:before="120" w:after="283"/>
        <w:jc w:val="both"/>
        <w:rPr/>
      </w:pPr>
      <w:r>
        <w:rPr>
          <w:rFonts w:ascii="Arial;sans-serif" w:hAnsi="Arial;sans-serif"/>
          <w:b w:val="false"/>
          <w:color w:val="000000"/>
          <w:sz w:val="20"/>
          <w:u w:val="single"/>
        </w:rPr>
        <w:t>Lugano</w:t>
      </w:r>
      <w:r>
        <w:rPr>
          <w:color w:val="000000"/>
        </w:rPr>
        <w:t xml:space="preserve"> </w:t>
      </w:r>
      <w:r>
        <w:rPr>
          <w:rFonts w:ascii="Arial;sans-serif" w:hAnsi="Arial;sans-serif"/>
          <w:b w:val="false"/>
          <w:color w:val="000000"/>
          <w:sz w:val="20"/>
        </w:rPr>
        <w:t>- As a result of the preliminary findings of the Lugano Investigation, the Company determined that a triggering event had occurred in the second quarter of 2025 and tested the long-lived assets of Lugano for impairment. The long-lived assets at Lugano were comprised of a tradename intangible asset, property, plant and equipment and right-of-use lease assets. The long-lived assets were assessed as definite lived assets to be held and used as of the impairment testing in the second quarter. The assessment of the recoverability of the carrying value of the Lugano assets resulted in an impairment loss of $29.5 million related to property, plant and equipment and $1.9 million related to right-of-use assets as of June 30, 2025. The impairment of the property, plant and equipment reflects the amount by which the carrying value of these assets exceed their estimated fair value, with fair value determined primarily through a market comparison method. The right-of-use asset related to a retail salon in Toronto, Canada. At the time of the triggering event, the Toronto retail salon had not yet opened and the Company's assessment determined that given the findings of the Lugano Investigation, it was unlikely that the Toronto salon would open in the near term. The impairment test for right-of-use assets involves comparing the right-of-use asset's carrying value to the undiscounted cash flows expected from its future use. Given the expectation that the Toronto retail salon would not open, no cash flows were expected from its future use and an impairment loss was recognized for the entire balance of the right-of-use asset associated with the Toronto salon lease.</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2023 -Interim long-lived asset impairment testing</w:t>
      </w:r>
    </w:p>
    <w:p>
      <w:pPr>
        <w:pStyle w:val="TextBody"/>
        <w:bidi w:val="0"/>
        <w:spacing w:lineRule="auto" w:line="288" w:before="120" w:after="283"/>
        <w:jc w:val="both"/>
        <w:rPr/>
      </w:pPr>
      <w:r>
        <w:rPr>
          <w:rFonts w:ascii="Arial;sans-serif" w:hAnsi="Arial;sans-serif"/>
          <w:b w:val="false"/>
          <w:color w:val="000000"/>
          <w:sz w:val="20"/>
          <w:u w:val="single"/>
        </w:rPr>
        <w:t>Lugano</w:t>
      </w:r>
      <w:r>
        <w:rPr>
          <w:color w:val="000000"/>
        </w:rPr>
        <w:t xml:space="preserve"> </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The Company tested the definite lived intangible assets at Lugano as of December 31, 2023. The impairment test resulted in impairment of the customer relationship intangible of $1.2 million. The fair value of the customer relationship was determined using a variation of a multi-period excess earnings method and led to a fair value that was less than the carrying value of the asset. </w:t>
      </w:r>
    </w:p>
    <w:p>
      <w:pPr>
        <w:pStyle w:val="TextBody"/>
        <w:bidi w:val="0"/>
        <w:spacing w:lineRule="auto" w:line="288" w:before="180" w:after="300"/>
        <w:jc w:val="both"/>
        <w:rPr>
          <w:rFonts w:ascii="Arial;sans-serif" w:hAnsi="Arial;sans-serif"/>
          <w:b w:val="false"/>
          <w:color w:val="000000"/>
          <w:sz w:val="20"/>
        </w:rPr>
      </w:pPr>
      <w:r>
        <w:rPr>
          <w:rFonts w:ascii="Arial;sans-serif" w:hAnsi="Arial;sans-serif"/>
          <w:b w:val="false"/>
          <w:color w:val="000000"/>
          <w:sz w:val="20"/>
        </w:rPr>
        <w:t>The Company’s amortization expense of intangible assets for the years ended December 31, 2025, 2024 and 2023 totaled $93.2 million, $94.8 million and $83.6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445"/>
                <wp:effectExtent l="0" t="0" r="0" b="0"/>
                <wp:wrapNone/>
                <wp:docPr id="167" name="Frame1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color w:val="000000"/>
          <w:sz w:val="20"/>
        </w:rPr>
        <w:t xml:space="preserve">Estimated charges to amortization expense of intangible assets over the next five years, is as follows, </w:t>
      </w:r>
      <w:r>
        <w:rPr>
          <w:rFonts w:ascii="Arial;sans-serif" w:hAnsi="Arial;sans-serif"/>
          <w:b w:val="false"/>
          <w:i/>
          <w:color w:val="000000"/>
          <w:sz w:val="20"/>
        </w:rPr>
        <w:t>(in thousands):</w:t>
      </w:r>
    </w:p>
    <w:tbl>
      <w:tblPr>
        <w:tblW w:w="1477" w:type="dxa"/>
        <w:jc w:val="center"/>
        <w:tblInd w:w="0" w:type="dxa"/>
        <w:tblLayout w:type="fixed"/>
        <w:tblCellMar>
          <w:top w:w="28" w:type="dxa"/>
          <w:left w:w="28" w:type="dxa"/>
          <w:bottom w:w="28" w:type="dxa"/>
          <w:right w:w="28" w:type="dxa"/>
        </w:tblCellMar>
      </w:tblPr>
      <w:tblGrid>
        <w:gridCol w:w="174"/>
        <w:gridCol w:w="153"/>
        <w:gridCol w:w="154"/>
        <w:gridCol w:w="196"/>
        <w:gridCol w:w="646"/>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2028</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Arial;sans-serif" w:hAnsi="Arial;sans-serif"/>
          <w:b/>
          <w:color w:val="000000"/>
          <w:sz w:val="20"/>
        </w:rPr>
      </w:pPr>
      <w:r>
        <w:rPr>
          <w:rFonts w:ascii="Arial;sans-serif" w:hAnsi="Arial;sans-serif"/>
          <w:b/>
          <w:color w:val="000000"/>
          <w:sz w:val="20"/>
        </w:rPr>
        <w:t xml:space="preserve">Note I – Debt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Financing Arrangements</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2022 Credit Facility</w:t>
      </w:r>
    </w:p>
    <w:p>
      <w:pPr>
        <w:pStyle w:val="TextBody"/>
        <w:bidi w:val="0"/>
        <w:spacing w:lineRule="auto" w:line="288" w:before="180" w:after="283"/>
        <w:jc w:val="both"/>
        <w:rPr/>
      </w:pPr>
      <w:r>
        <w:rPr>
          <w:rFonts w:ascii="Arial;sans-serif" w:hAnsi="Arial;sans-serif"/>
          <w:b w:val="false"/>
          <w:color w:val="000000"/>
          <w:sz w:val="20"/>
        </w:rPr>
        <w:t>On</w:t>
      </w:r>
      <w:r>
        <w:rPr>
          <w:color w:val="000000"/>
          <w:shd w:fill="FFFFFF" w:val="clear"/>
        </w:rPr>
        <w:t xml:space="preserve"> </w:t>
      </w:r>
      <w:r>
        <w:rPr>
          <w:rFonts w:ascii="Arial;sans-serif" w:hAnsi="Arial;sans-serif"/>
          <w:b w:val="false"/>
          <w:color w:val="000000"/>
          <w:sz w:val="20"/>
          <w:shd w:fill="FFFFFF" w:val="clear"/>
        </w:rPr>
        <w:t xml:space="preserve">July 12, 2022, the LLC </w:t>
      </w:r>
      <w:r>
        <w:rPr>
          <w:rFonts w:ascii="Arial;sans-serif" w:hAnsi="Arial;sans-serif"/>
          <w:b w:val="false"/>
          <w:color w:val="000000"/>
          <w:sz w:val="20"/>
        </w:rPr>
        <w:t xml:space="preserve">entered into a Third Amended and Restated Credit Agreement (as amended from time to time, the “2022 Credit Facility”) to amend and restate its prior credit facility. The 2022 Credit Facility provides for (i) revolving loans, swing line loans and letters of credit (the “2022 Revolving Credit Facility”) in an aggregate principal amount of up to $600 million and (ii) a $400 million term loan (the “2022 Term Loan”). Amounts outstanding under the 2022 Revolving Credit Facility mature on July 12, 2027. The 2022 Credit Facility also permitted the LLC, subject to customary restrictions and conditions, to increase revolving commitments and/or obtain additional term loans in an aggregate amount of up to to $250 million. </w:t>
      </w:r>
    </w:p>
    <w:p>
      <w:pPr>
        <w:pStyle w:val="TextBody"/>
        <w:bidi w:val="0"/>
        <w:spacing w:lineRule="auto" w:line="288" w:before="180" w:after="283"/>
        <w:jc w:val="both"/>
        <w:rPr/>
      </w:pPr>
      <w:r>
        <w:rPr>
          <w:rFonts w:ascii="Arial;sans-serif" w:hAnsi="Arial;sans-serif"/>
          <w:b w:val="false"/>
          <w:color w:val="000000"/>
          <w:sz w:val="20"/>
        </w:rPr>
        <w:t>Borrowings under the 2022 Credit Facility bear interest at either a base rate or a term secured overnight financing rate (“Term SOFR”), plus an applicable margin that varies based on the Company’s Consolidated Total Leverage Ratio (as defined in the 2022 Credit Facility). As amended by the Fifth Amendment (defined below), Term SOFR loans bear interest at Term SOFR plus a margin ranging from 1.50% to 3.25%, and base rate loans bear interest at the base rate plus a margin ranging from 0.50% to 2.25%</w:t>
      </w:r>
      <w:r>
        <w:rPr>
          <w:rFonts w:ascii="Arial;sans-serif" w:hAnsi="Arial;sans-serif"/>
          <w:b w:val="false"/>
          <w:color w:val="000000"/>
          <w:sz w:val="20"/>
          <w:shd w:fill="FFFFFF" w:val="clear"/>
        </w:rPr>
        <w:t>.</w:t>
      </w:r>
    </w:p>
    <w:p>
      <w:pPr>
        <w:pStyle w:val="TextBody"/>
        <w:bidi w:val="0"/>
        <w:spacing w:lineRule="auto" w:line="288" w:before="180" w:after="283"/>
        <w:jc w:val="both"/>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2022 Credit Facility is secured by substantially all assets of the Company, including equity interests in, and loans to, its consolidated subsidiaries.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First Amendment of 2022 Credit Facility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January 9, 2025, the LLC entered into a First Incremental Facility Amendment (the “First Amendment”) to the 2022 Credit Facility, which provided for (i) an additional $200 million advance under the term loan (the “Incremental Term Loan”) and (ii) delayed draw term loan commitments in an aggregate amount of $100 million (the “Incremental Delayed Draw Term Loan Commitments”). The proceeds were intended to be used for acquisitions, working capital, capital expenditures and other general corporate purposes. The Incremental Term Loan, together with the existing term loan, requires quarterly principal repayments ranging from $3.75 million to $11.25 million, commencing March 31, 2025, with the remaining principal and interest due on July 12, 2027. The Incremental Delayed Draw Term Loan Commitments were terminated prior to the end of the availability period in connection with Lugano-related events of default described below.</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Forbearance Agreements and Amendments During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2025, in connection with the Lugano matters and related events of default under the 2022 Credit Facility, the LLC entered into a series of forbearance agreements and related amendments with the administrative agent and the required Lenders (collectively, the “Forbearance Agreements”). The Forbearance Agreements provided the LLC with time to complete the Lugano Investigation and restatement process and, among other things, (i) limited the availability of revolving borrowings and the purposes for which borrowings could be used, (ii) imposed weekly cash disbursement controls and a 13-week cash flow budget requirement, (iii) imposed additional reporting obligations, and (iv) limited certain restricted payments and management fee payments. Certain of the Forbearance Agreements also reduced the revolving commitments to $100.0 million. The Fifth Amendment described below formally waived all outstanding Lugano-related events of default that were outstanding prior to the Fifth Amendment.</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Fifth Amendment and Transaction Letter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December 19, 2025, the LLC entered into a Fifth Amendment to the 2022 Credit Facility (the “Fifth Amendment”) and a related transaction letter (the “Transaction Letter”) with the administrative agent and the required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445"/>
                <wp:effectExtent l="0" t="0" r="0" b="0"/>
                <wp:wrapNone/>
                <wp:docPr id="168" name="Frame1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F-34</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Among other things, the Fifth Amendment and Transaction Letter (i) waived certain Lugano-related events of default that were outstanding prior to the Fifth Amendment, (ii) set the aggregate revolving commitments at $100.0 million, (iii) revised pricing and certain financial and other covenant requirements, including revised financial covenant levels for periods after the quarter ended March 31, 2025, (iv) required repayment of 100% of net cash proceeds from certain dispositions and deleveraging transactions to repay indebtedness, and (v) imposed additional limitations on certain restricted payments and management fee payments, as well as enhanced reporting requirements, including periodic cash flow forecasting. The Transaction Letter also provides for milestone fees payable to the lenders if specified leverage thresholds are not achieved on certain dates.</w:t>
      </w:r>
    </w:p>
    <w:p>
      <w:pPr>
        <w:pStyle w:val="TextBody"/>
        <w:bidi w:val="0"/>
        <w:spacing w:lineRule="auto" w:line="288" w:before="180" w:after="283"/>
        <w:jc w:val="both"/>
        <w:rPr/>
      </w:pPr>
      <w:r>
        <w:rPr>
          <w:rFonts w:ascii="Arial;sans-serif" w:hAnsi="Arial;sans-serif"/>
          <w:b w:val="false"/>
          <w:color w:val="000000"/>
          <w:sz w:val="20"/>
          <w:shd w:fill="FFFFFF" w:val="clear"/>
        </w:rPr>
        <w:t>At</w:t>
      </w:r>
      <w:r>
        <w:rPr>
          <w:color w:val="000000"/>
        </w:rPr>
        <w:t xml:space="preserve"> </w:t>
      </w:r>
      <w:r>
        <w:rPr>
          <w:rFonts w:ascii="Arial;sans-serif" w:hAnsi="Arial;sans-serif"/>
          <w:b w:val="false"/>
          <w:color w:val="000000"/>
          <w:sz w:val="20"/>
        </w:rPr>
        <w:t>December 31, 2025, outstanding letters of credit under the 2022 Credit Facility totaled approximately $3.2 million, and borrowing availability under the 2022 Revolving Credit Facility, as amended, was approximately $96.8 million.</w:t>
      </w:r>
    </w:p>
    <w:p>
      <w:pPr>
        <w:pStyle w:val="TextBody"/>
        <w:bidi w:val="0"/>
        <w:spacing w:lineRule="auto" w:line="288" w:before="18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Senior Notes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2032 Senior Notes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November 17, 2021, the Company consummated the issuance and sale of $300 million aggregate principal amount of our 5.000% Senior Notes due 2032 (the “2032 Notes” of "2032 Senior Notes") offered pursuant to a private offering to qualified institutional buyers in accordance with Rule 144A under the Securities Act, and to non-U.S. persons under Regulation S under the Securities Act. The 2032 Notes were issued pursuant to an indenture, dated as of November 17, 2021 (the “2032 Notes Indenture”), between the Company and U.S. Bank National Association, as trustee (the “Trustee”). The 2032 Notes bear interest at the rate of 5.000% per annum and will mature on January 15, 2032. Interest on the 2032 Notes is payable in cash on January 15 and July 15 of each year, beginning on July 15, 2022.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2029 Senior Notes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March 23, 2021, the Company consummated the issuance and sale of $1 billion aggregate principal amount of our 5.250% Senior Notes due 2029 (the "2029 Notes" or "2029 Senior Notes" and together with the 2032 Notes, the "Notes") offered pursuant to a private offering to qualified institutional buyers in accordance with Rule 144A under the Securities Act, and to non-U.S. persons under Regulation S under the Securities Act. The 2029 Notes were issued pursuant to an indenture, dated as of March 23, 2021 (the “2029 Notes Indenture” and, together with the 2032 Notes Indenture, the "Indentures"), between the Company and U.S. Bank National Association, as trustee (the "Trustee"). The 2029 Notes bear interest at the rate of 5.250% per annum and will mature on April 15, 2029. Interest on the 2029 Notes is payable in cash on April 15th and October 15th of each year. The first interest payment date on the 2029 Senior Notes was October 15, 2021.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2032 Notes and the 2029 Notes rank equal in right of payment with all of the Company’s existing and future senior unsecured indebtedness, and rank senior in right of payment to all of the Company’s future subordinated indebtedness, if any. The 2032 Notes and the 2029 Notes will be effectively subordinated to the Company’s existing and future secured indebtedness, to the extent of the value of the assets securing such indebtedness, including the indebtedness under the Company’s credit facilities described below. The 2032 Notes Indenture and the 2029 Notes Indenture contains several restrictive covenants including, but not limited to, limitations on the following: (i) the incurrence of additional indebtedness, (ii) restricted payments, (iii) the purchase, redemption or retirement of capital stock or subordinated debt, (iv) dividends and other payments affecting restricted subsidiaries, (v) transactions with affiliates, (vi) asset sales and mergers and consolidations, (vii) future subsidiary guarantees and (viii) incurring liens, (ix) entering into sale-leaseback transactions and (x) making certain investments, subject in each case to certain exceptions.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Indenture Forbearance Agreement and PIK Payments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Lugano matters and related delayed periodic reporting during 2025, on August 29, 2025, the LLC entered into a forbearance agreement with certain holders of the Notes (the “Indenture Forbearance Agreement”), pursuant to which such holders agreed to forbear from exercising rights and remedies with respect to specified defaults relating to the Company’s failure to deliver certain financial statements within the time periods required under the Indentures.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consideration for the Indenture Forbearance Agreement, the Company agreed to pay to each holder of Notes such holder’s pro rata share of (i) an upfront fee, paid in kind by increasing the principal amount of the applicable series of Notes, equal to 1.75% of the aggregate principal amount of Notes outstanding, and (ii) additional interest, paid in kind by increasing the principal amount of the applicable series of Notes, equal to the equivalent of a 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1445"/>
                <wp:effectExtent l="0" t="0" r="0" b="0"/>
                <wp:wrapNone/>
                <wp:docPr id="169" name="Frame1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F-35</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per annum increase in the interest rate for the applicable series of Notes for the period between August 1, 2025 and October 24, 2025 (together, the “PIK Payments”). The PIK Payments were effected through supplemental indentures dated September 9, 2025, pursuant to which the principal amount of the Notes was increased. The Company recognized $38.2 million in paid-in-kind interest related to the upfront fee and additional interest in connection with the Indenture Forbearance Agreement.</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Covenants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is subject to customary affirmative and restrictive covenants under the 2022 Credit Facility, including financial maintenance covenants. The following table reflects the financial covenant requirements and actual ratios as of December 31, 2025 under the 2022 Credit Facility, as amended by the Fifth Amendment:</w:t>
      </w:r>
    </w:p>
    <w:tbl>
      <w:tblPr>
        <w:tblW w:w="7626" w:type="dxa"/>
        <w:jc w:val="center"/>
        <w:tblInd w:w="0" w:type="dxa"/>
        <w:tblLayout w:type="fixed"/>
        <w:tblCellMar>
          <w:top w:w="28" w:type="dxa"/>
          <w:left w:w="28" w:type="dxa"/>
          <w:bottom w:w="28" w:type="dxa"/>
          <w:right w:w="28" w:type="dxa"/>
        </w:tblCellMar>
      </w:tblPr>
      <w:tblGrid>
        <w:gridCol w:w="1189"/>
        <w:gridCol w:w="1046"/>
        <w:gridCol w:w="1049"/>
        <w:gridCol w:w="109"/>
        <w:gridCol w:w="109"/>
        <w:gridCol w:w="109"/>
        <w:gridCol w:w="854"/>
        <w:gridCol w:w="854"/>
        <w:gridCol w:w="856"/>
        <w:gridCol w:w="109"/>
        <w:gridCol w:w="109"/>
        <w:gridCol w:w="109"/>
        <w:gridCol w:w="328"/>
        <w:gridCol w:w="328"/>
        <w:gridCol w:w="468"/>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Description of Required Covenant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Covenant Ratio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Actual Ratio</w:t>
            </w:r>
          </w:p>
        </w:tc>
      </w:tr>
      <w:tr>
        <w:trPr/>
        <w:tc>
          <w:tcPr>
            <w:tcW w:w="3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Fixed Charge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Greater than or equal to 1.00:1.00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1.45:1:00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Secured Debt to EBITDA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than or equal to 2.50: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1.55:1:00</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Debt to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than or equal to 5.75: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7"/>
              </w:rPr>
            </w:pPr>
            <w:r>
              <w:rPr>
                <w:rFonts w:ascii="Arial;sans-serif" w:hAnsi="Arial;sans-serif"/>
                <w:b w:val="false"/>
                <w:color w:val="000000"/>
                <w:sz w:val="17"/>
              </w:rPr>
              <w:t>5.47:1:00</w:t>
            </w:r>
          </w:p>
        </w:tc>
      </w:tr>
    </w:tbl>
    <w:p>
      <w:pPr>
        <w:pStyle w:val="TextBody"/>
        <w:bidi w:val="0"/>
        <w:spacing w:lineRule="auto" w:line="288" w:before="0" w:after="0"/>
        <w:jc w:val="both"/>
        <w:rPr>
          <w:rFonts w:ascii="Arial;sans-serif" w:hAnsi="Arial;sans-serif"/>
          <w:b w:val="false"/>
          <w:i/>
          <w:color w:val="000000"/>
          <w:sz w:val="20"/>
          <w:u w:val="single"/>
        </w:rPr>
      </w:pPr>
      <w:r>
        <w:rPr>
          <w:rFonts w:ascii="Arial;sans-serif" w:hAnsi="Arial;sans-serif"/>
          <w:b w:val="false"/>
          <w:i/>
          <w:color w:val="000000"/>
          <w:sz w:val="20"/>
          <w:u w:val="single"/>
        </w:rPr>
        <w:t>Long-Term Debt and Interest Rates</w:t>
      </w:r>
    </w:p>
    <w:p>
      <w:pPr>
        <w:pStyle w:val="TextBody"/>
        <w:bidi w:val="0"/>
        <w:spacing w:lineRule="auto" w:line="288" w:before="240" w:after="283"/>
        <w:jc w:val="both"/>
        <w:rPr/>
      </w:pPr>
      <w:r>
        <w:rPr>
          <w:rFonts w:ascii="Arial;sans-serif" w:hAnsi="Arial;sans-serif"/>
          <w:b w:val="false"/>
          <w:color w:val="000000"/>
          <w:sz w:val="20"/>
        </w:rPr>
        <w:t>The following table provides the Company’s outstanding long-term debt and effective interest rates at December 31, 2025 and December 31, 2024</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260"/>
        <w:gridCol w:w="1055"/>
        <w:gridCol w:w="1067"/>
        <w:gridCol w:w="573"/>
        <w:gridCol w:w="573"/>
        <w:gridCol w:w="575"/>
        <w:gridCol w:w="109"/>
        <w:gridCol w:w="109"/>
        <w:gridCol w:w="109"/>
        <w:gridCol w:w="196"/>
        <w:gridCol w:w="871"/>
        <w:gridCol w:w="109"/>
        <w:gridCol w:w="109"/>
        <w:gridCol w:w="109"/>
        <w:gridCol w:w="109"/>
        <w:gridCol w:w="573"/>
        <w:gridCol w:w="573"/>
        <w:gridCol w:w="575"/>
        <w:gridCol w:w="109"/>
        <w:gridCol w:w="109"/>
        <w:gridCol w:w="109"/>
        <w:gridCol w:w="196"/>
        <w:gridCol w:w="871"/>
        <w:gridCol w:w="157"/>
      </w:tblGrid>
      <w:tr>
        <w:trPr/>
        <w:tc>
          <w:tcPr>
            <w:tcW w:w="12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r>
      <w:tr>
        <w:trPr/>
        <w:tc>
          <w:tcPr>
            <w:tcW w:w="3382"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599" w:type="dxa"/>
            <w:gridSpan w:val="12"/>
            <w:tcBorders/>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Interest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 Senior Notes</w:t>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1,000,000 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2032 Senior Notes</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2022 Term Loan</w:t>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2022 Revolving Credit Facility</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7"/>
              </w:rPr>
            </w:pPr>
            <w:r>
              <w:rPr>
                <w:rFonts w:ascii="Arial;sans-serif" w:hAnsi="Arial;sans-serif"/>
                <w:b w:val="false"/>
                <w:color w:val="000000"/>
                <w:sz w:val="17"/>
              </w:rPr>
              <w:t>7.62%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Unamortized premiums and debt issuance costs </w:t>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debt</w:t>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1,877,317 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1,774,290 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Current portion of long-term debt</w:t>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(1,774,290)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1,839,817 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The contractual annual maturities of the Company's debt obligations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3419" w:type="dxa"/>
        <w:jc w:val="center"/>
        <w:tblInd w:w="0" w:type="dxa"/>
        <w:tblLayout w:type="fixed"/>
        <w:tblCellMar>
          <w:top w:w="28" w:type="dxa"/>
          <w:left w:w="28" w:type="dxa"/>
          <w:bottom w:w="28" w:type="dxa"/>
          <w:right w:w="28" w:type="dxa"/>
        </w:tblCellMar>
      </w:tblPr>
      <w:tblGrid>
        <w:gridCol w:w="557"/>
        <w:gridCol w:w="490"/>
        <w:gridCol w:w="497"/>
        <w:gridCol w:w="109"/>
        <w:gridCol w:w="109"/>
        <w:gridCol w:w="109"/>
        <w:gridCol w:w="196"/>
        <w:gridCol w:w="871"/>
        <w:gridCol w:w="109"/>
        <w:gridCol w:w="109"/>
        <w:gridCol w:w="109"/>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2031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1,890,682 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Letters of credit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2022 Credit Facility allows for letters of credit in an aggregate face amount of up to $100 million. Letters of credit outstanding at December 31, 2025 and December 31, 2024 totaled $3.2 million and $3.5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1445"/>
                <wp:effectExtent l="0" t="0" r="0" b="0"/>
                <wp:wrapNone/>
                <wp:docPr id="170" name="Frame1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Debt Issuance Costs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Deferred debt issuance costs represent the costs incurred in connection with the Company's financing arrangements. Debt issuance costs associated with the 2022 Revolving Credit Facility are recorded in other noncurrent assets because the facility is a revolving arrangement. Debt issuance costs associated with the 2022 Term Loan and the Notes are recorded as a reduction of the related debt balances. In connection with entering into the Fifth Amendment in December 2025, the Company incurred approximately $5.0 million of deferred financing costs. </w:t>
      </w:r>
    </w:p>
    <w:p>
      <w:pPr>
        <w:pStyle w:val="TextBody"/>
        <w:bidi w:val="0"/>
        <w:spacing w:lineRule="auto" w:line="288" w:before="180" w:after="283"/>
        <w:jc w:val="both"/>
        <w:rPr/>
      </w:pPr>
      <w:r>
        <w:rPr>
          <w:rFonts w:ascii="Arial;sans-serif" w:hAnsi="Arial;sans-serif"/>
          <w:b w:val="false"/>
          <w:color w:val="000000"/>
          <w:sz w:val="20"/>
        </w:rPr>
        <w:t>The following table summarizes debt issuance costs at December 31, 2025 and December 31, 2024, and the balance sheet classification in each of the periods presents (</w:t>
      </w:r>
      <w:r>
        <w:rPr>
          <w:rFonts w:ascii="Arial;sans-serif" w:hAnsi="Arial;sans-serif"/>
          <w:b w:val="false"/>
          <w:i/>
          <w:color w:val="000000"/>
          <w:sz w:val="20"/>
        </w:rPr>
        <w:t>in thousands</w:t>
      </w:r>
      <w:r>
        <w:rPr>
          <w:rFonts w:ascii="Arial;sans-serif" w:hAnsi="Arial;sans-serif"/>
          <w:b w:val="false"/>
          <w:color w:val="000000"/>
          <w:sz w:val="20"/>
        </w:rPr>
        <w:t>):</w:t>
      </w:r>
      <w:r>
        <w:rPr>
          <w:color w:val="000000"/>
        </w:rPr>
        <w:t xml:space="preserve"> </w:t>
      </w:r>
    </w:p>
    <w:tbl>
      <w:tblPr>
        <w:tblW w:w="4869" w:type="dxa"/>
        <w:jc w:val="center"/>
        <w:tblInd w:w="0" w:type="dxa"/>
        <w:tblLayout w:type="fixed"/>
        <w:tblCellMar>
          <w:top w:w="28" w:type="dxa"/>
          <w:left w:w="28" w:type="dxa"/>
          <w:bottom w:w="28" w:type="dxa"/>
          <w:right w:w="28" w:type="dxa"/>
        </w:tblCellMar>
      </w:tblPr>
      <w:tblGrid>
        <w:gridCol w:w="940"/>
        <w:gridCol w:w="824"/>
        <w:gridCol w:w="831"/>
        <w:gridCol w:w="196"/>
        <w:gridCol w:w="646"/>
        <w:gridCol w:w="109"/>
        <w:gridCol w:w="109"/>
        <w:gridCol w:w="109"/>
        <w:gridCol w:w="109"/>
        <w:gridCol w:w="196"/>
        <w:gridCol w:w="64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debt issuance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Accumulated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debt issuance costs,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sheet classification: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Lugano Financing Arrangements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described in “Note B— Summary of Significant Accounting Policies” and elsewhere in these consolidated financial statements, Lugano, through its former chief executive officer, entered into various financing arrangements with third parties that were not previously recorded as debt in Lugano’s historical financial statements. Certain arrangements were structured as purported joint investments in specific jewelry items, under which third parties made upfront payments in exchange for the right to receive a return of principal plus either (i) a profit share upon sale of the jewelry or (ii) interest upon liquidation prior to sale. Lugano also entered into other arrangements that involved cash receipts and payments that were recorded as accounts receivable collections, customer deposits, inventory purchases, or purchase deposits, which were inconsistent with the substance of the arrangements.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connection with the Lugano Investigation, the Company determined that transactions recorded in connection with these arrangements were not reflective of the underlying substance of the agreements, and the arrangements were accounted for as debt in the consolidated financial statements. Interest expense was recorded based on the underlying documentation, and where documentation was not available, interest was imputed based on relevant factors, including statutory default interest rates. For arrangements that provided for a profit share upon sale, interest expense was recorded based on cash payments when settled; the Company is unable to estimate potential profit share amounts for unsettled arrangements because the underlying sales transactions were not valid. </w:t>
      </w:r>
    </w:p>
    <w:p>
      <w:pPr>
        <w:pStyle w:val="TextBody"/>
        <w:bidi w:val="0"/>
        <w:spacing w:lineRule="auto" w:line="288" w:before="180" w:after="283"/>
        <w:jc w:val="both"/>
        <w:rPr/>
      </w:pPr>
      <w:r>
        <w:rPr>
          <w:rFonts w:ascii="Arial;sans-serif" w:hAnsi="Arial;sans-serif"/>
          <w:b w:val="false"/>
          <w:color w:val="000000"/>
          <w:sz w:val="20"/>
        </w:rPr>
        <w:t>The following table provides the Lugano financing arrangements and effective interest rates at December 31, 2024</w:t>
      </w:r>
      <w:r>
        <w:rPr>
          <w:color w:val="000000"/>
        </w:rPr>
        <w:t xml:space="preserve"> </w:t>
      </w:r>
      <w:r>
        <w:rPr>
          <w:rFonts w:ascii="Arial;sans-serif" w:hAnsi="Arial;sans-serif"/>
          <w:b w:val="false"/>
          <w:i/>
          <w:color w:val="000000"/>
          <w:sz w:val="20"/>
        </w:rPr>
        <w:t>(in thousands)</w:t>
      </w:r>
      <w:r>
        <w:rPr>
          <w:rFonts w:ascii="Arial;sans-serif" w:hAnsi="Arial;sans-serif"/>
          <w:b w:val="false"/>
          <w:color w:val="000000"/>
          <w:sz w:val="20"/>
        </w:rPr>
        <w:t>:</w:t>
      </w:r>
    </w:p>
    <w:tbl>
      <w:tblPr>
        <w:tblW w:w="5672" w:type="dxa"/>
        <w:jc w:val="center"/>
        <w:tblInd w:w="0" w:type="dxa"/>
        <w:tblLayout w:type="fixed"/>
        <w:tblCellMar>
          <w:top w:w="28" w:type="dxa"/>
          <w:left w:w="28" w:type="dxa"/>
          <w:bottom w:w="28" w:type="dxa"/>
          <w:right w:w="28" w:type="dxa"/>
        </w:tblCellMar>
      </w:tblPr>
      <w:tblGrid>
        <w:gridCol w:w="874"/>
        <w:gridCol w:w="768"/>
        <w:gridCol w:w="772"/>
        <w:gridCol w:w="196"/>
        <w:gridCol w:w="736"/>
        <w:gridCol w:w="109"/>
        <w:gridCol w:w="109"/>
        <w:gridCol w:w="109"/>
        <w:gridCol w:w="109"/>
        <w:gridCol w:w="553"/>
        <w:gridCol w:w="553"/>
        <w:gridCol w:w="784"/>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shd w:fill="FFFFFF" w:val="clear"/>
              </w:rPr>
            </w:pPr>
            <w:r>
              <w:rPr>
                <w:rFonts w:ascii="Arial;sans-serif" w:hAnsi="Arial;sans-serif"/>
                <w:b/>
                <w:color w:val="000000"/>
                <w:sz w:val="17"/>
                <w:shd w:fill="FFFFFF" w:val="clear"/>
              </w:rPr>
              <w:t>December 31, 2024</w:t>
            </w:r>
          </w:p>
        </w:tc>
      </w:tr>
      <w:tr>
        <w:trPr/>
        <w:tc>
          <w:tcPr>
            <w:tcW w:w="2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shd w:fill="FFFFFF" w:val="clear"/>
              </w:rPr>
            </w:pPr>
            <w:r>
              <w:rPr>
                <w:rFonts w:ascii="Arial;sans-serif" w:hAnsi="Arial;sans-serif"/>
                <w:b/>
                <w:color w:val="000000"/>
                <w:sz w:val="16"/>
                <w:shd w:fill="FFFFFF" w:val="clear"/>
              </w:rPr>
              <w:t>Effective Interest Rate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 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1445"/>
                <wp:effectExtent l="0" t="0" r="0" b="0"/>
                <wp:wrapNone/>
                <wp:docPr id="171" name="Frame1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details the components of interest expense in each of the years ended December 31, 2025, 2024 and 2023:</w:t>
      </w:r>
    </w:p>
    <w:tbl>
      <w:tblPr>
        <w:tblW w:w="6806" w:type="dxa"/>
        <w:jc w:val="center"/>
        <w:tblInd w:w="0" w:type="dxa"/>
        <w:tblLayout w:type="fixed"/>
        <w:tblCellMar>
          <w:top w:w="28" w:type="dxa"/>
          <w:left w:w="28" w:type="dxa"/>
          <w:bottom w:w="28" w:type="dxa"/>
          <w:right w:w="28" w:type="dxa"/>
        </w:tblCellMar>
      </w:tblPr>
      <w:tblGrid>
        <w:gridCol w:w="1081"/>
        <w:gridCol w:w="949"/>
        <w:gridCol w:w="954"/>
        <w:gridCol w:w="196"/>
        <w:gridCol w:w="736"/>
        <w:gridCol w:w="109"/>
        <w:gridCol w:w="109"/>
        <w:gridCol w:w="109"/>
        <w:gridCol w:w="109"/>
        <w:gridCol w:w="196"/>
        <w:gridCol w:w="736"/>
        <w:gridCol w:w="109"/>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on credit facilities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on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Unused fee on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interest expense </w:t>
            </w:r>
            <w:r>
              <w:rPr>
                <w:rFonts w:ascii="Arial;sans-serif" w:hAnsi="Arial;sans-serif"/>
                <w:b/>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109,892 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40"/>
        <w:jc w:val="left"/>
        <w:rPr/>
      </w:pPr>
      <w:r>
        <w:rPr>
          <w:rFonts w:ascii="Arial;sans-serif" w:hAnsi="Arial;sans-serif"/>
          <w:b/>
          <w:color w:val="000000"/>
          <w:sz w:val="13"/>
        </w:rPr>
        <w:t xml:space="preserve">(1) </w:t>
      </w:r>
      <w:r>
        <w:rPr>
          <w:rFonts w:ascii="Arial;sans-serif" w:hAnsi="Arial;sans-serif"/>
          <w:b w:val="false"/>
          <w:color w:val="000000"/>
          <w:sz w:val="20"/>
        </w:rPr>
        <w:t>Other interest expense includes amounts related to Lugano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J – Defined Benefit Plan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the plan’s funded status and amounts recognized in the Company’s consolidated balance sheets at December 31, 2025 and 2024 :</w:t>
      </w:r>
    </w:p>
    <w:tbl>
      <w:tblPr>
        <w:tblW w:w="5289" w:type="dxa"/>
        <w:jc w:val="center"/>
        <w:tblInd w:w="0" w:type="dxa"/>
        <w:tblLayout w:type="fixed"/>
        <w:tblCellMar>
          <w:top w:w="28" w:type="dxa"/>
          <w:left w:w="28" w:type="dxa"/>
          <w:bottom w:w="28" w:type="dxa"/>
          <w:right w:w="28" w:type="dxa"/>
        </w:tblCellMar>
      </w:tblPr>
      <w:tblGrid>
        <w:gridCol w:w="1092"/>
        <w:gridCol w:w="959"/>
        <w:gridCol w:w="964"/>
        <w:gridCol w:w="196"/>
        <w:gridCol w:w="646"/>
        <w:gridCol w:w="109"/>
        <w:gridCol w:w="109"/>
        <w:gridCol w:w="109"/>
        <w:gridCol w:w="109"/>
        <w:gridCol w:w="196"/>
        <w:gridCol w:w="64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Arial;sans-serif" w:hAnsi="Arial;sans-serif"/>
                <w:b w:val="false"/>
                <w:i/>
                <w:color w:val="000000"/>
                <w:sz w:val="15"/>
              </w:rPr>
            </w:pPr>
            <w:r>
              <w:rPr>
                <w:rFonts w:ascii="Arial;sans-serif" w:hAnsi="Arial;sans-serif"/>
                <w:b w:val="false"/>
                <w:i/>
                <w:color w:val="000000"/>
                <w:sz w:val="15"/>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benefit obligation:</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Benefit obligation, 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Service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Actuarial (gain)/loss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Plan amendment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Employee contributions and transfer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Benefits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Settlement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Benefit obligation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Change in plan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Fair value of assets,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Actual return on plan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Company contribution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Employee contributions and transfer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Benefits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Settlement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translation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Fair value of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Funded status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1445"/>
                <wp:effectExtent l="0" t="0" r="0" b="0"/>
                <wp:wrapNone/>
                <wp:docPr id="172" name="Frame1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F-38</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unfunded liability of $3.3 million and $4.1 million at December 31, 2025 and 2024, respectively, is recognized in the consolidated balance sheets within other non-current liabilities. Net periodic benefit cost consists of the following:</w:t>
      </w:r>
    </w:p>
    <w:tbl>
      <w:tblPr>
        <w:tblW w:w="5967" w:type="dxa"/>
        <w:jc w:val="center"/>
        <w:tblInd w:w="0" w:type="dxa"/>
        <w:tblLayout w:type="fixed"/>
        <w:tblCellMar>
          <w:top w:w="28" w:type="dxa"/>
          <w:left w:w="28" w:type="dxa"/>
          <w:bottom w:w="28" w:type="dxa"/>
          <w:right w:w="28" w:type="dxa"/>
        </w:tblCellMar>
      </w:tblPr>
      <w:tblGrid>
        <w:gridCol w:w="1119"/>
        <w:gridCol w:w="983"/>
        <w:gridCol w:w="988"/>
        <w:gridCol w:w="196"/>
        <w:gridCol w:w="421"/>
        <w:gridCol w:w="109"/>
        <w:gridCol w:w="109"/>
        <w:gridCol w:w="109"/>
        <w:gridCol w:w="109"/>
        <w:gridCol w:w="196"/>
        <w:gridCol w:w="421"/>
        <w:gridCol w:w="109"/>
        <w:gridCol w:w="109"/>
        <w:gridCol w:w="109"/>
        <w:gridCol w:w="109"/>
        <w:gridCol w:w="196"/>
        <w:gridCol w:w="421"/>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Arial;sans-serif" w:hAnsi="Arial;sans-serif"/>
                <w:b w:val="false"/>
                <w:i/>
                <w:color w:val="000000"/>
                <w:sz w:val="15"/>
              </w:rPr>
            </w:pPr>
            <w:r>
              <w:rPr>
                <w:rFonts w:ascii="Arial;sans-serif" w:hAnsi="Arial;sans-serif"/>
                <w:b w:val="false"/>
                <w:i/>
                <w:color w:val="000000"/>
                <w:sz w:val="15"/>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Service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 (credit)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unrecognized gain (loss)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 of settlement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periodic benefit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Assumptions used to determine the benefit obligations and components of the net periodic benefit cost at December 31, 2025 and 2024:</w:t>
      </w:r>
    </w:p>
    <w:tbl>
      <w:tblPr>
        <w:tblW w:w="4216" w:type="dxa"/>
        <w:jc w:val="center"/>
        <w:tblInd w:w="0" w:type="dxa"/>
        <w:tblLayout w:type="fixed"/>
        <w:tblCellMar>
          <w:top w:w="28" w:type="dxa"/>
          <w:left w:w="28" w:type="dxa"/>
          <w:bottom w:w="28" w:type="dxa"/>
          <w:right w:w="28" w:type="dxa"/>
        </w:tblCellMar>
      </w:tblPr>
      <w:tblGrid>
        <w:gridCol w:w="868"/>
        <w:gridCol w:w="765"/>
        <w:gridCol w:w="767"/>
        <w:gridCol w:w="233"/>
        <w:gridCol w:w="233"/>
        <w:gridCol w:w="256"/>
        <w:gridCol w:w="109"/>
        <w:gridCol w:w="109"/>
        <w:gridCol w:w="109"/>
        <w:gridCol w:w="233"/>
        <w:gridCol w:w="233"/>
        <w:gridCol w:w="301"/>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Discount rate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Expected return on plan assets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Rate of compensation increase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considers the historical level of long-term returns and the current level of expected long-term returns for the plan assets, as well as the current and expected allocation of assets when developing its expected long-term rate of return on assets assumption. The assumptions used for the plan are based upon customary rates and practices for the location of the Company.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Arnold expects to contribute approximately $0.7 million to the defined benefit plan in 2026. </w:t>
      </w:r>
    </w:p>
    <w:p>
      <w:pPr>
        <w:pStyle w:val="TextBody"/>
        <w:bidi w:val="0"/>
        <w:spacing w:lineRule="auto" w:line="288" w:before="240" w:after="283"/>
        <w:jc w:val="both"/>
        <w:rPr/>
      </w:pPr>
      <w:r>
        <w:rPr>
          <w:rFonts w:ascii="Arial;sans-serif" w:hAnsi="Arial;sans-serif"/>
          <w:b w:val="false"/>
          <w:color w:val="000000"/>
          <w:sz w:val="20"/>
        </w:rPr>
        <w:t>The following presents the benefit payments which are expected to be paid for the plan in each year indicated (</w:t>
      </w:r>
      <w:r>
        <w:rPr>
          <w:rFonts w:ascii="Arial;sans-serif" w:hAnsi="Arial;sans-serif"/>
          <w:b w:val="false"/>
          <w:i/>
          <w:color w:val="000000"/>
          <w:sz w:val="20"/>
        </w:rPr>
        <w:t>in thousands</w:t>
      </w:r>
      <w:r>
        <w:rPr>
          <w:rFonts w:ascii="Arial;sans-serif" w:hAnsi="Arial;sans-serif"/>
          <w:b w:val="false"/>
          <w:color w:val="000000"/>
          <w:sz w:val="20"/>
        </w:rPr>
        <w:t>):</w:t>
      </w:r>
    </w:p>
    <w:tbl>
      <w:tblPr>
        <w:tblW w:w="1792" w:type="dxa"/>
        <w:jc w:val="center"/>
        <w:tblInd w:w="0" w:type="dxa"/>
        <w:tblLayout w:type="fixed"/>
        <w:tblCellMar>
          <w:top w:w="28" w:type="dxa"/>
          <w:left w:w="28" w:type="dxa"/>
          <w:bottom w:w="28" w:type="dxa"/>
          <w:right w:w="28" w:type="dxa"/>
        </w:tblCellMar>
      </w:tblPr>
      <w:tblGrid>
        <w:gridCol w:w="320"/>
        <w:gridCol w:w="281"/>
        <w:gridCol w:w="285"/>
        <w:gridCol w:w="196"/>
        <w:gridCol w:w="556"/>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Asset management objectives include maintaining an adequate level of diversification to reduce interest rate and market risk and providing adequate liquidity to meet immediate and future benefit payment requirements.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assets of the plan are reinsured in their entirety with Swiss Life Ltd. (“Swiss Life”) within the framework of the corresponding contracts with Swiss Life Collective BVG Foundation and Swiss Life Complementary Foundation. The assets are guaranteed by the insurance company and pooled with the assets of other participating employers.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1445"/>
                <wp:effectExtent l="0" t="0" r="0" b="0"/>
                <wp:wrapNone/>
                <wp:docPr id="173" name="Frame1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F-39</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allocation of pension plan assets by category in Swiss Life’s group life portfolio is as follows at December 31, 2025:</w:t>
      </w:r>
    </w:p>
    <w:tbl>
      <w:tblPr>
        <w:tblW w:w="3376" w:type="dxa"/>
        <w:jc w:val="center"/>
        <w:tblInd w:w="0" w:type="dxa"/>
        <w:tblLayout w:type="fixed"/>
        <w:tblCellMar>
          <w:top w:w="28" w:type="dxa"/>
          <w:left w:w="28" w:type="dxa"/>
          <w:bottom w:w="28" w:type="dxa"/>
          <w:right w:w="28" w:type="dxa"/>
        </w:tblCellMar>
      </w:tblPr>
      <w:tblGrid>
        <w:gridCol w:w="961"/>
        <w:gridCol w:w="845"/>
        <w:gridCol w:w="848"/>
        <w:gridCol w:w="209"/>
        <w:gridCol w:w="212"/>
        <w:gridCol w:w="301"/>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Fixed income bonds and securities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Real estate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Equities and investment funds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investments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240" w:after="300"/>
        <w:jc w:val="both"/>
        <w:rPr>
          <w:rFonts w:ascii="Arial;sans-serif" w:hAnsi="Arial;sans-serif"/>
          <w:b w:val="false"/>
          <w:color w:val="000000"/>
          <w:sz w:val="20"/>
        </w:rPr>
      </w:pPr>
      <w:r>
        <w:rPr>
          <w:rFonts w:ascii="Arial;sans-serif" w:hAnsi="Arial;sans-serif"/>
          <w:b w:val="false"/>
          <w:color w:val="000000"/>
          <w:sz w:val="20"/>
        </w:rPr>
        <w:t>The plan assets are pooled with assets of other participating employers and are not separable; therefore the fair values of the pension plan assets at December 31, 2025 and 2024 were considered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Note K — Stockholders' Equity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Trust Common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Trust is authorized to issue 500,000,000 Trust common shares and the LLC is authorized to issue a corresponding number of LLC interests. The Company will, at all times, have the identical number of LLC interests outstanding as Trust shares. Each Trust share represents an undivided beneficial interest in the Trust, and each Trust share is entitled to one vote per share on any matter with respect to which members of the LLC are entitled to vote. </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Private Placement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December 15, 2023, the Company completed the sale of 3,550,000 common shares in a private placement to </w:t>
      </w:r>
    </w:p>
    <w:p>
      <w:pPr>
        <w:pStyle w:val="TextBody"/>
        <w:bidi w:val="0"/>
        <w:spacing w:lineRule="auto" w:line="268" w:before="0" w:after="0"/>
        <w:jc w:val="both"/>
        <w:rPr/>
      </w:pPr>
      <w:r>
        <w:rPr>
          <w:rFonts w:ascii="Arial;sans-serif" w:hAnsi="Arial;sans-serif"/>
          <w:b w:val="false"/>
          <w:color w:val="000000"/>
          <w:sz w:val="20"/>
          <w:shd w:fill="FFFFFF" w:val="clear"/>
        </w:rPr>
        <w:t xml:space="preserve">Allspring Special Small Cap Value Fund </w:t>
      </w:r>
      <w:r>
        <w:rPr>
          <w:rFonts w:ascii="Arial;sans-serif" w:hAnsi="Arial;sans-serif"/>
          <w:b w:val="false"/>
          <w:color w:val="000000"/>
          <w:sz w:val="20"/>
        </w:rPr>
        <w:t xml:space="preserve">for consideration per share equal to $21.18 per share, or an aggregate sale price of approximately $75.2 million. In connection with the issuance of the shares, we paid a commission equal to 1% of the aggregate sales price, or approximately $0.8 million. The sale of the common shares was made pursuant to a subscription agreement pursuant to which the buyer agreed not to dispose of the common shares for a period of six months following the date of the private placement.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At-The-Market Equity Offering Program - common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September 5, 2024, the Company refreshed its at-the-market program for the common shares of the Trust, which was initially established on September 7, 2021, by filing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connection with refreshing the program, the Company entered into an Amended and Restated At Market Issuance Sales Agreement (the “Amended Common Sales Agreement”) with B. Riley Securities, Inc. ("B. Riley Securities"), Goldman Sachs &amp; Co. LLC ("Goldman") and TD Securities (USA) LLC (each a “Common Sales Agent” and, collectively, the “Common Sales Agents”). The Amended Common Sales Agreement provides that the Company may offer and sell Trust common shares from time to time through or to the Common Sales Agents, as sales agent or principal, up to $500 million, in amounts and at times to be determined by the Company. Pursuant to the Amended Common Sales Agreement, the shares may be offered and sold through each Common Sales Agent, acting separately, in ordinary brokers’ transactions, to or through a market maker, on or through the New York Stock Exchange ("NYSE")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year ended December 31, 2025, there were no sales of Trust common shares under the Amended Common Sales Agreement.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year ended December 31, 2024, the Company sold 381,957 Trust common shares under the Amended Common Sales Agreement. For the same period, the Company received total net proceeds of approximately $8.4 million from these sales, and incurred approximately $0.1 million in commissions payable to the Sales 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31445"/>
                <wp:effectExtent l="0" t="0" r="0" b="0"/>
                <wp:wrapNone/>
                <wp:docPr id="174" name="Frame1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F-40</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year ended December 31, 2023, there were no sales of Trust common shares under the Amended Common Sales Agreement as our at-the-market equity program is not operated when the Company is operating a share repurchase program.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incurred approximately $59.0 thousand, $0.6 million and $0.2 million in total expenses related to its at-the-market equity offering programs during the years ended December 31, 2025, 2024 and 2023,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 result of the commencement of the Lugano Investigation and related events, the Company determined during the quarter ended June 30, 2025 that it was unable to continue offering and selling its common shares under the Amended Common Sales Agreement.</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Share Repurchase Program</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October 15, 2024, the Board approved a share repurchase program authorizing the Company to repurchase, through December 31, 2024, subject to extension by the Board, up to $100 million of its outstanding common shares. The Company repurchased 416,320 shares for approximately $9.7 million during the year ended December 31, 2024. The share repurchase program expired on December 31,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January 2023, the Board approved a share repurchase program authorizing the Company to repurchase, through December 31, 2023, up to $50 million of its outstanding common shares. The Company repurchased 482,400 shares for approximately $9.2 million during the year ended December 31, 2023. The share repurchase program expired on December 31, 2023. </w:t>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Suspension of Distribution on Common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light of the Lugano Investigation and related matters, on May 27, 2025, the Company announced that it suspended the quarterly cash distribution historically paid to common shareholders in order to preserve cash and protect long-term value until such time as the Company’s board of directors deems it appropriate to resume such distributions.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Trust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Trust is authorized to issue up to 50,000,000 Trust preferred shares and the Company is authorized to issue a corresponding number of Trust Interests.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At-the-market equity offering program -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September 5, 2024, the Company refreshed its at-the-market program for certain Preferred Shares of the Trust, which was initially established in the first quarter of 2024, by filing a prospectus supplement pursuant to which the Company may, but has no obligation to, issue and sell up to $200 million of the Trust’s 7.250% Series A Preferred Shares (the “Series A Preferred Shares”), 7.875% Series B Preferred Shares (the “Series B Preferred Shares”), and 7.875% Series C Preferred Shares (the “Series C Preferred Shares” and together with the Series A Preferred Shares, the Series B Preferred Shares, and the Series C Preferred Shares, the “Preferred Shares”), each representing beneficial interests in the Trust. The at-the-market program for Preferred Shares of the Trust was initially established on March 20, 2024 and allowed for the issuance and sale of up to $100 million of the Trust’s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connection with refreshing the program, the Company entered into an Amended and Restated At Market Issuance Sales Agreement (the “Amended Preferred Sales Agreement”) with B. Riley Securities, Inc. (the “Preferred Sales Agent”). The Amended Preferred Sales Agreement provides that the Company may offer and sell Trust Preferred Shares from time to time through or to the Preferred Sales Agent, as sales agent or principal, up to $200 million, in amounts and at times to be determined by the Company. Pursuant to the Amended Preferred Sales Agreement, the shares may be offered and sold through the Preferred Sales Agent in ordinary brokers’ transactions, to or through a market maker, on or through the NYSE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31445"/>
                <wp:effectExtent l="0" t="0" r="0" b="0"/>
                <wp:wrapNone/>
                <wp:docPr id="175" name="Frame1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F-41</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rPr>
        <w:t xml:space="preserve">The following table reflects the activity in the preferred share at-the-market equity program during the years ended </w:t>
      </w:r>
      <w:r>
        <w:rPr>
          <w:rFonts w:ascii="Arial;sans-serif" w:hAnsi="Arial;sans-serif"/>
          <w:b w:val="false"/>
          <w:color w:val="000000"/>
          <w:sz w:val="20"/>
          <w:shd w:fill="FFFFFF" w:val="clear"/>
        </w:rPr>
        <w:t xml:space="preserve">December 31, 2025 and </w:t>
      </w:r>
      <w:r>
        <w:rPr>
          <w:rFonts w:ascii="Arial;sans-serif" w:hAnsi="Arial;sans-serif"/>
          <w:b w:val="false"/>
          <w:color w:val="000000"/>
          <w:sz w:val="20"/>
        </w:rPr>
        <w:t xml:space="preserve">2024 </w:t>
      </w:r>
      <w:r>
        <w:rPr>
          <w:rFonts w:ascii="Arial;sans-serif" w:hAnsi="Arial;sans-serif"/>
          <w:b w:val="false"/>
          <w:i/>
          <w:color w:val="000000"/>
          <w:sz w:val="20"/>
        </w:rPr>
        <w:t>(in thousands, except share data)</w:t>
      </w:r>
      <w:r>
        <w:rPr>
          <w:rFonts w:ascii="Arial;sans-serif" w:hAnsi="Arial;sans-serif"/>
          <w:b w:val="false"/>
          <w:color w:val="000000"/>
          <w:sz w:val="20"/>
        </w:rPr>
        <w:t>:</w:t>
      </w:r>
    </w:p>
    <w:tbl>
      <w:tblPr>
        <w:tblW w:w="7893" w:type="dxa"/>
        <w:jc w:val="center"/>
        <w:tblInd w:w="0" w:type="dxa"/>
        <w:tblLayout w:type="fixed"/>
        <w:tblCellMar>
          <w:top w:w="28" w:type="dxa"/>
          <w:left w:w="28" w:type="dxa"/>
          <w:bottom w:w="28" w:type="dxa"/>
          <w:right w:w="28" w:type="dxa"/>
        </w:tblCellMar>
      </w:tblPr>
      <w:tblGrid>
        <w:gridCol w:w="745"/>
        <w:gridCol w:w="654"/>
        <w:gridCol w:w="656"/>
        <w:gridCol w:w="109"/>
        <w:gridCol w:w="109"/>
        <w:gridCol w:w="109"/>
        <w:gridCol w:w="644"/>
        <w:gridCol w:w="644"/>
        <w:gridCol w:w="647"/>
        <w:gridCol w:w="131"/>
        <w:gridCol w:w="131"/>
        <w:gridCol w:w="131"/>
        <w:gridCol w:w="238"/>
        <w:gridCol w:w="785"/>
        <w:gridCol w:w="132"/>
        <w:gridCol w:w="131"/>
        <w:gridCol w:w="131"/>
        <w:gridCol w:w="131"/>
        <w:gridCol w:w="353"/>
        <w:gridCol w:w="1003"/>
        <w:gridCol w:w="279"/>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Twelve Months Ended December 31, 2025</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Number of Shares Sold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Proceeds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Commissions Paid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127,078 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B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1,331,522 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29,869 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1,152,584 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26,285 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2,611,184 </w:t>
            </w:r>
          </w:p>
        </w:tc>
        <w:tc>
          <w:tcPr>
            <w:tcW w:w="6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59,008 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1,206 </w:t>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29" w:type="dxa"/>
        <w:jc w:val="center"/>
        <w:tblInd w:w="0" w:type="dxa"/>
        <w:tblLayout w:type="fixed"/>
        <w:tblCellMar>
          <w:top w:w="28" w:type="dxa"/>
          <w:left w:w="28" w:type="dxa"/>
          <w:bottom w:w="28" w:type="dxa"/>
          <w:right w:w="28" w:type="dxa"/>
        </w:tblCellMar>
      </w:tblPr>
      <w:tblGrid>
        <w:gridCol w:w="745"/>
        <w:gridCol w:w="654"/>
        <w:gridCol w:w="656"/>
        <w:gridCol w:w="109"/>
        <w:gridCol w:w="109"/>
        <w:gridCol w:w="109"/>
        <w:gridCol w:w="644"/>
        <w:gridCol w:w="644"/>
        <w:gridCol w:w="647"/>
        <w:gridCol w:w="127"/>
        <w:gridCol w:w="127"/>
        <w:gridCol w:w="127"/>
        <w:gridCol w:w="229"/>
        <w:gridCol w:w="859"/>
        <w:gridCol w:w="127"/>
        <w:gridCol w:w="127"/>
        <w:gridCol w:w="127"/>
        <w:gridCol w:w="127"/>
        <w:gridCol w:w="353"/>
        <w:gridCol w:w="1003"/>
        <w:gridCol w:w="279"/>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Twelve Months Ended December 31, 2024</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Number of Shares Sold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Net Proceeds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Commissions Paid</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550,736 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12,832 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B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2,192,267 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2,154,081 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50,821 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4,897,084 </w:t>
            </w:r>
          </w:p>
        </w:tc>
        <w:tc>
          <w:tcPr>
            <w:tcW w:w="6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115,134 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2,400 </w:t>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incurred less than $0.1 million in total costs related to the preferred share at-the-market equity program during the year ended December 31, 2025, and approximately $0.3 million in total costs related to the preferred share at-the-market equity program during the year ended December 31,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a result of the commencement of the Lugano Investigation and related events, in April 2025 the Company discontinued offerings of Trust Preferred Shares under the Amended Preferred Sales Agreement.</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Series C Preferred Shares</w:t>
      </w:r>
    </w:p>
    <w:p>
      <w:pPr>
        <w:pStyle w:val="TextBody"/>
        <w:bidi w:val="0"/>
        <w:spacing w:lineRule="auto" w:line="288" w:before="120" w:after="283"/>
        <w:jc w:val="both"/>
        <w:rPr/>
      </w:pPr>
      <w:r>
        <w:rPr>
          <w:rFonts w:ascii="Arial;sans-serif" w:hAnsi="Arial;sans-serif"/>
          <w:b w:val="false"/>
          <w:color w:val="000000"/>
          <w:sz w:val="20"/>
        </w:rPr>
        <w:t>On November 20, 2019, the Trust issued 4,000,000 Series C Preferred Shares</w:t>
      </w:r>
      <w:r>
        <w:rPr>
          <w:color w:val="000000"/>
        </w:rPr>
        <w:t xml:space="preserve"> </w:t>
      </w:r>
      <w:r>
        <w:rPr>
          <w:rFonts w:ascii="Arial;sans-serif" w:hAnsi="Arial;sans-serif"/>
          <w:b w:val="false"/>
          <w:color w:val="000000"/>
          <w:sz w:val="20"/>
        </w:rPr>
        <w:t xml:space="preserve">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Board on January 30, April 30, July 30, and October 30 of each year, beginning on January 30, 2020, at a rate per annum of 7.875%. Distributions on the Series C Preferred Shares are cumulative and at December 31, 2025, $2.6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If a certain tax redemption event occurs prior to January 30, 2025, the Series C Preferred Shares may be redeemed at the Company's option, in whole but not in part, upon at least 30 days’ notice, within 60 days of the occurrence of such tax redemption event, at a price of $25.25 per share, plus accumulated and unpaid distributions to, but excluding, the redemption date. If a certain fundamental change related to the Series C Preferred Shares or the Company occurs (whether before, on or after January 30, 2025), the Company will be required to repurchase the Series C Preferred Shares at a price of $25.25 per share, plus accumulated and unpaid distributions to, but excluding, the date of purchase. If (i) a fundamental change occurs and (ii) the Company does not give notice prior to the 31st day following the fundamental change to repurchase all the outstanding Series C Preferred Shares, the distribution rate per annum on the Series C Preferred Shares will increase by 5.00%, beginning on the 31st day following such fundamental change. Notwithstanding any requirement that the Company repurchase all of the outstanding Series C Preferred Shares, the increase in the distribution rate is the sole remedy to holders in the event the Company fails to do so, and following any such increase, the Company will be under no obligation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31445"/>
                <wp:effectExtent l="0" t="0" r="0" b="0"/>
                <wp:wrapNone/>
                <wp:docPr id="176" name="Frame1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repurchase any Series C Preferred Shares.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Series B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March 13, 2018, the Trust issued 4,000,000 Series B Preferred Shares with a liquidation preference of $25.00 per share, for gross proceeds of $100.0 million, or $96.5 million net of underwriters' discount and issuance costs. Distributions on the Series B Preferred Shares are payable quarterly in arrears, when and as declared by the Board on January 30, April 30, July 30, and October 30 of each year, beginning on July 30, 2018, at a rate per annum of 7.875%. Holders of the Series B Preferred Shares are entitled to receive cumulative cash distributions (i) from and including the date of issuance to, but excluding, April 30, 2028 at a rate equal to 7.875% per annum and (ii) from and including April 30, 2028, at a floating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rate equal to the then applicable three-month LIBOR (or a successor rate) plus a spread of 4.985% per annum. Subsequent to April 30, 2028, the distribution rate will be reset quarterly. At December 31, 2025, $2.5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Series B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If a certain tax redemption event occurs prior to April 30, 2028, the Series B Preferred Shares may be redeemed at the Company's option, in whole but not in part, upon at least 30 days’ notice, within 60 days of the occurrence of such tax redemption event, at a price of $25.25 per share, plus accumulated and unpaid distributions to, but excluding, the redemption date. If a certain fundamental change related to the Series B Preferred Shares or the Company occurs (whether before, on or after April 30, 2028), the Company will be required to repurchase the Series B Preferred Shares at a price of $25.25 per share, plus accumulated and unpaid distributions to, but excluding, the date of purchase. If (i) a fundamental change occurs and (ii) the Company does not give notice prior to the 31st day following the fundamental change to repurchase all the outstanding Series B Preferred Shares, the distribution rate per annum on the Series B Preferred Shares will increase by 5.00%, beginning on the 31st day following such fundamental change. Notwithstanding any requirement that the Company repurchase all of the outstanding Series B Preferred Shares, the increase in the distribution rate is the sole remedy to holders in the event the Company fails to do so, and following any such increase, the Company will be under no obligation to repurchase any Series B Preferred Shares.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Series A Preferred Shares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June 28, 2017, the Trust issued 4,000,000 Series A Preferred Shares with a liquidation preference of $25.00 per share, for gross proceeds of $100.0 million, or $96.4 million net of underwriters' discount and issuance costs. When, and if declared by the Board,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does not declare the distribution before the scheduled record of date for the period, whether or not distributions are paid for any subsequent distribution periods with respect to the Series A Preferred Shares, or the Trust common shares. If the Board does not declare a distribution for the Series A Preferred Shares for a quarterly distribution period, during the remainder of that quarterly distribution period the Company cannot declare or pay distributions on the Trust common shares. The Series A Preferred Shares are not convertible into Trust common shares and have no voting rights, except in limited circumstances as provided for in the share designation for the Series A Preferred Shares.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Series A Preferred Shares may be redeemed at the Company's option, in whole or in part, at any time after July 30, 2022, at a price of $25.00 per share, plus declared and unpaid distribution to, but excluding, the redemption date, without payment of any undeclared distributions. Holders of Series A Preferred Shares will have no right to require the redemption of the Series A Preferred Shares and there is no maturity date.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If a certain tax redemption event occurs prior to July 30, 2022, the Series A Preferred Shares may be redeemed at the Company's option, in whole but not in part, upon at least 30 days’ notice, within 60 days of the occurrence of such tax redemption event, at a price of $25.25 per share, plus declared and unpaid distributions to, but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31445"/>
                <wp:effectExtent l="0" t="0" r="0" b="0"/>
                <wp:wrapNone/>
                <wp:docPr id="177" name="Frame1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redemption date, without payment of any undeclared distributions. If a certain fundamental change related to the Series A Preferred Shares or the Company occurs (whether before, on or after July 30, 2022), the Company will be required to repurchase the Series A Preferred Shares at a price of $25.25 per share, plus declared and unpaid distributions to, but excluding, the date of purchase, without payment of any undeclared distributions. If (i) a fundamental change occurs and (ii) the Company does not give notice prior to the 31st day following the fundamental change to repurchase all the outstanding Series A Preferred Shares, the distribution rate per annum on the Series A Preferred Shares will increase by 5.00%, beginning on the 31st day following such fundamental change. Notwithstanding any requirement that the Company repurchase all of the outstanding Series A Preferred Shares, the increase in the distribution rate is the sole remedy to holders in the event the Company fails to do so, and following any such increase, the Company will be under no obligation to repurchase any Series A Preferred Shares.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Allocation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Holders, through Sostratus LLC, are entitled to receive distributions pursuant to a profit allocation formula upon the occurrence of certain events. The distributions of the profit allocation is paid upon the occurrence of a Sale Event or, at the option of the Holders, upon a Holding Event. The Company records distributions of the profit allocation to the Holders upon occurrence of a Sale Event or Holding Event as dividends declared on Allocation Interests to stockholders’ equity when they are approved by the Board.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is a summary of the profit allocation payments made to the Holders of the Allocation Interest for Sale Events and Holding Events during the years ended December 31, 2024 and 2023. There were no profit allocation payments during the year ended December 31,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Year ended December 31, 2025</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deconsolidation of Lugano in November 2025 represented a Sale Event, however the calculation of the profit allocation payment resulted in a negative amount therefore no profit allocation payment was due to the Holders. The negative amount will offset future profit allocation payments due to the Holders.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Year ended December 31, 2024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sale of Ergobaby in December 2024 represented a Sale Event, however the calculation of the profit allocation payment resulted in a negative amount therefore no profit allocation payment was due to the Holders. The negative amount will offset future profit allocation payments due to the Holders.</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sale of Marucci in November 2023 represented a Sale Event and the Board approved a distribution of $48.9 million in the f</w:t>
      </w:r>
      <w:r>
        <w:rPr>
          <w:rFonts w:ascii="Arial;sans-serif" w:hAnsi="Arial;sans-serif"/>
          <w:b w:val="false"/>
          <w:color w:val="000000"/>
          <w:sz w:val="20"/>
        </w:rPr>
        <w:t xml:space="preserve">irst quarter of 2024 (refer to </w:t>
      </w:r>
      <w:hyperlink w:anchor="i1c8fbf41abdb4a90b1f02abaa0b14bbd_277">
        <w:r>
          <w:rPr>
            <w:rStyle w:val="InternetLink"/>
            <w:rFonts w:ascii="Arial;sans-serif" w:hAnsi="Arial;sans-serif"/>
            <w:b w:val="false"/>
            <w:color w:val="0000FF"/>
            <w:sz w:val="20"/>
            <w:u w:val="single"/>
          </w:rPr>
          <w:t>Note E - "Dispositions"</w:t>
        </w:r>
      </w:hyperlink>
      <w:r>
        <w:rPr>
          <w:rFonts w:ascii="Arial;sans-serif" w:hAnsi="Arial;sans-serif"/>
          <w:b w:val="false"/>
          <w:color w:val="000000"/>
          <w:sz w:val="20"/>
        </w:rPr>
        <w:t>). This distribution was paid to the Holders of the Allocation Interests in the first quarter of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Year ended December 31, 2023</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sale of Advanced Circuits in February 2023 represented a Sale Event and the Board approved a distribution of $24.4 million paid to the Holders of the Allocation Interests in the second quarter of 2023 (refer to </w:t>
      </w:r>
      <w:hyperlink w:anchor="i1c8fbf41abdb4a90b1f02abaa0b14bbd_277">
        <w:r>
          <w:rPr>
            <w:rStyle w:val="InternetLink"/>
            <w:rFonts w:ascii="Arial;sans-serif" w:hAnsi="Arial;sans-serif"/>
            <w:b w:val="false"/>
            <w:color w:val="0000FF"/>
            <w:sz w:val="20"/>
            <w:u w:val="single"/>
          </w:rPr>
          <w:t>Note E - "Dispositions"</w:t>
        </w:r>
      </w:hyperlink>
      <w:r>
        <w:rPr>
          <w:rFonts w:ascii="Arial;sans-serif" w:hAnsi="Arial;sans-serif"/>
          <w:b w:val="false"/>
          <w:color w:val="000000"/>
          <w:sz w:val="20"/>
        </w:rPr>
        <w:t xml:space="preserv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Board approved a distribution of $2.1 million paid to the Holders of the Allocation Interests related to various sale proceeds received related to previous Sale Events. These distributions were in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31445"/>
                <wp:effectExtent l="0" t="0" r="0" b="0"/>
                <wp:wrapNone/>
                <wp:docPr id="178" name="Frame1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F-44</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Reconciliation of net income (loss) available to common shares of Holdings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reconciles net income from continuing operations attributable to Holdings to net income (loss) from continuing operations attributable to the common shares of Holdings:</w:t>
      </w:r>
    </w:p>
    <w:tbl>
      <w:tblPr>
        <w:tblW w:w="10163" w:type="dxa"/>
        <w:jc w:val="center"/>
        <w:tblInd w:w="0" w:type="dxa"/>
        <w:tblLayout w:type="fixed"/>
        <w:tblCellMar>
          <w:top w:w="28" w:type="dxa"/>
          <w:left w:w="28" w:type="dxa"/>
          <w:bottom w:w="28" w:type="dxa"/>
          <w:right w:w="28" w:type="dxa"/>
        </w:tblCellMar>
      </w:tblPr>
      <w:tblGrid>
        <w:gridCol w:w="2096"/>
        <w:gridCol w:w="1841"/>
        <w:gridCol w:w="1852"/>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120" w:after="283"/>
              <w:jc w:val="both"/>
              <w:rPr/>
            </w:pPr>
            <w:r>
              <w:rPr>
                <w:rFonts w:ascii="Arial;sans-serif" w:hAnsi="Arial;sans-serif"/>
                <w:b w:val="false"/>
                <w:color w:val="000000"/>
                <w:sz w:val="15"/>
              </w:rPr>
              <w:t>(</w:t>
            </w:r>
            <w:r>
              <w:rPr>
                <w:rFonts w:ascii="Arial;sans-serif" w:hAnsi="Arial;sans-serif"/>
                <w:b w:val="false"/>
                <w:i/>
                <w:color w:val="000000"/>
                <w:sz w:val="15"/>
              </w:rPr>
              <w:t>in thousands</w:t>
            </w:r>
            <w:r>
              <w:rPr>
                <w:rFonts w:ascii="Arial;sans-serif" w:hAnsi="Arial;sans-serif"/>
                <w:b w:val="false"/>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from continuing operations attributable to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(229,321)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(216,797)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(198,890)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Distributions paid - Allocation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Distributions paid -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Accrued distributions -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from continuing operations attributable to common shares of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(272,046)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(295,515)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(252,415)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Earnings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Basic and diluted earnings per share for the fiscal year ended December 31, 2025, 2024 and 2023 is calculated as follows:</w:t>
      </w:r>
    </w:p>
    <w:tbl>
      <w:tblPr>
        <w:tblW w:w="9956" w:type="dxa"/>
        <w:jc w:val="center"/>
        <w:tblInd w:w="0" w:type="dxa"/>
        <w:tblLayout w:type="fixed"/>
        <w:tblCellMar>
          <w:top w:w="28" w:type="dxa"/>
          <w:left w:w="28" w:type="dxa"/>
          <w:bottom w:w="28" w:type="dxa"/>
          <w:right w:w="28" w:type="dxa"/>
        </w:tblCellMar>
      </w:tblPr>
      <w:tblGrid>
        <w:gridCol w:w="2139"/>
        <w:gridCol w:w="1879"/>
        <w:gridCol w:w="1891"/>
        <w:gridCol w:w="196"/>
        <w:gridCol w:w="811"/>
        <w:gridCol w:w="109"/>
        <w:gridCol w:w="109"/>
        <w:gridCol w:w="109"/>
        <w:gridCol w:w="109"/>
        <w:gridCol w:w="196"/>
        <w:gridCol w:w="811"/>
        <w:gridCol w:w="109"/>
        <w:gridCol w:w="109"/>
        <w:gridCol w:w="109"/>
        <w:gridCol w:w="109"/>
        <w:gridCol w:w="196"/>
        <w:gridCol w:w="811"/>
        <w:gridCol w:w="154"/>
      </w:tblGrid>
      <w:tr>
        <w:trPr/>
        <w:tc>
          <w:tcPr>
            <w:tcW w:w="2139"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per share data)</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from continuing operations attributable to common shares of Holdings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(295,515)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(252,415)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Effect of contribution based profit—Holding Event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from continuing operations attributable to common shares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(273,062)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(257,700)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from discontinued operations attributable to Holdings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307,537 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Effect of contribution based profit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from discontinued operations of Holdings attributable to common shares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307,537 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diluted weighted average common shares of Holdings outstanding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fully diluted income (loss) per common share attributable to Holdings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Discontinued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both"/>
        <w:rPr>
          <w:rFonts w:ascii="Arial;sans-serif" w:hAnsi="Arial;sans-serif"/>
          <w:b/>
          <w:i/>
          <w:color w:val="000000"/>
          <w:sz w:val="20"/>
        </w:rPr>
      </w:pPr>
      <w:r>
        <w:rPr>
          <w:rFonts w:ascii="Arial;sans-serif" w:hAnsi="Arial;sans-serif"/>
          <w:b/>
          <w:i/>
          <w:color w:val="000000"/>
          <w:sz w:val="20"/>
        </w:rPr>
        <w:t>Distributions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information related to our quarterly cash distributions on our Trust common shares and Preferred Shares:</w:t>
      </w:r>
    </w:p>
    <w:tbl>
      <w:tblPr>
        <w:tblW w:w="10205" w:type="dxa"/>
        <w:jc w:val="left"/>
        <w:tblInd w:w="0" w:type="dxa"/>
        <w:tblLayout w:type="fixed"/>
        <w:tblCellMar>
          <w:top w:w="28" w:type="dxa"/>
          <w:left w:w="28" w:type="dxa"/>
          <w:bottom w:w="28" w:type="dxa"/>
          <w:right w:w="28" w:type="dxa"/>
        </w:tblCellMar>
      </w:tblPr>
      <w:tblGrid>
        <w:gridCol w:w="944"/>
        <w:gridCol w:w="759"/>
        <w:gridCol w:w="767"/>
        <w:gridCol w:w="109"/>
        <w:gridCol w:w="109"/>
        <w:gridCol w:w="109"/>
        <w:gridCol w:w="505"/>
        <w:gridCol w:w="1224"/>
        <w:gridCol w:w="263"/>
        <w:gridCol w:w="109"/>
        <w:gridCol w:w="109"/>
        <w:gridCol w:w="109"/>
        <w:gridCol w:w="369"/>
        <w:gridCol w:w="1262"/>
        <w:gridCol w:w="192"/>
        <w:gridCol w:w="109"/>
        <w:gridCol w:w="109"/>
        <w:gridCol w:w="109"/>
        <w:gridCol w:w="427"/>
        <w:gridCol w:w="416"/>
        <w:gridCol w:w="418"/>
        <w:gridCol w:w="109"/>
        <w:gridCol w:w="109"/>
        <w:gridCol w:w="109"/>
        <w:gridCol w:w="393"/>
        <w:gridCol w:w="393"/>
        <w:gridCol w:w="565"/>
      </w:tblGrid>
      <w:tr>
        <w:trPr/>
        <w:tc>
          <w:tcPr>
            <w:tcW w:w="9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 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Cash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Payment Date</w:t>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Trust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24, 2025</w:t>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2024 -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23, 2025</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 2024 -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24, 2024</w:t>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25, 2024</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25,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31445"/>
                <wp:effectExtent l="0" t="0" r="0" b="0"/>
                <wp:wrapNone/>
                <wp:docPr id="179" name="Frame1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F-45</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10108" w:type="dxa"/>
        <w:jc w:val="left"/>
        <w:tblInd w:w="0" w:type="dxa"/>
        <w:tblLayout w:type="fixed"/>
        <w:tblCellMar>
          <w:top w:w="28" w:type="dxa"/>
          <w:left w:w="28" w:type="dxa"/>
          <w:bottom w:w="28" w:type="dxa"/>
          <w:right w:w="28" w:type="dxa"/>
        </w:tblCellMar>
      </w:tblPr>
      <w:tblGrid>
        <w:gridCol w:w="1194"/>
        <w:gridCol w:w="1050"/>
        <w:gridCol w:w="1056"/>
        <w:gridCol w:w="109"/>
        <w:gridCol w:w="109"/>
        <w:gridCol w:w="109"/>
        <w:gridCol w:w="211"/>
        <w:gridCol w:w="1036"/>
        <w:gridCol w:w="109"/>
        <w:gridCol w:w="109"/>
        <w:gridCol w:w="109"/>
        <w:gridCol w:w="109"/>
        <w:gridCol w:w="211"/>
        <w:gridCol w:w="721"/>
        <w:gridCol w:w="109"/>
        <w:gridCol w:w="109"/>
        <w:gridCol w:w="109"/>
        <w:gridCol w:w="109"/>
        <w:gridCol w:w="509"/>
        <w:gridCol w:w="509"/>
        <w:gridCol w:w="511"/>
        <w:gridCol w:w="109"/>
        <w:gridCol w:w="109"/>
        <w:gridCol w:w="109"/>
        <w:gridCol w:w="460"/>
        <w:gridCol w:w="460"/>
        <w:gridCol w:w="6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1, 2023 - December 31,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25,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26, 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27, 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27, 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A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October 30, 2025 - January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2025 - October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2025 - July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2025 - April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2024 - January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2024 - October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2024 - July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2024 - April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2023 - January 29,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2023 - October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2023 - July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2023 -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B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October 30, 2025 - January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2025 - October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2025 - July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2025 - April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2024 - January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2024 - October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2024 - July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2024 - April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2023 - January 29,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2023 - October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2023 - July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2023 -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Series C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October 30, 2025 - January 29, 2026 </w:t>
            </w:r>
            <w:r>
              <w:rPr>
                <w:rFonts w:ascii="Arial;sans-serif" w:hAnsi="Arial;sans-serif"/>
                <w:b/>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2026</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2025 - October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2025 - July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2025 - April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2024 - January 29,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2024 - October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2024 - July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2024 - April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October 30, 2023 - January 29, 2024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30, 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30, 2023 - October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30, 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30, 2023 - July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30, 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30, 2023 - April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0.4921875 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30, 2023</w:t>
            </w:r>
          </w:p>
        </w:tc>
      </w:tr>
    </w:tbl>
    <w:p>
      <w:pPr>
        <w:pStyle w:val="TextBody"/>
        <w:bidi w:val="0"/>
        <w:spacing w:lineRule="auto" w:line="288" w:before="120" w:after="240"/>
        <w:jc w:val="left"/>
        <w:rPr/>
      </w:pPr>
      <w:r>
        <w:rPr>
          <w:rFonts w:ascii="Arial;sans-serif" w:hAnsi="Arial;sans-serif"/>
          <w:b/>
          <w:color w:val="000000"/>
          <w:sz w:val="16"/>
        </w:rPr>
        <w:t xml:space="preserve">(1) </w:t>
      </w:r>
      <w:r>
        <w:rPr>
          <w:rFonts w:ascii="Arial;sans-serif" w:hAnsi="Arial;sans-serif"/>
          <w:b w:val="false"/>
          <w:color w:val="000000"/>
          <w:sz w:val="20"/>
        </w:rPr>
        <w:t>This distribution was</w:t>
      </w:r>
      <w:r>
        <w:rPr>
          <w:color w:val="000000"/>
        </w:rPr>
        <w:t xml:space="preserve">     </w:t>
      </w:r>
      <w:r>
        <w:rPr>
          <w:rFonts w:ascii="Arial;sans-serif" w:hAnsi="Arial;sans-serif"/>
          <w:b w:val="false"/>
          <w:color w:val="000000"/>
          <w:sz w:val="20"/>
        </w:rPr>
        <w:t>declared on January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31445"/>
                <wp:effectExtent l="0" t="0" r="0" b="0"/>
                <wp:wrapNone/>
                <wp:docPr id="180" name="Frame1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Note L — Income Taxes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Components of the Company's income (loss) before income taxes are as follows:</w:t>
      </w:r>
    </w:p>
    <w:tbl>
      <w:tblPr>
        <w:tblW w:w="6939" w:type="dxa"/>
        <w:jc w:val="center"/>
        <w:tblInd w:w="0" w:type="dxa"/>
        <w:tblLayout w:type="fixed"/>
        <w:tblCellMar>
          <w:top w:w="28" w:type="dxa"/>
          <w:left w:w="28" w:type="dxa"/>
          <w:bottom w:w="28" w:type="dxa"/>
          <w:right w:w="28" w:type="dxa"/>
        </w:tblCellMar>
      </w:tblPr>
      <w:tblGrid>
        <w:gridCol w:w="929"/>
        <w:gridCol w:w="816"/>
        <w:gridCol w:w="820"/>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120" w:after="283"/>
              <w:jc w:val="both"/>
              <w:rPr/>
            </w:pPr>
            <w:r>
              <w:rPr>
                <w:rFonts w:ascii="Arial;sans-serif" w:hAnsi="Arial;sans-serif"/>
                <w:b w:val="false"/>
                <w:color w:val="000000"/>
                <w:sz w:val="15"/>
              </w:rPr>
              <w:t>(</w:t>
            </w:r>
            <w:r>
              <w:rPr>
                <w:rFonts w:ascii="Arial;sans-serif" w:hAnsi="Arial;sans-serif"/>
                <w:b w:val="false"/>
                <w:i/>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Domestic (including U.S. exports)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(312,944)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(358,855)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(304,300)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(297,579)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(309,210)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(266,453)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Components of the Company’s income tax provision are as follows:</w:t>
      </w:r>
    </w:p>
    <w:tbl>
      <w:tblPr>
        <w:tblW w:w="5453" w:type="dxa"/>
        <w:jc w:val="center"/>
        <w:tblInd w:w="0" w:type="dxa"/>
        <w:tblLayout w:type="fixed"/>
        <w:tblCellMar>
          <w:top w:w="28" w:type="dxa"/>
          <w:left w:w="28" w:type="dxa"/>
          <w:bottom w:w="28" w:type="dxa"/>
          <w:right w:w="28" w:type="dxa"/>
        </w:tblCellMar>
      </w:tblPr>
      <w:tblGrid>
        <w:gridCol w:w="575"/>
        <w:gridCol w:w="505"/>
        <w:gridCol w:w="509"/>
        <w:gridCol w:w="109"/>
        <w:gridCol w:w="109"/>
        <w:gridCol w:w="109"/>
        <w:gridCol w:w="196"/>
        <w:gridCol w:w="721"/>
        <w:gridCol w:w="109"/>
        <w:gridCol w:w="109"/>
        <w:gridCol w:w="109"/>
        <w:gridCol w:w="109"/>
        <w:gridCol w:w="196"/>
        <w:gridCol w:w="646"/>
        <w:gridCol w:w="109"/>
        <w:gridCol w:w="109"/>
        <w:gridCol w:w="109"/>
        <w:gridCol w:w="109"/>
        <w:gridCol w:w="196"/>
        <w:gridCol w:w="55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Current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current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31445"/>
                <wp:effectExtent l="0" t="0" r="0" b="0"/>
                <wp:wrapNone/>
                <wp:docPr id="181" name="Frame1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tax effects of temporary differences that have resulted in the creation of deferred tax assets and deferred tax liabilities at December 31, 2025 and 2024 are as follows:</w:t>
      </w:r>
    </w:p>
    <w:tbl>
      <w:tblPr>
        <w:tblW w:w="6113" w:type="dxa"/>
        <w:jc w:val="center"/>
        <w:tblInd w:w="0" w:type="dxa"/>
        <w:tblLayout w:type="fixed"/>
        <w:tblCellMar>
          <w:top w:w="28" w:type="dxa"/>
          <w:left w:w="28" w:type="dxa"/>
          <w:bottom w:w="28" w:type="dxa"/>
          <w:right w:w="28" w:type="dxa"/>
        </w:tblCellMar>
      </w:tblPr>
      <w:tblGrid>
        <w:gridCol w:w="1271"/>
        <w:gridCol w:w="1116"/>
        <w:gridCol w:w="1122"/>
        <w:gridCol w:w="196"/>
        <w:gridCol w:w="811"/>
        <w:gridCol w:w="109"/>
        <w:gridCol w:w="109"/>
        <w:gridCol w:w="109"/>
        <w:gridCol w:w="109"/>
        <w:gridCol w:w="196"/>
        <w:gridCol w:w="811"/>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240" w:after="283"/>
              <w:jc w:val="left"/>
              <w:rPr/>
            </w:pPr>
            <w:r>
              <w:rPr>
                <w:rFonts w:ascii="Arial;sans-serif" w:hAnsi="Arial;sans-serif"/>
                <w:b w:val="false"/>
                <w:color w:val="000000"/>
                <w:sz w:val="15"/>
              </w:rPr>
              <w:t>(</w:t>
            </w:r>
            <w:r>
              <w:rPr>
                <w:rFonts w:ascii="Arial;sans-serif" w:hAnsi="Arial;sans-serif"/>
                <w:b w:val="false"/>
                <w:i/>
                <w:color w:val="000000"/>
                <w:sz w:val="15"/>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credits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Accounts receivable and allowances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operating loss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limitation carryforwards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Inventory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Stock 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Capitalized research &amp;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Capital loss on sale of Crosman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Loss at Trust </w:t>
            </w:r>
            <w:r>
              <w:rPr>
                <w:rFonts w:ascii="Arial;sans-serif" w:hAnsi="Arial;sans-serif"/>
                <w:b/>
                <w:color w:val="000000"/>
                <w:sz w:val="11"/>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Lugano other expense </w:t>
            </w:r>
            <w:r>
              <w:rPr>
                <w:rFonts w:ascii="Arial;sans-serif" w:hAnsi="Arial;sans-serif"/>
                <w:b/>
                <w:color w:val="000000"/>
                <w:sz w:val="10"/>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deferred tax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285,167 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Valuation allowance </w:t>
            </w:r>
            <w:r>
              <w:rPr>
                <w:rFonts w:ascii="Arial;sans-serif" w:hAnsi="Arial;sans-serif"/>
                <w:b/>
                <w:color w:val="000000"/>
                <w:sz w:val="11"/>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deferred tax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tax liabilities:</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Intangible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Repatriation of foreign earnings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Prepaid and other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Right of 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deferred tax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(211,296)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deferred tax liability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(108,091)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color w:val="000000"/>
          <w:sz w:val="13"/>
        </w:rPr>
        <w:t>(1)</w:t>
      </w:r>
      <w:r>
        <w:rPr>
          <w:rFonts w:ascii="Arial;sans-serif" w:hAnsi="Arial;sans-serif"/>
          <w:b w:val="false"/>
          <w:color w:val="000000"/>
          <w:sz w:val="19"/>
        </w:rPr>
        <w:t>Primarily relates to the Trust and 5.11, Arn</w:t>
      </w:r>
      <w:r>
        <w:rPr>
          <w:rFonts w:ascii="Arial;sans-serif" w:hAnsi="Arial;sans-serif"/>
          <w:b w:val="false"/>
          <w:color w:val="000000"/>
          <w:sz w:val="19"/>
          <w:shd w:fill="FFFFFF" w:val="clear"/>
        </w:rPr>
        <w:t>old, Lugano (2024) and</w:t>
      </w:r>
      <w:r>
        <w:rPr>
          <w:color w:val="000000"/>
        </w:rPr>
        <w:t xml:space="preserve"> </w:t>
      </w:r>
      <w:r>
        <w:rPr>
          <w:rFonts w:ascii="Arial;sans-serif" w:hAnsi="Arial;sans-serif"/>
          <w:b w:val="false"/>
          <w:color w:val="000000"/>
          <w:sz w:val="19"/>
        </w:rPr>
        <w:t>Velocity operating segments.</w:t>
      </w:r>
    </w:p>
    <w:p>
      <w:pPr>
        <w:pStyle w:val="TextBody"/>
        <w:bidi w:val="0"/>
        <w:spacing w:lineRule="auto" w:line="288" w:before="120" w:after="283"/>
        <w:ind w:left="0" w:right="0" w:hanging="360"/>
        <w:jc w:val="left"/>
        <w:rPr/>
      </w:pPr>
      <w:r>
        <w:rPr>
          <w:rFonts w:ascii="Arial;sans-serif" w:hAnsi="Arial;sans-serif"/>
          <w:b/>
          <w:color w:val="000000"/>
          <w:sz w:val="12"/>
        </w:rPr>
        <w:t>(2)</w:t>
      </w:r>
      <w:r>
        <w:rPr>
          <w:rFonts w:ascii="Arial;sans-serif" w:hAnsi="Arial;sans-serif"/>
          <w:b w:val="false"/>
          <w:color w:val="000000"/>
          <w:sz w:val="19"/>
        </w:rPr>
        <w:t>Loss at Trust primarily relates to the effect of the deconsolidation of Lugano at the Trust level.</w:t>
      </w:r>
    </w:p>
    <w:p>
      <w:pPr>
        <w:pStyle w:val="TextBody"/>
        <w:bidi w:val="0"/>
        <w:spacing w:lineRule="auto" w:line="288" w:before="120" w:after="283"/>
        <w:jc w:val="both"/>
        <w:rPr/>
      </w:pPr>
      <w:r>
        <w:rPr>
          <w:rFonts w:ascii="Arial;sans-serif" w:hAnsi="Arial;sans-serif"/>
          <w:b/>
          <w:color w:val="000000"/>
          <w:sz w:val="13"/>
          <w:shd w:fill="FFFFFF" w:val="clear"/>
        </w:rPr>
        <w:t xml:space="preserve">(3) </w:t>
      </w:r>
      <w:r>
        <w:rPr>
          <w:rFonts w:ascii="Arial;sans-serif" w:hAnsi="Arial;sans-serif"/>
          <w:b w:val="false"/>
          <w:color w:val="000000"/>
          <w:sz w:val="19"/>
          <w:shd w:fill="FFFFFF" w:val="clear"/>
        </w:rPr>
        <w:t>Lugano other expense represents losses recognized at Lugano in the year ending December 31, 2024 which did not meet the requirements for deduction under ASC 740 - Income taxes. The deferred tax assets associated with Lugano were deconsolidated in November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December 31, 2025 and 2024, the Company had approximately $198.1 million and $211.3 million, respectively in deferred tax liabilities. A significant portion of the balance in deferred tax liabilities reflects temporary differences in the basis of property and equipment and intangible assets related to the Company’s purchase accounting adjustments in connection with the acquisition of certain of its businesses. For financial accounting purposes the Company has recognized a significant increase in the fair values of the intangible assets and property and equipment in certain of the businesses it acquired. For income tax purposes the existing, pre-acquisition tax basis of the intangible assets and property and equipment is utilized. In order to reflect the increase in the financial accounting basis over the existing tax basis, a deferred tax liability was recorded. This liability will decrease in future periods as these temporary differences reverse but may be replaced by deferred tax liabilities generated as a result of future acquisitions.</w:t>
      </w:r>
    </w:p>
    <w:p>
      <w:pPr>
        <w:pStyle w:val="TextBody"/>
        <w:bidi w:val="0"/>
        <w:spacing w:lineRule="auto" w:line="288" w:before="180" w:after="283"/>
        <w:jc w:val="both"/>
        <w:rPr/>
      </w:pPr>
      <w:r>
        <w:rPr>
          <w:rFonts w:ascii="Arial;sans-serif" w:hAnsi="Arial;sans-serif"/>
          <w:b w:val="false"/>
          <w:color w:val="000000"/>
          <w:sz w:val="20"/>
        </w:rPr>
        <w:t>At</w:t>
      </w:r>
      <w:r>
        <w:rPr>
          <w:color w:val="000000"/>
          <w:shd w:fill="FFFFFF" w:val="clear"/>
        </w:rPr>
        <w:t xml:space="preserve"> </w:t>
      </w:r>
      <w:r>
        <w:rPr>
          <w:rFonts w:ascii="Arial;sans-serif" w:hAnsi="Arial;sans-serif"/>
          <w:b w:val="false"/>
          <w:color w:val="000000"/>
          <w:sz w:val="20"/>
        </w:rPr>
        <w:t>December 31, 2025 and</w:t>
      </w:r>
      <w:r>
        <w:rPr>
          <w:color w:val="000000"/>
          <w:shd w:fill="FFFFFF" w:val="clear"/>
        </w:rPr>
        <w:t xml:space="preserve">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the Company had U.S. Federal net operating loss carryforwards of approximately $48.0 million and $121.6 million, respectively. Approximately $10.6 million of these carryforwards will expire, if not utilized, begin</w:t>
      </w:r>
      <w:r>
        <w:rPr>
          <w:rFonts w:ascii="Arial;sans-serif" w:hAnsi="Arial;sans-serif"/>
          <w:b w:val="false"/>
          <w:color w:val="000000"/>
          <w:sz w:val="20"/>
        </w:rPr>
        <w:t xml:space="preserve">ning in 2036. </w:t>
      </w:r>
      <w:r>
        <w:rPr>
          <w:rFonts w:ascii="Arial;sans-serif" w:hAnsi="Arial;sans-serif"/>
          <w:b w:val="false"/>
          <w:color w:val="000000"/>
          <w:sz w:val="20"/>
          <w:shd w:fill="FFFFFF" w:val="clear"/>
        </w:rPr>
        <w:t xml:space="preserve">The remaining balance of the Company's U.S. Federal net operating loss carryforwards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31445"/>
                <wp:effectExtent l="0" t="0" r="0" b="0"/>
                <wp:wrapNone/>
                <wp:docPr id="182" name="Frame1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F-48</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shd w:fill="FFFFFF" w:val="clear"/>
        </w:rPr>
        <w:t xml:space="preserve">do not expire </w:t>
      </w:r>
      <w:r>
        <w:rPr>
          <w:rFonts w:ascii="Arial;sans-serif" w:hAnsi="Arial;sans-serif"/>
          <w:b w:val="false"/>
          <w:color w:val="000000"/>
          <w:sz w:val="20"/>
        </w:rPr>
        <w:t xml:space="preserve">and are subject to utilization limitations based on a percentage of taxable income in a given year. As of December 31, 2025 and 2024, the Company had net operating loss carryforwards for state income tax purposes of </w:t>
      </w:r>
      <w:r>
        <w:rPr>
          <w:rFonts w:ascii="Arial;sans-serif" w:hAnsi="Arial;sans-serif"/>
          <w:b w:val="false"/>
          <w:color w:val="000000"/>
          <w:sz w:val="20"/>
          <w:shd w:fill="FFFFFF" w:val="clear"/>
        </w:rPr>
        <w:t>$75.8 million</w:t>
      </w:r>
      <w:r>
        <w:rPr>
          <w:color w:val="000000"/>
        </w:rPr>
        <w:t xml:space="preserve"> </w:t>
      </w:r>
      <w:r>
        <w:rPr>
          <w:rFonts w:ascii="Arial;sans-serif" w:hAnsi="Arial;sans-serif"/>
          <w:b w:val="false"/>
          <w:color w:val="000000"/>
          <w:sz w:val="20"/>
        </w:rPr>
        <w:t>and $149.5 million</w:t>
      </w:r>
      <w:r>
        <w:rPr>
          <w:rFonts w:ascii="Arial;sans-serif" w:hAnsi="Arial;sans-serif"/>
          <w:b w:val="false"/>
          <w:color w:val="000000"/>
          <w:sz w:val="20"/>
          <w:shd w:fill="FFFFFF" w:val="clear"/>
        </w:rPr>
        <w:t>, resp</w:t>
      </w:r>
      <w:r>
        <w:rPr>
          <w:rFonts w:ascii="Arial;sans-serif" w:hAnsi="Arial;sans-serif"/>
          <w:b w:val="false"/>
          <w:color w:val="000000"/>
          <w:sz w:val="20"/>
        </w:rPr>
        <w:t>ectively. The Company’s state net operating loss carryforwards will expire, if not utilized, b</w:t>
      </w:r>
      <w:r>
        <w:rPr>
          <w:rFonts w:ascii="Arial;sans-serif" w:hAnsi="Arial;sans-serif"/>
          <w:b w:val="false"/>
          <w:color w:val="000000"/>
          <w:sz w:val="20"/>
          <w:shd w:fill="FFFFFF" w:val="clear"/>
        </w:rPr>
        <w:t>eginning in 2026. As of December 31, 2025 and 2024, the Company had foreign net operating loss carryforwards of $14.4 million and $11.0 million, respectively. The foreign net operating loss carryforwards will expire, if not utilized, beginning in 2025. As of December 31, 2025, the Company had Federal capital loss carryforwards of $42.1 million. The Federal capital loss carryforwards will expire in 2029 if not utilized. As of December 31, 2025, the Company had State capital loss carryforwards of $17.1 million. The State capital loss carryforwards will expire in 2044 if not utilized.</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of December 31, 2025 and 2024, the Company had federal research and development tax credit carryforwards of $0.1 million and $0.2 million, respectively. The research and development tax credit carryforwards will expire beginning in 2044 if not utilized. As of December 31, 2025 and 2024, the Company had foreign tax credit carryforwards of $3.7 million and $2.0 million, respectively. The foreign tax credit carryforwards will expire beginning in 2031 if not utilized. As of December 31, 2025 and 2024, the Company had state tax credit carryforwards, consisting mostly of California business tax credits of $0.2 million and $0.8 million, respectively. The California business tax credit carryforwards will expire, if not utilized, beginning in 2025.</w:t>
      </w:r>
    </w:p>
    <w:p>
      <w:pPr>
        <w:pStyle w:val="TextBody"/>
        <w:bidi w:val="0"/>
        <w:spacing w:lineRule="auto" w:line="288" w:before="180" w:after="283"/>
        <w:jc w:val="both"/>
        <w:rPr/>
      </w:pPr>
      <w:r>
        <w:rPr>
          <w:rFonts w:ascii="Arial;sans-serif" w:hAnsi="Arial;sans-serif"/>
          <w:b w:val="false"/>
          <w:color w:val="000000"/>
          <w:sz w:val="20"/>
          <w:shd w:fill="FFFFFF" w:val="clear"/>
        </w:rPr>
        <w:t>As of December 31, 2025 and 2024, the Company had a valuation allowance related to the realization of domestic and foreign net operating losses, domestic and foreign tax credits and the limitation on the</w:t>
      </w:r>
      <w:r>
        <w:rPr>
          <w:color w:val="000000"/>
        </w:rPr>
        <w:t xml:space="preserve"> </w:t>
      </w:r>
      <w:r>
        <w:rPr>
          <w:rFonts w:ascii="Arial;sans-serif" w:hAnsi="Arial;sans-serif"/>
          <w:b w:val="false"/>
          <w:color w:val="000000"/>
          <w:sz w:val="20"/>
        </w:rPr>
        <w:t xml:space="preserve">deduction of interest expense of $202.8 million, $182.0 million, respectively. A valuation allowance is provided whenever it is more likely than not that some or all of deferred assets recorded may not be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31445"/>
                <wp:effectExtent l="0" t="0" r="0" b="0"/>
                <wp:wrapNone/>
                <wp:docPr id="183" name="Frame1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F-49</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reconciliation of the provision for income taxes to the amount computed by applying the U.S. Federal Statutory Rate to income before income taxes after the adoption of ASU 2023-09 is as follows:</w:t>
      </w:r>
    </w:p>
    <w:tbl>
      <w:tblPr>
        <w:tblW w:w="6719" w:type="dxa"/>
        <w:jc w:val="center"/>
        <w:tblInd w:w="0" w:type="dxa"/>
        <w:tblLayout w:type="fixed"/>
        <w:tblCellMar>
          <w:top w:w="28" w:type="dxa"/>
          <w:left w:w="28" w:type="dxa"/>
          <w:bottom w:w="28" w:type="dxa"/>
          <w:right w:w="28" w:type="dxa"/>
        </w:tblCellMar>
      </w:tblPr>
      <w:tblGrid>
        <w:gridCol w:w="1315"/>
        <w:gridCol w:w="1153"/>
        <w:gridCol w:w="1162"/>
        <w:gridCol w:w="275"/>
        <w:gridCol w:w="929"/>
        <w:gridCol w:w="153"/>
        <w:gridCol w:w="153"/>
        <w:gridCol w:w="153"/>
        <w:gridCol w:w="153"/>
        <w:gridCol w:w="270"/>
        <w:gridCol w:w="270"/>
        <w:gridCol w:w="733"/>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percentage)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United States Federal Statutory Rate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(62,491)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State income taxes (net of Federal benefits) </w:t>
            </w:r>
            <w:r>
              <w:rPr>
                <w:rFonts w:ascii="Arial;sans-serif" w:hAnsi="Arial;sans-serif"/>
                <w:b/>
                <w:color w:val="000000"/>
                <w:sz w:val="11"/>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(10,317)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Enactment of new tax laws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 of cross-border tax laws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Foreign-derived intangible income</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(3,194)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cross-border effects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Utilization of tax credits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Domestic change in valuation allowance</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205,274 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(69.0)</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 deductible items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Worldwide changes in unrecognized tax benefits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Adjustments:</w:t>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Deconsolidation of Lugano</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(137,096)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46.0 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1,360 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tax effects:</w:t>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change in valuation allowances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w:t>
            </w:r>
          </w:p>
        </w:tc>
        <w:tc>
          <w:tcPr>
            <w:tcW w:w="7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income tax rate</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0.3 </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lineRule="auto" w:line="288" w:before="180" w:after="283"/>
        <w:jc w:val="both"/>
        <w:rPr/>
      </w:pPr>
      <w:r>
        <w:rPr>
          <w:rFonts w:ascii="Arial;sans-serif" w:hAnsi="Arial;sans-serif"/>
          <w:b/>
          <w:color w:val="000000"/>
          <w:sz w:val="13"/>
        </w:rPr>
        <w:t xml:space="preserve">(1) </w:t>
      </w:r>
      <w:r>
        <w:rPr>
          <w:rFonts w:ascii="Arial;sans-serif" w:hAnsi="Arial;sans-serif"/>
          <w:b w:val="false"/>
          <w:color w:val="000000"/>
          <w:sz w:val="20"/>
        </w:rPr>
        <w:t>Connecticut contributes to a majority (greater than 50%) of the tax effect in this category.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 reconciliation of the provision for income taxes to the amount computed by applying the U.S. Federal Statutory Rate to income before income taxes for years prior to the adoption of ASU 2023-09 is as follows:</w:t>
      </w:r>
    </w:p>
    <w:tbl>
      <w:tblPr>
        <w:tblW w:w="6788" w:type="dxa"/>
        <w:jc w:val="center"/>
        <w:tblInd w:w="0" w:type="dxa"/>
        <w:tblLayout w:type="fixed"/>
        <w:tblCellMar>
          <w:top w:w="28" w:type="dxa"/>
          <w:left w:w="28" w:type="dxa"/>
          <w:bottom w:w="28" w:type="dxa"/>
          <w:right w:w="28" w:type="dxa"/>
        </w:tblCellMar>
      </w:tblPr>
      <w:tblGrid>
        <w:gridCol w:w="1528"/>
        <w:gridCol w:w="1338"/>
        <w:gridCol w:w="1348"/>
        <w:gridCol w:w="269"/>
        <w:gridCol w:w="271"/>
        <w:gridCol w:w="433"/>
        <w:gridCol w:w="184"/>
        <w:gridCol w:w="184"/>
        <w:gridCol w:w="184"/>
        <w:gridCol w:w="269"/>
        <w:gridCol w:w="271"/>
        <w:gridCol w:w="509"/>
      </w:tblGrid>
      <w:tr>
        <w:trPr/>
        <w:tc>
          <w:tcPr>
            <w:tcW w:w="1528"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Years ended 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United States Federal Statutory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State income taxes (net of Federal benefits)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Foreign income taxes </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Impact of subsidiary employee stock options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Non-deductible acquisition costs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(0.2)</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Impairment expense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Non-recognition of various carryforwards at subsidiaries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(28.6)</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(18.2)</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United States tax on foreign income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Dividend (net of dividend received deduction)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Utilization of tax credits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 effect – loss on sale of Crosman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0.3 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Effective income tax rate</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w:t>
            </w:r>
          </w:p>
        </w:tc>
      </w:tr>
    </w:tbl>
    <w:p>
      <w:pPr>
        <w:pStyle w:val="TextBody"/>
        <w:bidi w:val="0"/>
        <w:spacing w:before="40" w:after="283"/>
        <w:jc w:val="both"/>
        <w:rPr/>
      </w:pPr>
      <w:r>
        <w:rPr/>
      </w:r>
    </w:p>
    <w:p>
      <w:pPr>
        <w:pStyle w:val="TextBody"/>
        <w:bidi w:val="0"/>
        <w:spacing w:lineRule="auto" w:line="288" w:before="0" w:after="0"/>
        <w:jc w:val="both"/>
        <w:rPr/>
      </w:pPr>
      <w:r>
        <w:rPr>
          <w:rFonts w:ascii="Arial;sans-serif" w:hAnsi="Arial;sans-serif"/>
          <w:b w:val="false"/>
          <w:color w:val="000000"/>
          <w:sz w:val="19"/>
        </w:rPr>
        <w:t xml:space="preserve">A reconciliation of the amount of unrecognized tax benefits for 2025, 2024 and 2023 are as follows </w:t>
      </w:r>
      <w:r>
        <w:rPr>
          <w:rFonts w:ascii="Arial;sans-serif" w:hAnsi="Arial;sans-serif"/>
          <w:b w:val="false"/>
          <w:i/>
          <w:color w:val="000000"/>
          <w:sz w:val="19"/>
        </w:rPr>
        <w:t>(in thousands)</w:t>
      </w:r>
      <w:r>
        <w:rPr>
          <w:rFonts w:ascii="Times New Roman;serif" w:hAnsi="Times New Roman;serif"/>
          <w:b w:val="false"/>
          <w:i/>
          <w:color w:val="000000"/>
          <w:sz w:val="20"/>
        </w:rPr>
        <w:t xml:space="preserve">: </w:t>
      </w:r>
    </w:p>
    <w:tbl>
      <w:tblPr>
        <w:tblW w:w="3951" w:type="dxa"/>
        <w:jc w:val="left"/>
        <w:tblInd w:w="0" w:type="dxa"/>
        <w:tblLayout w:type="fixed"/>
        <w:tblCellMar>
          <w:top w:w="28" w:type="dxa"/>
          <w:left w:w="28" w:type="dxa"/>
          <w:bottom w:w="28" w:type="dxa"/>
          <w:right w:w="28" w:type="dxa"/>
        </w:tblCellMar>
      </w:tblPr>
      <w:tblGrid>
        <w:gridCol w:w="1102"/>
        <w:gridCol w:w="968"/>
        <w:gridCol w:w="975"/>
        <w:gridCol w:w="196"/>
        <w:gridCol w:w="55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January 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Additions for current years’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Additions for prior years’ tax positions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Reductions for prior years'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31445"/>
                <wp:effectExtent l="0" t="0" r="0" b="0"/>
                <wp:wrapNone/>
                <wp:docPr id="184" name="Frame1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F-50</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4581" w:type="dxa"/>
        <w:jc w:val="left"/>
        <w:tblInd w:w="0" w:type="dxa"/>
        <w:tblLayout w:type="fixed"/>
        <w:tblCellMar>
          <w:top w:w="28" w:type="dxa"/>
          <w:left w:w="28" w:type="dxa"/>
          <w:bottom w:w="28" w:type="dxa"/>
          <w:right w:w="28" w:type="dxa"/>
        </w:tblCellMar>
      </w:tblPr>
      <w:tblGrid>
        <w:gridCol w:w="1296"/>
        <w:gridCol w:w="1141"/>
        <w:gridCol w:w="1148"/>
        <w:gridCol w:w="196"/>
        <w:gridCol w:w="64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Reductions for expiration of statute of limitations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December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29,322 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Additions for current years’ tax positions</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7,802 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Additions for prior years’ tax positions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Reductions for prior years'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Reductions for expiration of statute of limitations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Additions for current years’ tax positions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Additions for prior years’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Reductions for prior years'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Reductions for expiration of statute of limitations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December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The</w:t>
      </w:r>
      <w:r>
        <w:rPr>
          <w:color w:val="000000"/>
          <w:shd w:fill="FFFFFF" w:val="clear"/>
        </w:rPr>
        <w:t xml:space="preserve"> </w:t>
      </w:r>
      <w:r>
        <w:rPr>
          <w:rFonts w:ascii="Arial;sans-serif" w:hAnsi="Arial;sans-serif"/>
          <w:b w:val="false"/>
          <w:color w:val="000000"/>
          <w:sz w:val="20"/>
          <w:shd w:fill="FFFFFF" w:val="clear"/>
        </w:rPr>
        <w:t xml:space="preserve">unrecognized tax benefits are recorded in the consolidated balance sheets in other noncurrent liabilities. </w:t>
      </w:r>
      <w:r>
        <w:rPr>
          <w:rFonts w:ascii="Arial;sans-serif" w:hAnsi="Arial;sans-serif"/>
          <w:b w:val="false"/>
          <w:color w:val="000000"/>
          <w:sz w:val="20"/>
        </w:rPr>
        <w:t xml:space="preserve">Included in the unrecognized tax benefits at December 31, 2025 and 2024, is </w:t>
      </w:r>
      <w:r>
        <w:rPr>
          <w:rFonts w:ascii="Arial;sans-serif" w:hAnsi="Arial;sans-serif"/>
          <w:b w:val="false"/>
          <w:color w:val="000000"/>
          <w:sz w:val="20"/>
          <w:shd w:fill="FFFFFF" w:val="clear"/>
        </w:rPr>
        <w:t>$1.7 million</w:t>
      </w:r>
      <w:r>
        <w:rPr>
          <w:rFonts w:ascii="Arial;sans-serif" w:hAnsi="Arial;sans-serif"/>
          <w:b w:val="false"/>
          <w:color w:val="000000"/>
          <w:sz w:val="20"/>
        </w:rPr>
        <w:t>, and $1.6 million</w:t>
      </w:r>
      <w:r>
        <w:rPr>
          <w:rFonts w:ascii="Arial;sans-serif" w:hAnsi="Arial;sans-serif"/>
          <w:b w:val="false"/>
          <w:color w:val="000000"/>
          <w:sz w:val="20"/>
          <w:shd w:fill="FFFFFF" w:val="clear"/>
        </w:rPr>
        <w:t>, respectively, of</w:t>
      </w:r>
      <w:r>
        <w:rPr>
          <w:color w:val="000000"/>
        </w:rPr>
        <w:t xml:space="preserve"> </w:t>
      </w:r>
      <w:r>
        <w:rPr>
          <w:rFonts w:ascii="Arial;sans-serif" w:hAnsi="Arial;sans-serif"/>
          <w:b w:val="false"/>
          <w:color w:val="000000"/>
          <w:sz w:val="20"/>
        </w:rPr>
        <w:t>tax benefits that, if recognized, would affect the Company’s effective tax rate. Also included in the unrecognized tax benefits at December 31, 2025</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December 31, 2024 are </w:t>
      </w:r>
      <w:r>
        <w:rPr>
          <w:rFonts w:ascii="Arial;sans-serif" w:hAnsi="Arial;sans-serif"/>
          <w:b w:val="false"/>
          <w:color w:val="000000"/>
          <w:sz w:val="20"/>
          <w:shd w:fill="FFFFFF" w:val="clear"/>
        </w:rPr>
        <w:t>$0.0 million</w:t>
      </w:r>
      <w:r>
        <w:rPr>
          <w:color w:val="000000"/>
        </w:rPr>
        <w:t xml:space="preserve"> </w:t>
      </w:r>
      <w:r>
        <w:rPr>
          <w:rFonts w:ascii="Arial;sans-serif" w:hAnsi="Arial;sans-serif"/>
          <w:b w:val="false"/>
          <w:color w:val="000000"/>
          <w:sz w:val="20"/>
        </w:rPr>
        <w:t>and</w:t>
      </w:r>
      <w:r>
        <w:rPr>
          <w:color w:val="000000"/>
          <w:shd w:fill="FFFFFF" w:val="clear"/>
        </w:rPr>
        <w:t xml:space="preserve"> </w:t>
      </w:r>
      <w:r>
        <w:rPr>
          <w:rFonts w:ascii="Arial;sans-serif" w:hAnsi="Arial;sans-serif"/>
          <w:b w:val="false"/>
          <w:color w:val="000000"/>
          <w:sz w:val="20"/>
          <w:shd w:fill="FFFFFF" w:val="clear"/>
        </w:rPr>
        <w:t xml:space="preserve">$7.4 million, respectively, of unrecognized tax benefits that, if recognized, would not affect the Company's effective tax rate but would result in an adjustment to discontinued operations in future periods. The $7.4 million in unrecognized tax benefits was recorded as a reduction to the gain on sale related to the sale of our Ergobaby subsidiary in the year ended December 31, 2024.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accrues interest and penalties related to uncertain tax positions. The amounts accrued at December 31, 2025 and 2024 are not material to the Company. Such amounts are included in the provision (benefit) for income taxes in the accompanying consolidated statements of operations. It is expected that the amount of unrecognized tax benefits will change in the next twelve months. However, we do not expect the change to have a significant impact on the consolidated results of operations or financial position.</w:t>
      </w:r>
    </w:p>
    <w:p>
      <w:pPr>
        <w:pStyle w:val="TextBody"/>
        <w:bidi w:val="0"/>
        <w:spacing w:lineRule="auto" w:line="288" w:before="180" w:after="120"/>
        <w:jc w:val="both"/>
        <w:rPr>
          <w:rFonts w:ascii="Arial;sans-serif" w:hAnsi="Arial;sans-serif"/>
          <w:b w:val="false"/>
          <w:color w:val="000000"/>
          <w:sz w:val="20"/>
        </w:rPr>
      </w:pPr>
      <w:r>
        <w:rPr>
          <w:rFonts w:ascii="Arial;sans-serif" w:hAnsi="Arial;sans-serif"/>
          <w:b w:val="false"/>
          <w:color w:val="000000"/>
          <w:sz w:val="20"/>
        </w:rPr>
        <w:t>Each of the Company’s businesses file U.S. Federal, state and foreign income tax returns in multiple jurisdictions with varying statutes of limitations. The 2020 through 2025 tax years generally remain subject to examinations by the taxing authorities.</w:t>
      </w:r>
    </w:p>
    <w:p>
      <w:pPr>
        <w:pStyle w:val="TextBody"/>
        <w:bidi w:val="0"/>
        <w:spacing w:lineRule="auto" w:line="288" w:before="18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amounts of cash income taxes paid by the Company in 2025 were as follows:</w:t>
      </w:r>
    </w:p>
    <w:tbl>
      <w:tblPr>
        <w:tblW w:w="4952" w:type="dxa"/>
        <w:jc w:val="center"/>
        <w:tblInd w:w="0" w:type="dxa"/>
        <w:tblLayout w:type="fixed"/>
        <w:tblCellMar>
          <w:top w:w="28" w:type="dxa"/>
          <w:left w:w="28" w:type="dxa"/>
          <w:bottom w:w="28" w:type="dxa"/>
          <w:right w:w="28" w:type="dxa"/>
        </w:tblCellMar>
      </w:tblPr>
      <w:tblGrid>
        <w:gridCol w:w="1315"/>
        <w:gridCol w:w="1155"/>
        <w:gridCol w:w="1159"/>
        <w:gridCol w:w="109"/>
        <w:gridCol w:w="109"/>
        <w:gridCol w:w="109"/>
        <w:gridCol w:w="196"/>
        <w:gridCol w:w="64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California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taxes paid, net of cash refunds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M — Fair Value Measurement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Recurring Fair Value Measurements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by level within the fair value hierarchy, the Company's financial assets and liabilities that are measured at fair value on a recurring basis as of December 31, 2025, according to the valuation technique utilized to determine their fair values. There were no assets or liabilities measured on a recurring basis as of December 31, 2024 or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31445"/>
                <wp:effectExtent l="0" t="0" r="0" b="0"/>
                <wp:wrapNone/>
                <wp:docPr id="185" name="Frame1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F-51</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7957" w:type="dxa"/>
        <w:jc w:val="center"/>
        <w:tblInd w:w="0" w:type="dxa"/>
        <w:tblLayout w:type="fixed"/>
        <w:tblCellMar>
          <w:top w:w="28" w:type="dxa"/>
          <w:left w:w="28" w:type="dxa"/>
          <w:bottom w:w="28" w:type="dxa"/>
          <w:right w:w="28" w:type="dxa"/>
        </w:tblCellMar>
      </w:tblPr>
      <w:tblGrid>
        <w:gridCol w:w="1194"/>
        <w:gridCol w:w="1050"/>
        <w:gridCol w:w="1055"/>
        <w:gridCol w:w="259"/>
        <w:gridCol w:w="856"/>
        <w:gridCol w:w="144"/>
        <w:gridCol w:w="109"/>
        <w:gridCol w:w="109"/>
        <w:gridCol w:w="109"/>
        <w:gridCol w:w="196"/>
        <w:gridCol w:w="406"/>
        <w:gridCol w:w="109"/>
        <w:gridCol w:w="109"/>
        <w:gridCol w:w="109"/>
        <w:gridCol w:w="109"/>
        <w:gridCol w:w="196"/>
        <w:gridCol w:w="406"/>
        <w:gridCol w:w="109"/>
        <w:gridCol w:w="109"/>
        <w:gridCol w:w="109"/>
        <w:gridCol w:w="109"/>
        <w:gridCol w:w="196"/>
        <w:gridCol w:w="64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shd w:fill="FFFFFF" w:val="clear"/>
              </w:rPr>
            </w:pPr>
            <w:r>
              <w:rPr>
                <w:rFonts w:ascii="Arial;sans-serif" w:hAnsi="Arial;sans-serif"/>
                <w:b/>
                <w:color w:val="000000"/>
                <w:sz w:val="17"/>
                <w:shd w:fill="FFFFFF" w:val="clear"/>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Assets: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 due from unconsolidated affiliate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investment in Lugano</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recorded at fair value</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Arial;sans-serif" w:hAnsi="Arial;sans-serif"/>
          <w:b w:val="false"/>
          <w:color w:val="000000"/>
          <w:sz w:val="20"/>
        </w:rPr>
        <w:t xml:space="preserve">The Company had no assets or liabilities Level 3 fair value measurements during the years ended December 31, 2024. </w:t>
      </w:r>
      <w:r>
        <w:rPr>
          <w:rFonts w:ascii="Arial;sans-serif" w:hAnsi="Arial;sans-serif"/>
          <w:b w:val="false"/>
          <w:color w:val="000000"/>
          <w:sz w:val="20"/>
          <w:shd w:fill="FFFFFF" w:val="clear"/>
        </w:rPr>
        <w:t xml:space="preserve">A reconciliation of the change in the carrying value of the Company's Level 3 fair value measurement during the year ended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is as follows:</w:t>
      </w:r>
    </w:p>
    <w:tbl>
      <w:tblPr>
        <w:tblW w:w="5770" w:type="dxa"/>
        <w:jc w:val="center"/>
        <w:tblInd w:w="0" w:type="dxa"/>
        <w:tblLayout w:type="fixed"/>
        <w:tblCellMar>
          <w:top w:w="28" w:type="dxa"/>
          <w:left w:w="28" w:type="dxa"/>
          <w:bottom w:w="28" w:type="dxa"/>
          <w:right w:w="28" w:type="dxa"/>
        </w:tblCellMar>
      </w:tblPr>
      <w:tblGrid>
        <w:gridCol w:w="1193"/>
        <w:gridCol w:w="1048"/>
        <w:gridCol w:w="1058"/>
        <w:gridCol w:w="109"/>
        <w:gridCol w:w="109"/>
        <w:gridCol w:w="109"/>
        <w:gridCol w:w="447"/>
        <w:gridCol w:w="1371"/>
        <w:gridCol w:w="326"/>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Balance at January 1st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Receivable due from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Equity investment - Lugano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Balance at December 31st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97,000 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Valuation Techniques</w:t>
      </w: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Receivable Due from Unconsolidated Affiliate (Secured Claim Against Lugano)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receivable due from an unconsolidated affiliate represents the Company’s estimate of the fair value of its secured claim related to intercompany loans to Lugano, which is currently subject to bankruptcy proceedings. The fair value measurement is classified within Level 3 of the fair value hierarchy due to the use of significant unobservable inputs.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Fair value was determined using a valuation approach that reflects management’s current expectations regarding recoveries from the bankruptcy proceedings. The estimate considers factors such as the priority and amount of secured and unsecured creditor claims and the expected timing of potential distributions. The valuation incorporates assumptions that are not directly observable in the marketplace and therefore require judgment, including estimates of recoverable amounts and the resolution of claims through the bankruptcy process. These assumptions reflect information available to management as of the measurement dates. Changes in these assumptions could affect the estimated fair value.</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Equity Investment in Lugano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equity investment in Lugano is measured at fair value on a recurring basis and is classified within Level 3 of the fair value hierarchy due to the use of significant unobservable inputs. As of the measurement date, which coincided with Lugano’s bankruptcy filing, and as of December 31, 2025, the fair value of the Company’s equity investment was estimated to be $0.</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Fair value was determined using estimates of projected cash flows that reflect management’s estimates of expected recoveries from the bankruptcy proceedings. Significant assumptions include projected cash flows available to equity holders, the priority and magnitude of secured and unsecured creditor claims, and the timing of any potential distributions. These inputs are not observable in the marketplace and require significant judgment.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Based on the estimated claims of secured and unsecured creditors, which significantly exceed expected recovery proceeds, no residual value was attributable to the Company’s equity interest as of the measurement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31445"/>
                <wp:effectExtent l="0" t="0" r="0" b="0"/>
                <wp:wrapNone/>
                <wp:docPr id="186" name="Frame1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Senior Notes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Senior Notes consisted of the following carrying value and estimated fair value (in thousands):</w:t>
      </w:r>
    </w:p>
    <w:tbl>
      <w:tblPr>
        <w:tblW w:w="10205" w:type="dxa"/>
        <w:jc w:val="center"/>
        <w:tblInd w:w="0" w:type="dxa"/>
        <w:tblLayout w:type="fixed"/>
        <w:tblCellMar>
          <w:top w:w="28" w:type="dxa"/>
          <w:left w:w="28" w:type="dxa"/>
          <w:bottom w:w="28" w:type="dxa"/>
          <w:right w:w="28" w:type="dxa"/>
        </w:tblCellMar>
      </w:tblPr>
      <w:tblGrid>
        <w:gridCol w:w="545"/>
        <w:gridCol w:w="479"/>
        <w:gridCol w:w="484"/>
        <w:gridCol w:w="109"/>
        <w:gridCol w:w="109"/>
        <w:gridCol w:w="109"/>
        <w:gridCol w:w="475"/>
        <w:gridCol w:w="475"/>
        <w:gridCol w:w="477"/>
        <w:gridCol w:w="109"/>
        <w:gridCol w:w="109"/>
        <w:gridCol w:w="109"/>
        <w:gridCol w:w="308"/>
        <w:gridCol w:w="308"/>
        <w:gridCol w:w="285"/>
        <w:gridCol w:w="109"/>
        <w:gridCol w:w="109"/>
        <w:gridCol w:w="109"/>
        <w:gridCol w:w="723"/>
        <w:gridCol w:w="723"/>
        <w:gridCol w:w="725"/>
        <w:gridCol w:w="109"/>
        <w:gridCol w:w="109"/>
        <w:gridCol w:w="109"/>
        <w:gridCol w:w="222"/>
        <w:gridCol w:w="1031"/>
        <w:gridCol w:w="115"/>
        <w:gridCol w:w="109"/>
        <w:gridCol w:w="109"/>
        <w:gridCol w:w="109"/>
        <w:gridCol w:w="211"/>
        <w:gridCol w:w="826"/>
        <w:gridCol w:w="158"/>
      </w:tblGrid>
      <w:tr>
        <w:trPr/>
        <w:tc>
          <w:tcPr>
            <w:tcW w:w="54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15,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276,386 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947,021 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2022 Term Loan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December 31, 2025, the carrying value of the principal under the Company's outstanding 2022 Term Loan, including the current portion, was $552.5 million, which approximates fair value because it bears interest at a variable interest rate that reflects changes in interest rates and changes in the Company's net leverage ratio. The estimated fair value of the outstanding 2022 Term Loan is classified as Level 2 in the fair value hierarchy.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Nonrecurring Fair Value Measurements</w:t>
      </w:r>
    </w:p>
    <w:p>
      <w:pPr>
        <w:pStyle w:val="TextBody"/>
        <w:bidi w:val="0"/>
        <w:spacing w:lineRule="auto" w:line="288" w:before="120" w:after="283"/>
        <w:jc w:val="both"/>
        <w:rPr/>
      </w:pPr>
      <w:r>
        <w:rPr>
          <w:rFonts w:ascii="Arial;sans-serif" w:hAnsi="Arial;sans-serif"/>
          <w:b w:val="false"/>
          <w:color w:val="000000"/>
          <w:sz w:val="20"/>
        </w:rPr>
        <w:t>The following table provides the assets and liabilities carried at fair value measured on a non-recurring basis as of December 31, 2025, December 31, 2024 and December 31, 2023. Refer to "</w:t>
      </w:r>
      <w:hyperlink w:anchor="i1c8fbf41abdb4a90b1f02abaa0b14bbd_286">
        <w:r>
          <w:rPr>
            <w:rStyle w:val="InternetLink"/>
            <w:rFonts w:ascii="Arial;sans-serif" w:hAnsi="Arial;sans-serif"/>
            <w:b w:val="false"/>
            <w:color w:val="0000FF"/>
            <w:sz w:val="20"/>
            <w:u w:val="single"/>
          </w:rPr>
          <w:t>Note H – Goodwill and Intangible Assets</w:t>
        </w:r>
      </w:hyperlink>
      <w:r>
        <w:rPr>
          <w:rFonts w:ascii="Arial;sans-serif" w:hAnsi="Arial;sans-serif"/>
          <w:b w:val="false"/>
          <w:color w:val="000000"/>
          <w:sz w:val="20"/>
        </w:rPr>
        <w:t xml:space="preserve">", for a description of the valuation techniques used to determine fair value of the assets measured on a non-recurring basis in the tables below. </w:t>
      </w:r>
    </w:p>
    <w:tbl>
      <w:tblPr>
        <w:tblW w:w="9230" w:type="dxa"/>
        <w:jc w:val="center"/>
        <w:tblInd w:w="0" w:type="dxa"/>
        <w:tblLayout w:type="fixed"/>
        <w:tblCellMar>
          <w:top w:w="28" w:type="dxa"/>
          <w:left w:w="28" w:type="dxa"/>
          <w:bottom w:w="28" w:type="dxa"/>
          <w:right w:w="28" w:type="dxa"/>
        </w:tblCellMar>
      </w:tblPr>
      <w:tblGrid>
        <w:gridCol w:w="1082"/>
        <w:gridCol w:w="949"/>
        <w:gridCol w:w="954"/>
        <w:gridCol w:w="243"/>
        <w:gridCol w:w="504"/>
        <w:gridCol w:w="135"/>
        <w:gridCol w:w="135"/>
        <w:gridCol w:w="135"/>
        <w:gridCol w:w="135"/>
        <w:gridCol w:w="220"/>
        <w:gridCol w:w="220"/>
        <w:gridCol w:w="221"/>
        <w:gridCol w:w="135"/>
        <w:gridCol w:w="135"/>
        <w:gridCol w:w="135"/>
        <w:gridCol w:w="219"/>
        <w:gridCol w:w="219"/>
        <w:gridCol w:w="221"/>
        <w:gridCol w:w="135"/>
        <w:gridCol w:w="135"/>
        <w:gridCol w:w="135"/>
        <w:gridCol w:w="243"/>
        <w:gridCol w:w="504"/>
        <w:gridCol w:w="135"/>
        <w:gridCol w:w="109"/>
        <w:gridCol w:w="109"/>
        <w:gridCol w:w="109"/>
        <w:gridCol w:w="318"/>
        <w:gridCol w:w="1051"/>
        <w:gridCol w:w="250"/>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Expense</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Carrying</w:t>
            </w:r>
          </w:p>
          <w:p>
            <w:pPr>
              <w:pStyle w:val="TableContents"/>
              <w:bidi w:val="0"/>
              <w:spacing w:lineRule="auto" w:line="240" w:before="0" w:after="0"/>
              <w:jc w:val="center"/>
              <w:rPr/>
            </w:pPr>
            <w:r>
              <w:rPr>
                <w:rFonts w:ascii="Arial;sans-serif" w:hAnsi="Arial;sans-serif"/>
                <w:b/>
                <w:color w:val="000000"/>
                <w:sz w:val="17"/>
              </w:rPr>
              <w:t xml:space="preserve">Value </w:t>
            </w:r>
            <w:r>
              <w:rPr>
                <w:rFonts w:ascii="Arial;sans-serif" w:hAnsi="Arial;sans-serif"/>
                <w:b/>
                <w:color w:val="000000"/>
                <w:sz w:val="11"/>
              </w:rPr>
              <w:t>(1)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Property, plant and equipment - Lugano</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29,631 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Right-of-use asset - Lugano</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Arial;sans-serif" w:hAnsi="Arial;sans-serif"/>
          <w:b/>
          <w:color w:val="000000"/>
          <w:sz w:val="13"/>
        </w:rPr>
        <w:t xml:space="preserve">(1) </w:t>
      </w:r>
      <w:r>
        <w:rPr>
          <w:rFonts w:ascii="Arial;sans-serif" w:hAnsi="Arial;sans-serif"/>
          <w:b w:val="false"/>
          <w:color w:val="000000"/>
          <w:sz w:val="18"/>
        </w:rPr>
        <w:t>Lugano recorded impairment expense in the second quarter of 2025 related to long-lived assets. As a result of the deconsolidation of Lugano on November 16, 2025, the carrying value of the related assets as of December 31, 2025 was $0.</w:t>
      </w:r>
    </w:p>
    <w:tbl>
      <w:tblPr>
        <w:tblW w:w="7699" w:type="dxa"/>
        <w:jc w:val="center"/>
        <w:tblInd w:w="0" w:type="dxa"/>
        <w:tblLayout w:type="fixed"/>
        <w:tblCellMar>
          <w:top w:w="28" w:type="dxa"/>
          <w:left w:w="28" w:type="dxa"/>
          <w:bottom w:w="28" w:type="dxa"/>
          <w:right w:w="28" w:type="dxa"/>
        </w:tblCellMar>
      </w:tblPr>
      <w:tblGrid>
        <w:gridCol w:w="527"/>
        <w:gridCol w:w="462"/>
        <w:gridCol w:w="465"/>
        <w:gridCol w:w="243"/>
        <w:gridCol w:w="504"/>
        <w:gridCol w:w="135"/>
        <w:gridCol w:w="135"/>
        <w:gridCol w:w="135"/>
        <w:gridCol w:w="135"/>
        <w:gridCol w:w="220"/>
        <w:gridCol w:w="220"/>
        <w:gridCol w:w="221"/>
        <w:gridCol w:w="135"/>
        <w:gridCol w:w="135"/>
        <w:gridCol w:w="135"/>
        <w:gridCol w:w="219"/>
        <w:gridCol w:w="219"/>
        <w:gridCol w:w="221"/>
        <w:gridCol w:w="135"/>
        <w:gridCol w:w="135"/>
        <w:gridCol w:w="135"/>
        <w:gridCol w:w="243"/>
        <w:gridCol w:w="504"/>
        <w:gridCol w:w="135"/>
        <w:gridCol w:w="109"/>
        <w:gridCol w:w="109"/>
        <w:gridCol w:w="109"/>
        <w:gridCol w:w="350"/>
        <w:gridCol w:w="994"/>
        <w:gridCol w:w="275"/>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Expense</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w:t>
              <w:br/>
              <w:t>Value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 Velocity</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23" w:type="dxa"/>
        <w:jc w:val="center"/>
        <w:tblInd w:w="0" w:type="dxa"/>
        <w:tblLayout w:type="fixed"/>
        <w:tblCellMar>
          <w:top w:w="28" w:type="dxa"/>
          <w:left w:w="28" w:type="dxa"/>
          <w:bottom w:w="28" w:type="dxa"/>
          <w:right w:w="28" w:type="dxa"/>
        </w:tblCellMar>
      </w:tblPr>
      <w:tblGrid>
        <w:gridCol w:w="739"/>
        <w:gridCol w:w="647"/>
        <w:gridCol w:w="653"/>
        <w:gridCol w:w="237"/>
        <w:gridCol w:w="891"/>
        <w:gridCol w:w="131"/>
        <w:gridCol w:w="111"/>
        <w:gridCol w:w="111"/>
        <w:gridCol w:w="111"/>
        <w:gridCol w:w="219"/>
        <w:gridCol w:w="219"/>
        <w:gridCol w:w="221"/>
        <w:gridCol w:w="111"/>
        <w:gridCol w:w="111"/>
        <w:gridCol w:w="111"/>
        <w:gridCol w:w="219"/>
        <w:gridCol w:w="219"/>
        <w:gridCol w:w="221"/>
        <w:gridCol w:w="111"/>
        <w:gridCol w:w="111"/>
        <w:gridCol w:w="111"/>
        <w:gridCol w:w="200"/>
        <w:gridCol w:w="751"/>
        <w:gridCol w:w="111"/>
        <w:gridCol w:w="109"/>
        <w:gridCol w:w="109"/>
        <w:gridCol w:w="109"/>
        <w:gridCol w:w="318"/>
        <w:gridCol w:w="1051"/>
        <w:gridCol w:w="250"/>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Expense</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Fair Value Measurements at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Carrying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2023</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 Velocity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31,591 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Goodwill - PrimaLoft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232,536 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57,810 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Intangible assets - Lugano</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Note N — Noncontrolling Interest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Noncontrolling interest represents the portion of a majority-owned subsidiary’s net income and equity that is owned by noncontrolling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31445"/>
                <wp:effectExtent l="0" t="0" r="0" b="0"/>
                <wp:wrapNone/>
                <wp:docPr id="187" name="Frame1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The following tables reflect the Company’s percentage ownership of its businesses, as of December 31, 2025, 2024 and 2023 and related noncontrolling interest balances as of December 31, 2025, 2024 and 2023:</w:t>
      </w:r>
    </w:p>
    <w:tbl>
      <w:tblPr>
        <w:tblW w:w="8007" w:type="dxa"/>
        <w:jc w:val="left"/>
        <w:tblInd w:w="0" w:type="dxa"/>
        <w:tblLayout w:type="fixed"/>
        <w:tblCellMar>
          <w:top w:w="28" w:type="dxa"/>
          <w:left w:w="28" w:type="dxa"/>
          <w:bottom w:w="28" w:type="dxa"/>
          <w:right w:w="28" w:type="dxa"/>
        </w:tblCellMar>
      </w:tblPr>
      <w:tblGrid>
        <w:gridCol w:w="562"/>
        <w:gridCol w:w="491"/>
        <w:gridCol w:w="461"/>
        <w:gridCol w:w="235"/>
        <w:gridCol w:w="235"/>
        <w:gridCol w:w="236"/>
        <w:gridCol w:w="175"/>
        <w:gridCol w:w="175"/>
        <w:gridCol w:w="175"/>
        <w:gridCol w:w="233"/>
        <w:gridCol w:w="233"/>
        <w:gridCol w:w="228"/>
        <w:gridCol w:w="109"/>
        <w:gridCol w:w="109"/>
        <w:gridCol w:w="109"/>
        <w:gridCol w:w="235"/>
        <w:gridCol w:w="235"/>
        <w:gridCol w:w="236"/>
        <w:gridCol w:w="175"/>
        <w:gridCol w:w="175"/>
        <w:gridCol w:w="175"/>
        <w:gridCol w:w="233"/>
        <w:gridCol w:w="233"/>
        <w:gridCol w:w="228"/>
        <w:gridCol w:w="109"/>
        <w:gridCol w:w="109"/>
        <w:gridCol w:w="109"/>
        <w:gridCol w:w="235"/>
        <w:gridCol w:w="235"/>
        <w:gridCol w:w="236"/>
        <w:gridCol w:w="172"/>
        <w:gridCol w:w="172"/>
        <w:gridCol w:w="172"/>
        <w:gridCol w:w="233"/>
        <w:gridCol w:w="233"/>
        <w:gridCol w:w="301"/>
      </w:tblGrid>
      <w:tr>
        <w:trPr/>
        <w:tc>
          <w:tcPr>
            <w:tcW w:w="5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 Ownership </w:t>
            </w:r>
            <w:r>
              <w:rPr>
                <w:rFonts w:ascii="Arial;sans-serif" w:hAnsi="Arial;sans-serif"/>
                <w:b/>
                <w:color w:val="000000"/>
                <w:sz w:val="11"/>
              </w:rPr>
              <w:t>(1)</w:t>
            </w:r>
          </w:p>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 Ownership </w:t>
            </w:r>
            <w:r>
              <w:rPr>
                <w:rFonts w:ascii="Arial;sans-serif" w:hAnsi="Arial;sans-serif"/>
                <w:b/>
                <w:color w:val="000000"/>
                <w:sz w:val="11"/>
              </w:rPr>
              <w:t>(1)</w:t>
            </w:r>
          </w:p>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 Ownership </w:t>
            </w:r>
            <w:r>
              <w:rPr>
                <w:rFonts w:ascii="Arial;sans-serif" w:hAnsi="Arial;sans-serif"/>
                <w:b/>
                <w:color w:val="000000"/>
                <w:sz w:val="11"/>
              </w:rPr>
              <w:t>(1)</w:t>
            </w:r>
          </w:p>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December 31, 2023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Fully</w:t>
              <w:b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Fully</w:t>
              <w:b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Primary</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Fully</w:t>
              <w:br/>
              <w:t>Diluted</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5.11 </w:t>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N/a</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N/a</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Sterno </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98.5 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99.4 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color w:val="000000"/>
          <w:sz w:val="13"/>
        </w:rPr>
        <w:t>(1)</w:t>
      </w:r>
      <w:r>
        <w:rPr>
          <w:rFonts w:ascii="Arial;sans-serif" w:hAnsi="Arial;sans-serif"/>
          <w:b w:val="false"/>
          <w:color w:val="000000"/>
          <w:sz w:val="19"/>
        </w:rPr>
        <w:t>The principal difference between primary and fully diluted percentages of our operating segments is due to stock option issuances of operating segment stock to management of the respective business.</w:t>
      </w:r>
    </w:p>
    <w:p>
      <w:pPr>
        <w:pStyle w:val="TextBody"/>
        <w:bidi w:val="0"/>
        <w:spacing w:before="0" w:after="0"/>
        <w:jc w:val="left"/>
        <w:rPr/>
      </w:pPr>
      <w:r>
        <w:rPr/>
      </w:r>
    </w:p>
    <w:tbl>
      <w:tblPr>
        <w:tblW w:w="4282" w:type="dxa"/>
        <w:jc w:val="center"/>
        <w:tblInd w:w="0" w:type="dxa"/>
        <w:tblLayout w:type="fixed"/>
        <w:tblCellMar>
          <w:top w:w="28" w:type="dxa"/>
          <w:left w:w="28" w:type="dxa"/>
          <w:bottom w:w="28" w:type="dxa"/>
          <w:right w:w="28" w:type="dxa"/>
        </w:tblCellMar>
      </w:tblPr>
      <w:tblGrid>
        <w:gridCol w:w="548"/>
        <w:gridCol w:w="483"/>
        <w:gridCol w:w="484"/>
        <w:gridCol w:w="220"/>
        <w:gridCol w:w="828"/>
        <w:gridCol w:w="121"/>
        <w:gridCol w:w="121"/>
        <w:gridCol w:w="121"/>
        <w:gridCol w:w="121"/>
        <w:gridCol w:w="219"/>
        <w:gridCol w:w="839"/>
        <w:gridCol w:w="177"/>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Noncontrolling Interest Balances</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b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br/>
              <w:t>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5.11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15,104 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15,103 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(268,595)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33,599 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32,133 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43,417 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41,869 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Sterno </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Allocation Interests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131,639 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(148,046)</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31445"/>
                <wp:effectExtent l="0" t="0" r="0" b="0"/>
                <wp:wrapNone/>
                <wp:docPr id="188" name="Frame1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F-54</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O — Supplemental Data</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Supplemental Balance Sheet Data: </w:t>
      </w:r>
    </w:p>
    <w:tbl>
      <w:tblPr>
        <w:tblW w:w="5093" w:type="dxa"/>
        <w:jc w:val="center"/>
        <w:tblInd w:w="0" w:type="dxa"/>
        <w:tblLayout w:type="fixed"/>
        <w:tblCellMar>
          <w:top w:w="28" w:type="dxa"/>
          <w:left w:w="28" w:type="dxa"/>
          <w:bottom w:w="28" w:type="dxa"/>
          <w:right w:w="28" w:type="dxa"/>
        </w:tblCellMar>
      </w:tblPr>
      <w:tblGrid>
        <w:gridCol w:w="954"/>
        <w:gridCol w:w="839"/>
        <w:gridCol w:w="846"/>
        <w:gridCol w:w="196"/>
        <w:gridCol w:w="736"/>
        <w:gridCol w:w="109"/>
        <w:gridCol w:w="109"/>
        <w:gridCol w:w="109"/>
        <w:gridCol w:w="109"/>
        <w:gridCol w:w="196"/>
        <w:gridCol w:w="73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Summary of accrued expenses</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payroll and fringe benefits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38,536 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rebates and 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Warranty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124,110 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Customer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698" w:type="dxa"/>
        <w:jc w:val="center"/>
        <w:tblInd w:w="0" w:type="dxa"/>
        <w:tblLayout w:type="fixed"/>
        <w:tblCellMar>
          <w:top w:w="28" w:type="dxa"/>
          <w:left w:w="28" w:type="dxa"/>
          <w:bottom w:w="28" w:type="dxa"/>
          <w:right w:w="28" w:type="dxa"/>
        </w:tblCellMar>
      </w:tblPr>
      <w:tblGrid>
        <w:gridCol w:w="565"/>
        <w:gridCol w:w="496"/>
        <w:gridCol w:w="498"/>
        <w:gridCol w:w="200"/>
        <w:gridCol w:w="569"/>
        <w:gridCol w:w="111"/>
        <w:gridCol w:w="111"/>
        <w:gridCol w:w="111"/>
        <w:gridCol w:w="111"/>
        <w:gridCol w:w="200"/>
        <w:gridCol w:w="569"/>
        <w:gridCol w:w="157"/>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Warranty liability</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Beginning balance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Accrual</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Warranty payments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Ending balance</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Supplemental Statements of Operations Data:</w:t>
      </w:r>
    </w:p>
    <w:tbl>
      <w:tblPr>
        <w:tblW w:w="6477" w:type="dxa"/>
        <w:jc w:val="center"/>
        <w:tblInd w:w="0" w:type="dxa"/>
        <w:tblLayout w:type="fixed"/>
        <w:tblCellMar>
          <w:top w:w="28" w:type="dxa"/>
          <w:left w:w="28" w:type="dxa"/>
          <w:bottom w:w="28" w:type="dxa"/>
          <w:right w:w="28" w:type="dxa"/>
        </w:tblCellMar>
      </w:tblPr>
      <w:tblGrid>
        <w:gridCol w:w="944"/>
        <w:gridCol w:w="832"/>
        <w:gridCol w:w="834"/>
        <w:gridCol w:w="196"/>
        <w:gridCol w:w="721"/>
        <w:gridCol w:w="109"/>
        <w:gridCol w:w="109"/>
        <w:gridCol w:w="109"/>
        <w:gridCol w:w="109"/>
        <w:gridCol w:w="196"/>
        <w:gridCol w:w="811"/>
        <w:gridCol w:w="109"/>
        <w:gridCol w:w="109"/>
        <w:gridCol w:w="109"/>
        <w:gridCol w:w="109"/>
        <w:gridCol w:w="196"/>
        <w:gridCol w:w="721"/>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Other income (expense), net</w:t>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currency gain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sale of capital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Sublease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equity method investment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Lugano expense</w:t>
            </w:r>
            <w:r>
              <w:rPr>
                <w:color w:val="000000"/>
              </w:rPr>
              <w:t xml:space="preserve"> </w:t>
            </w:r>
            <w:r>
              <w:rPr>
                <w:rFonts w:ascii="Arial;sans-serif" w:hAnsi="Arial;sans-serif"/>
                <w:b w:val="false"/>
                <w:color w:val="000000"/>
                <w:sz w:val="11"/>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(143,304)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(83,114)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color w:val="000000"/>
          <w:sz w:val="13"/>
        </w:rPr>
        <w:t xml:space="preserve">(1) </w:t>
      </w:r>
      <w:r>
        <w:rPr>
          <w:rFonts w:ascii="Arial;sans-serif" w:hAnsi="Arial;sans-serif"/>
          <w:b w:val="false"/>
          <w:color w:val="000000"/>
          <w:sz w:val="20"/>
        </w:rPr>
        <w:t xml:space="preserve">Lugano expense represents losses recognized at Lugano resulting from </w:t>
      </w:r>
      <w:r>
        <w:rPr>
          <w:rFonts w:ascii="Arial;sans-serif" w:hAnsi="Arial;sans-serif"/>
          <w:b w:val="false"/>
          <w:color w:val="000000"/>
          <w:sz w:val="20"/>
          <w:shd w:fill="FFFFFF" w:val="clear"/>
        </w:rPr>
        <w:t>the accounting for the transactions associated with the 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31445"/>
                <wp:effectExtent l="0" t="0" r="0" b="0"/>
                <wp:wrapNone/>
                <wp:docPr id="189" name="Frame1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F-55</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Supplemental Cash Flow Statement Data: </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following table provides supplemental disclosure of cash flow information for the years ended December 31, </w:t>
      </w:r>
      <w:r>
        <w:rPr>
          <w:rFonts w:ascii="Arial;sans-serif" w:hAnsi="Arial;sans-serif"/>
          <w:b w:val="false"/>
          <w:color w:val="000000"/>
          <w:sz w:val="20"/>
        </w:rPr>
        <w:t>2025</w:t>
      </w:r>
      <w:r>
        <w:rPr>
          <w:rFonts w:ascii="Arial;sans-serif" w:hAnsi="Arial;sans-serif"/>
          <w:b w:val="false"/>
          <w:color w:val="000000"/>
          <w:sz w:val="20"/>
          <w:shd w:fill="FFFFFF" w:val="clear"/>
        </w:rPr>
        <w:t xml:space="preserve">, </w:t>
      </w:r>
      <w:r>
        <w:rPr>
          <w:rFonts w:ascii="Arial;sans-serif" w:hAnsi="Arial;sans-serif"/>
          <w:b w:val="false"/>
          <w:color w:val="000000"/>
          <w:sz w:val="20"/>
        </w:rPr>
        <w:t>2024</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2023</w:t>
      </w:r>
      <w:r>
        <w:rPr>
          <w:rFonts w:ascii="Arial;sans-serif" w:hAnsi="Arial;sans-serif"/>
          <w:b w:val="false"/>
          <w:color w:val="000000"/>
          <w:sz w:val="20"/>
          <w:shd w:fill="FFFFFF" w:val="clear"/>
        </w:rPr>
        <w:t>:</w:t>
      </w:r>
    </w:p>
    <w:tbl>
      <w:tblPr>
        <w:tblW w:w="7197" w:type="dxa"/>
        <w:jc w:val="center"/>
        <w:tblInd w:w="0" w:type="dxa"/>
        <w:tblLayout w:type="fixed"/>
        <w:tblCellMar>
          <w:top w:w="28" w:type="dxa"/>
          <w:left w:w="28" w:type="dxa"/>
          <w:bottom w:w="28" w:type="dxa"/>
          <w:right w:w="28" w:type="dxa"/>
        </w:tblCellMar>
      </w:tblPr>
      <w:tblGrid>
        <w:gridCol w:w="1223"/>
        <w:gridCol w:w="1073"/>
        <w:gridCol w:w="1079"/>
        <w:gridCol w:w="196"/>
        <w:gridCol w:w="736"/>
        <w:gridCol w:w="109"/>
        <w:gridCol w:w="109"/>
        <w:gridCol w:w="109"/>
        <w:gridCol w:w="109"/>
        <w:gridCol w:w="196"/>
        <w:gridCol w:w="736"/>
        <w:gridCol w:w="109"/>
        <w:gridCol w:w="109"/>
        <w:gridCol w:w="109"/>
        <w:gridCol w:w="109"/>
        <w:gridCol w:w="196"/>
        <w:gridCol w:w="73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paid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Non-cash financing and investing activities </w:t>
            </w:r>
            <w:r>
              <w:rPr>
                <w:rFonts w:ascii="Arial;sans-serif" w:hAnsi="Arial;sans-serif"/>
                <w:b/>
                <w:color w:val="000000"/>
                <w:sz w:val="11"/>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3"/>
        </w:rPr>
        <w:t xml:space="preserve">(1) </w:t>
      </w:r>
      <w:r>
        <w:rPr>
          <w:rFonts w:ascii="Arial;sans-serif" w:hAnsi="Arial;sans-serif"/>
          <w:b w:val="false"/>
          <w:color w:val="000000"/>
          <w:sz w:val="20"/>
        </w:rPr>
        <w:t>Represents the non-cash settlement of Lugano financing arrangements.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Arnold Joint Venture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Arnold is a 50% partner in a China rare earth mine-to-magnet joint venture. Arnold accounts for its activity in the joint venture utilizing the equity method of accounting. Gains and losses from the joint venture were not material for the years ended December 31, 2025, 2024 and 2023.</w:t>
      </w:r>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Altor Solutions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September 2020, Altor invested $3.6 million in Rational Packaging, LLC, a designer and manufacturer of recyclable, paperboard-based structural packaging components. The investment was accounted for as an equity method investment. In 2024, Altor acquired the remaining equity interests in Rational Packaging, LLC and began accounting for Rational Packaging as a consolidated entity. Gains and losses from the investment were not material for the years ended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 xml:space="preserve">Note P — Commitments and Contingencies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General Matters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and its subsidiaries are subject to legal proceedings and claims that arise in the ordinary course of business. A liability for a loss contingency is accrued when it is both probable that a liability has been incurred and the amount of the loss can be reasonably estimated. For all other material loss contingencies, including those where the loss is reasonably possible or where the amount cannot be reasonably estimated, the Company discloses the nature of the contingency. The Lugano Investigation and the restatement of our previously issued consolidated financial statements for the periods ended at December 31, 2024, 2023 and 2022 has resulted in certain litigation and may result in additional stockholder litigation, regulatory investigations and additional liabilities in future periods.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Lugano Deconsolidation and Scope of Disclosure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described below, Lugano and certain of its subsidiaries filed Chapter 11 petitions on November 16, 2025 (the “Deconsolidation Date”) and thereafter were deconsolidated from the Company’s consolidated financial statements. Accordingly, as of December 31, 2025, the Company’s loss contingency disclosures focus on matters for which the Company and/or its current or former directors and officers have potential exposure (including matters in which the Company is a named party or otherwise has a present obligation). Certain matters described below relate solely to Lugano and its subsidiaries and do not name the Company as a defendant; such matters are disclosed to the extent they affected amounts recognized in the Company’s consolidated results during the period Lugano was consolidated in 2025 and/or are relevant to the Company’s potential exposure, including (i) matters in which the Company and/or its current or former directors and officers are named or may have indemnification or defense-cost obligations, and (ii) potential claims or challenges that could affect recoveries on the Company’s claims in the Lugano bankruptcy proceedings.</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Securities Class Actions Involving the Company</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Between May 9, 2025, and June 25, 2025, three putative class actions were commenced against the Company and certain of the Company’s officers and directors, asserting claims under Sections 10(b) and 20(a) of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31445"/>
                <wp:effectExtent l="0" t="0" r="0" b="0"/>
                <wp:wrapNone/>
                <wp:docPr id="190" name="Frame1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pPr>
      <w:r>
        <w:rPr>
          <w:rFonts w:ascii="Arial;sans-serif" w:hAnsi="Arial;sans-serif"/>
          <w:b w:val="false"/>
          <w:color w:val="000000"/>
          <w:sz w:val="20"/>
          <w:shd w:fill="FFFFFF" w:val="clear"/>
        </w:rPr>
        <w:t xml:space="preserve">Exchange Act of 1934 (the “Exchange Act”), and Rule 10b-5 promulgated thereunder in the U.S. District Court for the Central District of California (collectively, the “CA Securities Class Actions”). On August 22, 2025, such CA Securities Class Actions were consolidated under the caption </w:t>
      </w:r>
      <w:r>
        <w:rPr>
          <w:rFonts w:ascii="Arial;sans-serif" w:hAnsi="Arial;sans-serif"/>
          <w:b w:val="false"/>
          <w:i/>
          <w:color w:val="000000"/>
          <w:sz w:val="20"/>
          <w:shd w:fill="FFFFFF" w:val="clear"/>
        </w:rPr>
        <w:t>In re: Compass Securities Litigation</w:t>
      </w:r>
      <w:r>
        <w:rPr>
          <w:rFonts w:ascii="Arial;sans-serif" w:hAnsi="Arial;sans-serif"/>
          <w:b w:val="false"/>
          <w:color w:val="000000"/>
          <w:sz w:val="20"/>
          <w:shd w:fill="FFFFFF" w:val="clear"/>
        </w:rPr>
        <w:t xml:space="preserve">, and the Court appointed the Eastern Atlantic States Carpenters Benefit Funds (“EAS Carpenters”) as lead plaintiff and the law firm of Cohen Milstein Sellers &amp; Toll PLLC (“Cohen Milstein”) as lead counsel. </w:t>
      </w:r>
      <w:r>
        <w:rPr>
          <w:rFonts w:ascii="Arial;sans-serif" w:hAnsi="Arial;sans-serif"/>
          <w:b w:val="false"/>
          <w:color w:val="000000"/>
          <w:sz w:val="20"/>
        </w:rPr>
        <w:t xml:space="preserve">On December 10, 2025, with the Court’s approval, the lead plaintiff voluntarily dismissed the consolidated California action in order to pursue its claims in the District of Connecticut. </w:t>
      </w:r>
    </w:p>
    <w:p>
      <w:pPr>
        <w:pStyle w:val="TextBody"/>
        <w:bidi w:val="0"/>
        <w:spacing w:lineRule="auto" w:line="288" w:before="120" w:after="283"/>
        <w:jc w:val="both"/>
        <w:rPr/>
      </w:pPr>
      <w:r>
        <w:rPr>
          <w:rFonts w:ascii="Arial;sans-serif" w:hAnsi="Arial;sans-serif"/>
          <w:b w:val="false"/>
          <w:color w:val="000000"/>
          <w:sz w:val="20"/>
          <w:shd w:fill="FFFFFF" w:val="clear"/>
        </w:rPr>
        <w:t xml:space="preserve">On May 12, 2025, a separate putative class action was commenced against the Company and certain of its officers and directors in the U.S. District Court for the District of Connecticut, captioned </w:t>
      </w:r>
      <w:r>
        <w:rPr>
          <w:rFonts w:ascii="Arial;sans-serif" w:hAnsi="Arial;sans-serif"/>
          <w:b w:val="false"/>
          <w:i/>
          <w:color w:val="000000"/>
          <w:sz w:val="20"/>
          <w:shd w:fill="FFFFFF" w:val="clear"/>
        </w:rPr>
        <w:t>Moreno v. Compass Diversified Holdings LLC, et al.</w:t>
      </w:r>
      <w:r>
        <w:rPr>
          <w:color w:val="000000"/>
          <w:shd w:fill="FFFFFF" w:val="clear"/>
        </w:rPr>
        <w:t xml:space="preserve"> </w:t>
      </w:r>
      <w:r>
        <w:rPr>
          <w:rFonts w:ascii="Arial;sans-serif" w:hAnsi="Arial;sans-serif"/>
          <w:b w:val="false"/>
          <w:color w:val="000000"/>
          <w:sz w:val="20"/>
          <w:shd w:fill="FFFFFF" w:val="clear"/>
        </w:rPr>
        <w:t xml:space="preserve">(the “Moreno Action”). The plaintiff in the Moreno Action asserted the same claims as asserted by the plaintiffs in the CA Securities Class Actions. By order dated July 21, 2025, EAS Carpenters was appointed lead plaintiff and Cohen Milstein was appointed lead counsel for the Moreno Action. On February 6, 2026, lead plaintiff filed an amended complaint. The foregoing </w:t>
      </w:r>
      <w:r>
        <w:rPr>
          <w:rFonts w:ascii="Arial;sans-serif" w:hAnsi="Arial;sans-serif"/>
          <w:b w:val="false"/>
          <w:i/>
          <w:color w:val="000000"/>
          <w:sz w:val="20"/>
          <w:shd w:fill="FFFFFF" w:val="clear"/>
        </w:rPr>
        <w:t>Securities Class Actions Involving the Company</w:t>
      </w:r>
      <w:r>
        <w:rPr>
          <w:color w:val="000000"/>
          <w:shd w:fill="FFFFFF" w:val="clear"/>
        </w:rPr>
        <w:t xml:space="preserve"> </w:t>
      </w:r>
      <w:r>
        <w:rPr>
          <w:rFonts w:ascii="Arial;sans-serif" w:hAnsi="Arial;sans-serif"/>
          <w:b w:val="false"/>
          <w:color w:val="000000"/>
          <w:sz w:val="20"/>
          <w:shd w:fill="FFFFFF" w:val="clear"/>
        </w:rPr>
        <w:t xml:space="preserve">are in the early stages and the Company is currently unable to determine the likelihood of an unfavorable outcome. At this time, management has determined that a loss is reasonably possible but cannot reasonably estimate a range of potential loss. The Company believes it has defenses available to it and intends to vigorously defend itself. </w:t>
      </w:r>
    </w:p>
    <w:p>
      <w:pPr>
        <w:pStyle w:val="TextBody"/>
        <w:bidi w:val="0"/>
        <w:spacing w:lineRule="auto" w:line="288" w:before="180" w:after="283"/>
        <w:jc w:val="both"/>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Derivative Actions Involving the Company</w:t>
      </w:r>
    </w:p>
    <w:p>
      <w:pPr>
        <w:pStyle w:val="TextBody"/>
        <w:bidi w:val="0"/>
        <w:spacing w:lineRule="auto" w:line="288" w:before="120" w:after="283"/>
        <w:jc w:val="both"/>
        <w:rPr/>
      </w:pPr>
      <w:r>
        <w:rPr>
          <w:rFonts w:ascii="Arial;sans-serif" w:hAnsi="Arial;sans-serif"/>
          <w:b w:val="false"/>
          <w:color w:val="000000"/>
          <w:sz w:val="20"/>
          <w:shd w:fill="FFFFFF" w:val="clear"/>
        </w:rPr>
        <w:t xml:space="preserve">On June 5, 2025, a Company shareholder commenced a shareholder derivative action in the U.S. District Court for the Central District of California, captioned </w:t>
      </w:r>
      <w:r>
        <w:rPr>
          <w:rFonts w:ascii="Arial;sans-serif" w:hAnsi="Arial;sans-serif"/>
          <w:b w:val="false"/>
          <w:i/>
          <w:color w:val="000000"/>
          <w:sz w:val="20"/>
          <w:shd w:fill="FFFFFF" w:val="clear"/>
        </w:rPr>
        <w:t>Jones v. Sabo, et al</w:t>
      </w:r>
      <w:r>
        <w:rPr>
          <w:rFonts w:ascii="Arial;sans-serif" w:hAnsi="Arial;sans-serif"/>
          <w:b w:val="false"/>
          <w:color w:val="000000"/>
          <w:sz w:val="20"/>
          <w:shd w:fill="FFFFFF" w:val="clear"/>
        </w:rPr>
        <w:t xml:space="preserve">. (the “Jones Action”), purporting to assert claims on behalf of the Company against current and former Company officers and directors who were named as defendants. The plaintiff is asserting causes of action for breach of fiduciary duty and violations of Section 14(a) of the Exchange Act. On July 17, 2025, a Company shareholder commenced a shareholder derivative action in the U.S. District Court for the Central District of California, captioned </w:t>
      </w:r>
      <w:r>
        <w:rPr>
          <w:rFonts w:ascii="Arial;sans-serif" w:hAnsi="Arial;sans-serif"/>
          <w:b w:val="false"/>
          <w:i/>
          <w:color w:val="000000"/>
          <w:sz w:val="20"/>
          <w:shd w:fill="FFFFFF" w:val="clear"/>
        </w:rPr>
        <w:t>Kelly v. Sabo, et al</w:t>
      </w:r>
      <w:r>
        <w:rPr>
          <w:rFonts w:ascii="Arial;sans-serif" w:hAnsi="Arial;sans-serif"/>
          <w:b w:val="false"/>
          <w:color w:val="000000"/>
          <w:sz w:val="20"/>
          <w:shd w:fill="FFFFFF" w:val="clear"/>
        </w:rPr>
        <w:t xml:space="preserve">., (the “Kelly Action”). The plaintiff in the Kelly Action asserted the same causes of action, against the same defendants, as the Jones Action. On August 6, 2025, the parties to the Jones Action and the Kelly Action filed a stipulation and proposed order to consolidate the two actions and to stay the actions, pending certain future events (including resolution of any motions to dismiss in the </w:t>
      </w:r>
      <w:r>
        <w:rPr>
          <w:rFonts w:ascii="Arial;sans-serif" w:hAnsi="Arial;sans-serif"/>
          <w:b w:val="false"/>
          <w:i/>
          <w:color w:val="000000"/>
          <w:sz w:val="20"/>
          <w:shd w:fill="FFFFFF" w:val="clear"/>
        </w:rPr>
        <w:t>Securities Class Actions Involving the Company</w:t>
      </w:r>
      <w:r>
        <w:rPr>
          <w:rFonts w:ascii="Arial;sans-serif" w:hAnsi="Arial;sans-serif"/>
          <w:b w:val="false"/>
          <w:color w:val="000000"/>
          <w:sz w:val="20"/>
          <w:shd w:fill="FFFFFF" w:val="clear"/>
        </w:rPr>
        <w:t xml:space="preserve">. On January 21, 2026, the court entered an order consolidating and staying the aforementioned derivative cases. The cases will henceforth be known as </w:t>
      </w:r>
      <w:r>
        <w:rPr>
          <w:rFonts w:ascii="Arial;sans-serif" w:hAnsi="Arial;sans-serif"/>
          <w:b w:val="false"/>
          <w:i/>
          <w:color w:val="000000"/>
          <w:sz w:val="20"/>
          <w:shd w:fill="FFFFFF" w:val="clear"/>
        </w:rPr>
        <w:t>In Re Compass Diversified Holdings Derivative</w:t>
      </w:r>
      <w:r>
        <w:rPr>
          <w:rFonts w:ascii="Arial;sans-serif" w:hAnsi="Arial;sans-serif"/>
          <w:b w:val="false"/>
          <w:color w:val="000000"/>
          <w:sz w:val="20"/>
          <w:shd w:fill="FFFFFF" w:val="clear"/>
        </w:rPr>
        <w:t xml:space="preserve">. </w:t>
      </w:r>
      <w:r>
        <w:rPr>
          <w:rFonts w:ascii="Arial;sans-serif" w:hAnsi="Arial;sans-serif"/>
          <w:b w:val="false"/>
          <w:color w:val="000000"/>
          <w:sz w:val="20"/>
        </w:rPr>
        <w:t>On January 28, 2026, plaintiff’s counsel in a case captioned Begich v. Sabo et al, (“Begich Action”) another derivative case that previously had not been served on the Company, requested that the court include the Begich Action in the consolidated stayed cases.</w:t>
      </w:r>
    </w:p>
    <w:p>
      <w:pPr>
        <w:pStyle w:val="TextBody"/>
        <w:bidi w:val="0"/>
        <w:spacing w:lineRule="auto" w:line="288" w:before="180" w:after="283"/>
        <w:jc w:val="both"/>
        <w:rPr/>
      </w:pPr>
      <w:r>
        <w:rPr>
          <w:rFonts w:ascii="Arial;sans-serif" w:hAnsi="Arial;sans-serif"/>
          <w:b w:val="false"/>
          <w:color w:val="000000"/>
          <w:sz w:val="20"/>
          <w:shd w:fill="FFFFFF" w:val="clear"/>
        </w:rPr>
        <w:t xml:space="preserve">On September 12, 2025, a shareholder of CODI filed a shareholder derivative action in the U.S. District Court for the District of Connecticut, captioned </w:t>
      </w:r>
      <w:r>
        <w:rPr>
          <w:rFonts w:ascii="Arial;sans-serif" w:hAnsi="Arial;sans-serif"/>
          <w:b w:val="false"/>
          <w:i/>
          <w:color w:val="000000"/>
          <w:sz w:val="20"/>
          <w:shd w:fill="FFFFFF" w:val="clear"/>
        </w:rPr>
        <w:t>Kamp v. Sabo, et al.</w:t>
      </w:r>
      <w:r>
        <w:rPr>
          <w:color w:val="000000"/>
          <w:shd w:fill="FFFFFF" w:val="clear"/>
        </w:rPr>
        <w:t xml:space="preserve"> </w:t>
      </w:r>
      <w:r>
        <w:rPr>
          <w:rFonts w:ascii="Arial;sans-serif" w:hAnsi="Arial;sans-serif"/>
          <w:b w:val="false"/>
          <w:color w:val="000000"/>
          <w:sz w:val="20"/>
          <w:shd w:fill="FFFFFF" w:val="clear"/>
        </w:rPr>
        <w:t xml:space="preserve">(the “Kamp Action”). The plaintiff in the Kamp Action asserts the same causes of action as in the above derivative cases, plus a cause of action for securities fraud in violation of Section 10(b) and 20(a) of the Exchange Act and Rule 10b-5 promulgated thereunder. On October 7, 2025, a shareholder of CODI filed a shareholder derivative action in the U.S. District Court for the District of Connecticut, captioned </w:t>
      </w:r>
      <w:r>
        <w:rPr>
          <w:rFonts w:ascii="Arial;sans-serif" w:hAnsi="Arial;sans-serif"/>
          <w:b w:val="false"/>
          <w:i/>
          <w:color w:val="000000"/>
          <w:sz w:val="20"/>
          <w:shd w:fill="FFFFFF" w:val="clear"/>
        </w:rPr>
        <w:t>Sulger v. Sabo</w:t>
      </w:r>
      <w:r>
        <w:rPr>
          <w:rFonts w:ascii="Arial;sans-serif" w:hAnsi="Arial;sans-serif"/>
          <w:b w:val="false"/>
          <w:color w:val="000000"/>
          <w:sz w:val="20"/>
          <w:shd w:fill="FFFFFF" w:val="clear"/>
        </w:rPr>
        <w:t xml:space="preserve">, </w:t>
      </w:r>
      <w:r>
        <w:rPr>
          <w:rFonts w:ascii="Arial;sans-serif" w:hAnsi="Arial;sans-serif"/>
          <w:b w:val="false"/>
          <w:i/>
          <w:color w:val="000000"/>
          <w:sz w:val="20"/>
          <w:shd w:fill="FFFFFF" w:val="clear"/>
        </w:rPr>
        <w:t>et al</w:t>
      </w:r>
      <w:r>
        <w:rPr>
          <w:rFonts w:ascii="Arial;sans-serif" w:hAnsi="Arial;sans-serif"/>
          <w:b w:val="false"/>
          <w:color w:val="000000"/>
          <w:sz w:val="20"/>
          <w:shd w:fill="FFFFFF" w:val="clear"/>
        </w:rPr>
        <w:t xml:space="preserve">. (the “Sulger Action”). The plaintiff in the Sulger Action asserts the same causes of action as in the Kamp Action. On October 9, 2025, a shareholder of CODI commenced a shareholder derivative action in the U.S. District Court for the District of Columbia, captioned Moore v. Sabo, et al. (the “Moore Action”). The plaintiff in the Moore Action asserts similar claims against the same defendants as in the Kamp Action and Sulger Action. On December 8, 2025, the Court consolidated the Kamp Action, Sulger Action and Moore Action. The cases will henceforth be known as </w:t>
      </w:r>
      <w:r>
        <w:rPr>
          <w:rFonts w:ascii="Arial;sans-serif" w:hAnsi="Arial;sans-serif"/>
          <w:b w:val="false"/>
          <w:i/>
          <w:color w:val="000000"/>
          <w:sz w:val="20"/>
          <w:shd w:fill="FFFFFF" w:val="clear"/>
        </w:rPr>
        <w:t>In re Compass Diversified Holdings Derivative Litigation</w:t>
      </w:r>
      <w:r>
        <w:rPr>
          <w:rFonts w:ascii="Arial;sans-serif" w:hAnsi="Arial;sans-serif"/>
          <w:b w:val="false"/>
          <w:color w:val="000000"/>
          <w:sz w:val="20"/>
          <w:shd w:fill="FFFFFF" w:val="clear"/>
        </w:rPr>
        <w:t xml:space="preserve">. On January 12, 2026, the parties filed a stipulation and proposed order to stay the consolidated action pending further developments in the </w:t>
      </w:r>
      <w:r>
        <w:rPr>
          <w:rFonts w:ascii="Arial;sans-serif" w:hAnsi="Arial;sans-serif"/>
          <w:b w:val="false"/>
          <w:i/>
          <w:color w:val="000000"/>
          <w:sz w:val="20"/>
          <w:shd w:fill="FFFFFF" w:val="clear"/>
        </w:rPr>
        <w:t>Securities Class Actions Involving the Company</w:t>
      </w:r>
      <w:r>
        <w:rPr>
          <w:rFonts w:ascii="Arial;sans-serif" w:hAnsi="Arial;sans-serif"/>
          <w:b w:val="false"/>
          <w:color w:val="000000"/>
          <w:sz w:val="20"/>
          <w:shd w:fill="FFFFFF" w:val="clear"/>
        </w:rPr>
        <w:t xml:space="preserve">. The court entered that order on January 13, 2026. </w:t>
      </w:r>
    </w:p>
    <w:p>
      <w:pPr>
        <w:pStyle w:val="TextBody"/>
        <w:bidi w:val="0"/>
        <w:spacing w:lineRule="auto" w:line="288" w:before="180" w:after="283"/>
        <w:jc w:val="both"/>
        <w:rPr/>
      </w:pPr>
      <w:r>
        <w:rPr>
          <w:rFonts w:ascii="Arial;sans-serif" w:hAnsi="Arial;sans-serif"/>
          <w:b w:val="false"/>
          <w:color w:val="000000"/>
          <w:sz w:val="20"/>
          <w:shd w:fill="FFFFFF" w:val="clear"/>
        </w:rPr>
        <w:t xml:space="preserve">The foregoing </w:t>
      </w:r>
      <w:r>
        <w:rPr>
          <w:rFonts w:ascii="Arial;sans-serif" w:hAnsi="Arial;sans-serif"/>
          <w:b w:val="false"/>
          <w:i/>
          <w:color w:val="000000"/>
          <w:sz w:val="20"/>
          <w:shd w:fill="FFFFFF" w:val="clear"/>
        </w:rPr>
        <w:t>Derivative Actions Involving the Company</w:t>
      </w:r>
      <w:r>
        <w:rPr>
          <w:color w:val="000000"/>
          <w:shd w:fill="FFFFFF" w:val="clear"/>
        </w:rPr>
        <w:t xml:space="preserve"> </w:t>
      </w:r>
      <w:r>
        <w:rPr>
          <w:rFonts w:ascii="Arial;sans-serif" w:hAnsi="Arial;sans-serif"/>
          <w:b w:val="false"/>
          <w:color w:val="000000"/>
          <w:sz w:val="20"/>
          <w:shd w:fill="FFFFFF" w:val="clear"/>
        </w:rPr>
        <w:t>are in the early stages and the Company is currently unable to determine the likelihood of an unfavorable outcome. At this time, management has determined that a loss is reasonably possible but cannot reasonably estimate a range of potential loss. The Company believes it has defenses available to it and intends to vigorously defend itself.</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External Investigations and Reviews Involving the Company and Lugano</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a result of the Company’s withdrawal of reliance on its 2024, 2023, and 2022 financial statements, its failure to timely file its financial statements for the quarters ended at March 31, 2025, June 30, 2025, and September 30, 2025, and the underlying conduct at the Company’s Lugano subsidiary, there are ongoing investigations initiated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31445"/>
                <wp:effectExtent l="0" t="0" r="0" b="0"/>
                <wp:wrapNone/>
                <wp:docPr id="191" name="Frame1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U.S. Securities Exchange Commission (“SEC”) and the U.S. Department of Justice (“DOJ”). The regulatory investigative process is inherently uncertain and the foregoing investigations are in the early stages. Additionally, the Financial Industry Regulatory Authority (“FINRA”) initiated a routine review of trading activity in the Company’s securities following the public announcement of the restatement. On November 17, 2025, the Company received notification from FINRA that its review had been completed and had referred the matter to the SEC for whatever actions the SEC deems appropriate, if any. The Company has cooperated and continues to cooperate fully with each ongoing investigation.</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State Court Action Naming Company as a Defendant in Lugano-Related Matters</w:t>
      </w:r>
    </w:p>
    <w:p>
      <w:pPr>
        <w:pStyle w:val="TextBody"/>
        <w:bidi w:val="0"/>
        <w:spacing w:lineRule="auto" w:line="288" w:before="120" w:after="283"/>
        <w:jc w:val="both"/>
        <w:rPr/>
      </w:pPr>
      <w:r>
        <w:rPr>
          <w:rFonts w:ascii="Arial;sans-serif" w:hAnsi="Arial;sans-serif"/>
          <w:b w:val="false"/>
          <w:color w:val="000000"/>
          <w:sz w:val="20"/>
        </w:rPr>
        <w:t xml:space="preserve">On July 24, 2025, a complaint was filed against Lugano, the Company and others in California State Court, styled </w:t>
      </w:r>
      <w:r>
        <w:rPr>
          <w:rFonts w:ascii="Arial;sans-serif" w:hAnsi="Arial;sans-serif"/>
          <w:b w:val="false"/>
          <w:i/>
          <w:color w:val="000000"/>
          <w:sz w:val="20"/>
        </w:rPr>
        <w:t>Champion Force Industrial Limited v. Lugano Diamonds &amp; Jewelry Inc., et al.</w:t>
      </w:r>
      <w:r>
        <w:rPr>
          <w:rFonts w:ascii="Arial;sans-serif" w:hAnsi="Arial;sans-serif"/>
          <w:b w:val="false"/>
          <w:color w:val="000000"/>
          <w:sz w:val="20"/>
        </w:rPr>
        <w:t xml:space="preserve">, asserting claims for breach of contract, goods had and received, conversion, fraud, promissory estoppel, unjust enrichment, and fraudulent conveyance. The plaintiff is a vendor of diamonds and finished jewelry to Lugano and is seeking in excess of $56.4 million in damages, principally for unpaid goods. On September 12, 2025, CODI filed a motion to quash due to lack of personal jurisdiction. As a result of the Lugano Bankruptcy, the claims against Lugano in the Champion Action are subject to the automatic stay. On January 12, 2026, the plaintiff filed a stipulation and proposed order substituting Royal T. Diamonds Group Ltd. a/k/a Royal T. Diamonds Ltd. assignee of Champion Force’s claims, as plaintiff in place of Champion Force. On February 11, 2026, Champion Force filed its opposition to CODI’s motion to quash, and CODI filed its reply on February 18, 2026. A hearing on CODI’s motion to quash is currently scheduled for February 26, 2026. The foregoing matter is in the early stages and the Company is currently unable to determine the likelihood of an unfavorable outcome as to the Company. As a result of the Lugano bankruptcy, the claims against Lugano are subject to the automatic stay. The stay generally does not extend to non-debtor parties such as the Company, although a court may stay proceedings against non-debtors in certain circumstances (including where the debtor is a necessary party).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Additionally, the Company was named as a defendant in Ken Kraus v. Lugano Diamonds &amp; Jewelry, Inc., et al. (the “Kraus Action”), in which the plaintiff is seeking approximately $1.4 million in damages, plus interest and penalties. On January 12, 2026, the judge in the Kraus Action stayed the case with respect to all defendants.</w:t>
      </w:r>
    </w:p>
    <w:p>
      <w:pPr>
        <w:pStyle w:val="TextBody"/>
        <w:bidi w:val="0"/>
        <w:spacing w:lineRule="auto" w:line="288" w:before="180" w:after="283"/>
        <w:jc w:val="both"/>
        <w:rPr/>
      </w:pPr>
      <w:r>
        <w:rPr>
          <w:rFonts w:ascii="Arial;sans-serif" w:hAnsi="Arial;sans-serif"/>
          <w:b w:val="false"/>
          <w:color w:val="000000"/>
          <w:sz w:val="20"/>
        </w:rPr>
        <w:t>During the year ended December 31, 2024 and the period Lugano was consolidated in 2025, the Company recorded accruals for certain Lugano-related vendor obligations in accordance with applicable accounting standards, although such obligations are subject to dispute. As of December 31, 2024 and the Deconsolidation Date, the recorded amount of such ac</w:t>
      </w:r>
      <w:r>
        <w:rPr>
          <w:rFonts w:ascii="Arial;sans-serif" w:hAnsi="Arial;sans-serif"/>
          <w:b w:val="false"/>
          <w:color w:val="000000"/>
          <w:sz w:val="20"/>
          <w:shd w:fill="FFFFFF" w:val="clear"/>
        </w:rPr>
        <w:t>cruals was $49.8 million and $52.7 million, respectively. A</w:t>
      </w:r>
      <w:r>
        <w:rPr>
          <w:rFonts w:ascii="Arial;sans-serif" w:hAnsi="Arial;sans-serif"/>
          <w:b w:val="false"/>
          <w:color w:val="000000"/>
          <w:sz w:val="20"/>
        </w:rPr>
        <w:t xml:space="preserve">fter the Deconsolidation Date, these amounts were deconsolidated and are no longer included in the Company’s consolidated liabilities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intends to avail itself of all available defenses in these matters. Management has determined that a loss is reasonably possible, but cannot reasonably estimate the loss or range of possible loss, if any, that may result from this litigation. </w:t>
      </w:r>
    </w:p>
    <w:p>
      <w:pPr>
        <w:pStyle w:val="TextBody"/>
        <w:bidi w:val="0"/>
        <w:spacing w:lineRule="auto" w:line="268" w:before="180" w:after="283"/>
        <w:jc w:val="both"/>
        <w:rPr/>
      </w:pPr>
      <w:r>
        <w:rPr>
          <w:rFonts w:ascii="Arial;sans-serif" w:hAnsi="Arial;sans-serif"/>
          <w:b w:val="false"/>
          <w:color w:val="000000"/>
          <w:sz w:val="20"/>
          <w:u w:val="single"/>
        </w:rPr>
        <w:t>Lugano-Specific Claims and Threatened Claims</w:t>
      </w:r>
      <w:r>
        <w:rPr>
          <w:color w:val="000000"/>
        </w:rPr>
        <w:t xml:space="preserve"> </w:t>
      </w:r>
    </w:p>
    <w:p>
      <w:pPr>
        <w:pStyle w:val="TextBody"/>
        <w:bidi w:val="0"/>
        <w:spacing w:lineRule="auto" w:line="288" w:before="120" w:after="283"/>
        <w:jc w:val="both"/>
        <w:rPr/>
      </w:pPr>
      <w:r>
        <w:rPr>
          <w:rFonts w:ascii="Arial;sans-serif" w:hAnsi="Arial;sans-serif"/>
          <w:b w:val="false"/>
          <w:color w:val="000000"/>
          <w:sz w:val="20"/>
        </w:rPr>
        <w:t xml:space="preserve">Certain matters described below relate solely to Lugano and are included only for the purposes described above under the heading </w:t>
      </w:r>
      <w:r>
        <w:rPr>
          <w:rFonts w:ascii="Arial;sans-serif" w:hAnsi="Arial;sans-serif"/>
          <w:b w:val="false"/>
          <w:color w:val="000000"/>
          <w:sz w:val="20"/>
          <w:u w:val="single"/>
        </w:rPr>
        <w:t>Lugano Deconsolidation and Scope of Disclosure</w:t>
      </w:r>
      <w:r>
        <w:rPr>
          <w:rFonts w:ascii="Arial;sans-serif" w:hAnsi="Arial;sans-serif"/>
          <w:b w:val="false"/>
          <w:color w:val="000000"/>
          <w:sz w:val="20"/>
        </w:rPr>
        <w:t xml:space="preserve">. These matters are described to the extent they affected amounts recognized in the Company’s consolidated results during the period Lugano was consolidated in 2025 and/or are relevant to the Company’s potential exposure described above.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During the period from approximately May 7, 2025 to November 15, 2025, litigation was threatened and initiated by counterparties to transactions that appear to have been overseen by Lugano’s former CEO, Moti Ferder, who resigned effective May 7, 2025. The vast majority involve purported investment arrangements whereby the claimant delivered a specified dollar amount to Lugano in exchange for either (a) a profits interest in the future sale of a specified diamond(s), or (b) a guaranteed interest rate (collectively, “Diamond Financing Arrangements”).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Certain Diamond Financing Arrangements are the subject of current litigation, primarily in California State court, and the majority of the plaintiffs in these cases have presented similar fact patterns and are primarily seeking damages for alleged losses of principal amounts invested (“Diamond Financing Litigation”). The total damages being sought by all plaintiffs in Diamond Financing Litigation is approximately $32.2 million, plus interest and penalties, in most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31445"/>
                <wp:effectExtent l="0" t="0" r="0" b="0"/>
                <wp:wrapNone/>
                <wp:docPr id="192" name="Frame1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F-58</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pPr>
      <w:r>
        <w:rPr>
          <w:rFonts w:ascii="Arial;sans-serif" w:hAnsi="Arial;sans-serif"/>
          <w:b w:val="false"/>
          <w:color w:val="000000"/>
          <w:sz w:val="20"/>
        </w:rPr>
        <w:t xml:space="preserve">As noted below under the heading </w:t>
      </w:r>
      <w:r>
        <w:rPr>
          <w:rFonts w:ascii="Arial;sans-serif" w:hAnsi="Arial;sans-serif"/>
          <w:b w:val="false"/>
          <w:color w:val="000000"/>
          <w:sz w:val="20"/>
          <w:u w:val="single"/>
        </w:rPr>
        <w:t xml:space="preserve">Impact of Lugano Chapter 11 Filing </w:t>
      </w:r>
      <w:r>
        <w:rPr>
          <w:rFonts w:ascii="Arial;sans-serif" w:hAnsi="Arial;sans-serif"/>
          <w:b w:val="false"/>
          <w:color w:val="000000"/>
          <w:sz w:val="20"/>
        </w:rPr>
        <w:t xml:space="preserve">the Diamond Financing Litigation is subject to an automatic stay that prohibits, among other things, the continuation of these actions against Lugano, as debtor, outside of the bankruptcy process.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During the year ended December 31, 2024 and the period Lugano was consolidated in 2025, the Company recorded accruals for the estimated principal of short-term debt and interest expense related to previously undisclosed financing arrangements at Lugano (which includes the accrual for all Diamond Financing Arrangements) in accordance with applicable accounting standards, although such obligations were and are subject to dispute. As of December 31, 2024 and the Deconsolidation Date, the recorded amount of such accruals was $169.8 million and $183.7 million, respectively. After the Deconsolidation Date, these amounts were deconsolidated and are no longer included in the Company’s consolidated liabilities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Where the Company is named as a defendant in any Lugano-related matter, the Company intends to avail itself of all available defenses. The Company cannot predict whether claims arising from these matters will be asserted against the Company or its current or former directors and officers, or the outcome of any such matters. If asserted, management believes a loss could be reasonably possible, but cannot reasonably estimate the loss or range of possible loss, if any.</w:t>
      </w:r>
    </w:p>
    <w:p>
      <w:pPr>
        <w:pStyle w:val="TextBody"/>
        <w:bidi w:val="0"/>
        <w:spacing w:lineRule="auto" w:line="288" w:before="180" w:after="283"/>
        <w:jc w:val="both"/>
        <w:rPr>
          <w:rFonts w:ascii="Arial;sans-serif" w:hAnsi="Arial;sans-serif"/>
          <w:b w:val="false"/>
          <w:color w:val="000000"/>
          <w:sz w:val="20"/>
          <w:u w:val="single"/>
        </w:rPr>
      </w:pPr>
      <w:r>
        <w:rPr>
          <w:rFonts w:ascii="Arial;sans-serif" w:hAnsi="Arial;sans-serif"/>
          <w:b w:val="false"/>
          <w:color w:val="000000"/>
          <w:sz w:val="20"/>
          <w:u w:val="single"/>
        </w:rPr>
        <w:t>Impact of Lugano Chapter 11 Filing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November 16, 2025, Lugano Holding, Inc. and certain of its subsidiaries, including Lugano, filed voluntary Chapter 11 petitions under the United States Bankruptcy Code in the United States Bankruptcy Court for the District of Delaware. Upon the filing of a bankruptcy petition, Section 362 of the Bankruptcy Code imposes an automatic stay that prohibits, among other things, the commencement or continuation of numerous actions against the debtor entity (in this case, Lugano), which include all lawsuits and collection efforts. The stay was immediately effective upon the bankruptcy filing without any further action by the debtor entity or any other party. The automatic stay remains in place until resolution of the bankruptcy case, or until otherwise waived by the debtor. The automatic stay generally protects only the debtor and does not usually extend to non-debtor parties who may be the subject of claims or litigation, including co-defendants named in litigation where Lugano is also defendant. In certain circumstances, a court may extend the stay to non-debtors if the debtor entity is a necessary party to the action. The automatic stay prohibits further litigation against Lugano outside of the Bankruptcy Court but does not necessarily prohibit continuation of actions against non-debtor parties, including CODI, absent a court order extending the stay.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Lugano Bankruptcy proceedings, the Company’s claims against Lugano, including its senior secured receivable/claim, may be subject to challenge by Lugano or other parties in interest, including through claims or causes of action that could seek to subordinate or recharacterize the Company’s claim or otherwise reduce recoveries. Additionally, Lugano, its estate representative, creditors, or other parties in interest may assert claims or causes of action against the Company and/or its current or former directors and officers, including claims that could seek monetary damages or other relief.</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cannot predict whether any such claims will be asserted or the outcome of any such matters, and the assertion or resolution of such matters could affect the timing and amount of any recoveries. If asserted, such matters could result in significant defense costs, settlement payments or judgments, and could affect the timing and amount of any recoveries on the Company’s claims in the bankruptcy proceedings.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and its subsidiaries lease office and manufacturing facilities, computer equipment and software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years ending December 31, 2025, 2024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31445"/>
                <wp:effectExtent l="0" t="0" r="0" b="0"/>
                <wp:wrapNone/>
                <wp:docPr id="193" name="Frame1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F-59</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color w:val="000000"/>
          <w:sz w:val="20"/>
        </w:rPr>
        <w:t>The maturities of lease liabilities at December 31, 2025 having an initial or remaining non-cancelable term of one year or more are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6669" w:type="dxa"/>
        <w:jc w:val="center"/>
        <w:tblInd w:w="0" w:type="dxa"/>
        <w:tblLayout w:type="fixed"/>
        <w:tblCellMar>
          <w:top w:w="28" w:type="dxa"/>
          <w:left w:w="28" w:type="dxa"/>
          <w:bottom w:w="28" w:type="dxa"/>
          <w:right w:w="28" w:type="dxa"/>
        </w:tblCellMar>
      </w:tblPr>
      <w:tblGrid>
        <w:gridCol w:w="973"/>
        <w:gridCol w:w="855"/>
        <w:gridCol w:w="872"/>
        <w:gridCol w:w="109"/>
        <w:gridCol w:w="109"/>
        <w:gridCol w:w="109"/>
        <w:gridCol w:w="196"/>
        <w:gridCol w:w="736"/>
        <w:gridCol w:w="109"/>
        <w:gridCol w:w="109"/>
        <w:gridCol w:w="109"/>
        <w:gridCol w:w="109"/>
        <w:gridCol w:w="196"/>
        <w:gridCol w:w="556"/>
        <w:gridCol w:w="109"/>
        <w:gridCol w:w="109"/>
        <w:gridCol w:w="109"/>
        <w:gridCol w:w="109"/>
        <w:gridCol w:w="196"/>
        <w:gridCol w:w="73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50,580 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217,712 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Less: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Present value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170,805 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rent expense for the fiscal years ended December 31, 2025, 2024 and 2023 totaled $60.5 million, $53.9 million and $50.3 million, respectively. The Company entered into a finance lease during the year ended December 31, 2024. The amortization and interest related to this lease was not material in 2024.</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As the discount rate is rarely determinable, the Company utilizes the incremental borrowing rate of the subsidiary entering into the lease arrangement, on a collateralized basis, over a similar term as adjusted for any country specific risk.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weighted average remaining lease terms and discount rates for all of our leases were as follows:</w:t>
      </w:r>
    </w:p>
    <w:tbl>
      <w:tblPr>
        <w:tblW w:w="7866" w:type="dxa"/>
        <w:jc w:val="center"/>
        <w:tblInd w:w="0" w:type="dxa"/>
        <w:tblLayout w:type="fixed"/>
        <w:tblCellMar>
          <w:top w:w="28" w:type="dxa"/>
          <w:left w:w="28" w:type="dxa"/>
          <w:bottom w:w="28" w:type="dxa"/>
          <w:right w:w="28" w:type="dxa"/>
        </w:tblCellMar>
      </w:tblPr>
      <w:tblGrid>
        <w:gridCol w:w="1454"/>
        <w:gridCol w:w="1280"/>
        <w:gridCol w:w="1285"/>
        <w:gridCol w:w="109"/>
        <w:gridCol w:w="109"/>
        <w:gridCol w:w="109"/>
        <w:gridCol w:w="349"/>
        <w:gridCol w:w="349"/>
        <w:gridCol w:w="876"/>
        <w:gridCol w:w="109"/>
        <w:gridCol w:w="109"/>
        <w:gridCol w:w="109"/>
        <w:gridCol w:w="330"/>
        <w:gridCol w:w="330"/>
        <w:gridCol w:w="959"/>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Lease Term and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8.64 </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31445"/>
                <wp:effectExtent l="0" t="0" r="0" b="0"/>
                <wp:wrapNone/>
                <wp:docPr id="194" name="Frame1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F-60</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60"/>
        <w:jc w:val="both"/>
        <w:rPr/>
      </w:pPr>
      <w:r>
        <w:rPr>
          <w:rFonts w:ascii="Arial;sans-serif" w:hAnsi="Arial;sans-serif"/>
          <w:b w:val="false"/>
          <w:color w:val="000000"/>
          <w:sz w:val="20"/>
        </w:rPr>
        <w:t>Supplemental balance sheet information related to leases was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935"/>
        <w:gridCol w:w="812"/>
        <w:gridCol w:w="818"/>
        <w:gridCol w:w="109"/>
        <w:gridCol w:w="109"/>
        <w:gridCol w:w="109"/>
        <w:gridCol w:w="1246"/>
        <w:gridCol w:w="1246"/>
        <w:gridCol w:w="1249"/>
        <w:gridCol w:w="109"/>
        <w:gridCol w:w="109"/>
        <w:gridCol w:w="109"/>
        <w:gridCol w:w="269"/>
        <w:gridCol w:w="1015"/>
        <w:gridCol w:w="150"/>
        <w:gridCol w:w="109"/>
        <w:gridCol w:w="109"/>
        <w:gridCol w:w="109"/>
        <w:gridCol w:w="266"/>
        <w:gridCol w:w="1003"/>
        <w:gridCol w:w="215"/>
      </w:tblGrid>
      <w:tr>
        <w:trPr/>
        <w:tc>
          <w:tcPr>
            <w:tcW w:w="9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Line Item in the Company’s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 2024</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146,755 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191,639 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153,636 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198,521 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37,854 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38,180 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126,084 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178,577 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6,866 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170,805 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223,665 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Supplemental cash flow information related to leases was as follows (</w:t>
      </w:r>
      <w:r>
        <w:rPr>
          <w:rFonts w:ascii="Arial;sans-serif" w:hAnsi="Arial;sans-serif"/>
          <w:b w:val="false"/>
          <w:i/>
          <w:color w:val="000000"/>
          <w:sz w:val="20"/>
        </w:rPr>
        <w:t>in thousands</w:t>
      </w:r>
      <w:r>
        <w:rPr>
          <w:rFonts w:ascii="Arial;sans-serif" w:hAnsi="Arial;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290"/>
        <w:gridCol w:w="1127"/>
        <w:gridCol w:w="1133"/>
        <w:gridCol w:w="109"/>
        <w:gridCol w:w="109"/>
        <w:gridCol w:w="109"/>
        <w:gridCol w:w="386"/>
        <w:gridCol w:w="1274"/>
        <w:gridCol w:w="214"/>
        <w:gridCol w:w="109"/>
        <w:gridCol w:w="109"/>
        <w:gridCol w:w="109"/>
        <w:gridCol w:w="386"/>
        <w:gridCol w:w="1274"/>
        <w:gridCol w:w="214"/>
        <w:gridCol w:w="109"/>
        <w:gridCol w:w="109"/>
        <w:gridCol w:w="109"/>
        <w:gridCol w:w="378"/>
        <w:gridCol w:w="1246"/>
        <w:gridCol w:w="302"/>
      </w:tblGrid>
      <w:tr>
        <w:trPr/>
        <w:tc>
          <w:tcPr>
            <w:tcW w:w="12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2023</w:t>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49,410 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47,688 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39,806 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24,834 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27,477 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61,560 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6,883 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Exit Costs</w:t>
      </w:r>
    </w:p>
    <w:p>
      <w:pPr>
        <w:pStyle w:val="TextBody"/>
        <w:bidi w:val="0"/>
        <w:spacing w:lineRule="auto" w:line="288" w:before="120" w:after="283"/>
        <w:jc w:val="both"/>
        <w:rPr/>
      </w:pPr>
      <w:r>
        <w:rPr>
          <w:rFonts w:ascii="Arial;sans-serif" w:hAnsi="Arial;sans-serif"/>
          <w:b w:val="false"/>
          <w:color w:val="000000"/>
          <w:sz w:val="20"/>
          <w:u w:val="single"/>
        </w:rPr>
        <w:t>Altor</w:t>
      </w:r>
      <w:r>
        <w:rPr>
          <w:color w:val="000000"/>
        </w:rPr>
        <w:t xml:space="preserve"> </w:t>
      </w:r>
      <w:r>
        <w:rPr>
          <w:rFonts w:ascii="Arial;sans-serif" w:hAnsi="Arial;sans-serif"/>
          <w:b w:val="false"/>
          <w:color w:val="000000"/>
          <w:sz w:val="20"/>
        </w:rPr>
        <w:t>- Subsequent to the acquisition of Lifoam in October 2024, Altor determined that they would shut down four of their facilities that had geographic overlap with Lifoam facilities. During the year ended December 31, 2025, Altor recorded approximately $10.3 million in exit costs related to the plant closures in selling general and administrative expense. The plant closures were finalized in the fourth quarter of 2025.</w:t>
      </w:r>
    </w:p>
    <w:p>
      <w:pPr>
        <w:pStyle w:val="TextBody"/>
        <w:bidi w:val="0"/>
        <w:spacing w:lineRule="auto" w:line="288" w:before="120" w:after="283"/>
        <w:jc w:val="both"/>
        <w:rPr/>
      </w:pPr>
      <w:r>
        <w:rPr>
          <w:rFonts w:ascii="Arial;sans-serif" w:hAnsi="Arial;sans-serif"/>
          <w:b w:val="false"/>
          <w:color w:val="000000"/>
          <w:sz w:val="20"/>
          <w:u w:val="single"/>
        </w:rPr>
        <w:t>Arnold</w:t>
      </w:r>
      <w:r>
        <w:rPr>
          <w:color w:val="000000"/>
        </w:rPr>
        <w:t xml:space="preserve"> </w:t>
      </w:r>
      <w:r>
        <w:rPr>
          <w:rFonts w:ascii="Arial;sans-serif" w:hAnsi="Arial;sans-serif"/>
          <w:b w:val="false"/>
          <w:color w:val="000000"/>
          <w:sz w:val="20"/>
        </w:rPr>
        <w:t xml:space="preserve">- During 2024, Arnold relocated two of its facilities located in Marengo, Illinois into one combined facility in Woodstock, Illinois. Arnold recorded $9.9 million in exit costs related to the move of which $9.3 million is recorded in selling, general and administrative expense and $0.6 million is recorded in costs of revenues in the consolidated statement of operations in the year ended December 31, 2024. An additional $2.9 million in expense was incurred related to the move to the new facility that were not classified as exit costs, for total expense of approximately $13.0 million in the year ended December 31, 2024. </w:t>
      </w:r>
      <w:r>
        <w:rPr>
          <w:rFonts w:ascii="Arial;sans-serif" w:hAnsi="Arial;sans-serif"/>
          <w:b w:val="false"/>
          <w:color w:val="000000"/>
          <w:sz w:val="20"/>
          <w:shd w:fill="FFFFFF" w:val="clear"/>
        </w:rPr>
        <w:t>Arnold recorded an additional $0.9 million in costs in the year ended December 31, 2025 related to the relocation of the two facilities. The exit from the Marengo facility is now substantially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Note Q — Related Party Transactions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The LLC has entered into related party transactions with its Manager, CGM, and Sostratus LLC, including the following: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Management Services Agreement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LLC Agreement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Integration Services Agreements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Cost Reimbursement and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31445"/>
                <wp:effectExtent l="0" t="0" r="0" b="0"/>
                <wp:wrapNone/>
                <wp:docPr id="195" name="Frame1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F-61</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i/>
          <w:color w:val="000000"/>
          <w:sz w:val="20"/>
          <w:u w:val="single"/>
        </w:rPr>
        <w:t>Management Services Agreement</w:t>
      </w:r>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LLC entered into a MSA with CGM effective May 16, 2006, as amended. Our Chief Executive Officer is a the managing member of CGM. The MSA, provides for, among other things, CGM to perform services for the LLC in exchange for a management fee paid quarterly. The management fee is required to be paid prior to the payment of any distributions to shareholders.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Pursuant to the MSA, CGM is entitled to enter into off-setting management service agreements with each of the operating segments. The amount of the fee is negotiated between CGM and the operating management of each segment and is based upon the value of the services to be provided. The fees paid directly to CGM by the segments offset on a dollar for dollar basis the amount due CGM by the LLC under the MSA.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January 15, 2025, the LLC and the Manager amended the Sixth Amended and Restated Management Services Agreement dated as of September 30, 2014 and originally effective as of May 16, 2006 (the “Existing Agreement”), by entering into a Seventh Amended and Restated Management Services Agreement (the “MSA Amendment”), which restructures the management fee under the Existing Agreement to consist of a base management fee and an incentive management fee. Pursuant to the MSA Amendment, the base management fee will be (i) 2% the Company’s adjusted net assets when the adjusted net assets are less than or equal to $3.5 billion (the “Initial Threshold Fee”), (ii) the Initial Threshold Fee plus 1.25% of the amount of adjusted net assets exceeding $3.5 billion when the adjusted net assets are more than $3.5 billion but less than $10 billion, or (iii) 1.5% of the adjusted net assets when the adjusted net assets are $10 billion or more. The incentive management fee will be 0.25% of the amount of adjusted net assets exceeding $3.5 billion only when the adjusted net assets are more than $3.5 billion but less than $10 billion and only if the Company’s annualized internal rate of return on equity for the trailing three-years exceeds 12%. Any incentive management fee paid to the Manager may only be distributed by the Manager among the then-current Employees (as defined in the MSA) of the Manager. Such incentive management fee is subject to approval by the Compensation Committee of the Company's board of directors. The MSA Amendment also eliminates the payment of integration services fee by the Company’s subsidiaries to the Manager and excludes excess cash held by the Company and the Company’s subsidiaries, subject to certain exceptions, from the calculation of the adjusted net assets of the Company, along with certain other changes.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At December 31, 2023, CGM entered into a waiver to exclude cash balances held at the LLC from the calculation of the management fee. </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Effect of Restatement on Management Fees </w:t>
      </w:r>
    </w:p>
    <w:p>
      <w:pPr>
        <w:pStyle w:val="TextBody"/>
        <w:bidi w:val="0"/>
        <w:spacing w:lineRule="auto" w:line="288" w:before="120" w:after="283"/>
        <w:jc w:val="both"/>
        <w:rPr/>
      </w:pPr>
      <w:r>
        <w:rPr>
          <w:rFonts w:ascii="Arial;sans-serif" w:hAnsi="Arial;sans-serif"/>
          <w:b w:val="false"/>
          <w:color w:val="000000"/>
          <w:sz w:val="20"/>
          <w:shd w:fill="FFFFFF" w:val="clear"/>
        </w:rPr>
        <w:t>As a result of the restatement of the financial statements as of December 31, 2024, 2023 and 2022 and for the years ended December 31, 2024, 2023 and 2022, as well as for the period ended December 31, 2021 and revisions made in the quarter ended March 31, 2025, the management fees paid to CGM were in excess of the amounts that should have been due under the MSA. While the MSA does not contain an express mechanism that permits the Company to immediately clawback the overpayment of management fees during the aforementioned periods, the MSA provides that future payments under the MSA will be reduced, on a dollar-for-dollar basis, by the aggregate amount of all overpaid management fees. The Company calculated the total aggregate amount of excess management fees paid as a result of the restatement of the financial statements as $50.4 million. Due to the restrictions placed on payment of the management fee during under the Forbearance Agreements entered into during 2025 related to the 2022 Credit Facility, the Company paid $16.6 million less than the expense due during 2025, resulting in a total overpayment of management fees as of December 31, 2025 of $33.8 million. This amount was recorded as an asset "Due from CGM" that reduced the management fee expense for the year ended December 31, 2025. For the fourth quarter of 2025, the total management fee expense incurred totaled $14.3 million, of which $13.0 million was unpaid at December 31, 2025 and offset the amount due from CGM, resulting in a net receivable of $20.8 million</w:t>
      </w:r>
      <w:r>
        <w:rPr>
          <w:color w:val="000000"/>
        </w:rPr>
        <w:t xml:space="preserve"> </w:t>
      </w:r>
      <w:r>
        <w:rPr>
          <w:rFonts w:ascii="Arial;sans-serif" w:hAnsi="Arial;sans-serif"/>
          <w:b w:val="false"/>
          <w:color w:val="000000"/>
          <w:sz w:val="20"/>
        </w:rPr>
        <w:t>at December 31, 2025. The Company intends to reduce the amount of management fees paid in future quarters until the overpayment has been fully recouped. The Board intends to direct the Company to establish a plan for recovering all such excess management fees paid to the Manager as soon as is reasonably practicable, balancing prompt recovery with the need to fund Manager’s ongoing management services to the Company. Refer to "</w:t>
      </w:r>
      <w:hyperlink w:anchor="i1c8fbf41abdb4a90b1f02abaa0b14bbd_364">
        <w:r>
          <w:rPr>
            <w:rStyle w:val="InternetLink"/>
            <w:rFonts w:ascii="Arial;sans-serif" w:hAnsi="Arial;sans-serif"/>
            <w:b w:val="false"/>
            <w:color w:val="0000FF"/>
            <w:sz w:val="20"/>
            <w:u w:val="single"/>
          </w:rPr>
          <w:t>Note T - Subsequent Events</w:t>
        </w:r>
      </w:hyperlink>
      <w:r>
        <w:rPr>
          <w:rFonts w:ascii="Arial;sans-serif" w:hAnsi="Arial;sans-serif"/>
          <w:b w:val="false"/>
          <w:color w:val="000000"/>
          <w:sz w:val="20"/>
        </w:rPr>
        <w:t>" for a description of the MSA amendment entered into between the Manager and the LLC on February 23,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31445"/>
                <wp:effectExtent l="0" t="0" r="0" b="0"/>
                <wp:wrapNone/>
                <wp:docPr id="196" name="Frame1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the years ended December 31, 2025, 2024 and 2023, the Company incurred the following management fees to CGM, by entity:</w:t>
      </w:r>
    </w:p>
    <w:tbl>
      <w:tblPr>
        <w:tblW w:w="5067" w:type="dxa"/>
        <w:jc w:val="center"/>
        <w:tblInd w:w="0" w:type="dxa"/>
        <w:tblLayout w:type="fixed"/>
        <w:tblCellMar>
          <w:top w:w="28" w:type="dxa"/>
          <w:left w:w="28" w:type="dxa"/>
          <w:bottom w:w="28" w:type="dxa"/>
          <w:right w:w="28" w:type="dxa"/>
        </w:tblCellMar>
      </w:tblPr>
      <w:tblGrid>
        <w:gridCol w:w="549"/>
        <w:gridCol w:w="482"/>
        <w:gridCol w:w="484"/>
        <w:gridCol w:w="196"/>
        <w:gridCol w:w="646"/>
        <w:gridCol w:w="109"/>
        <w:gridCol w:w="109"/>
        <w:gridCol w:w="109"/>
        <w:gridCol w:w="109"/>
        <w:gridCol w:w="196"/>
        <w:gridCol w:w="646"/>
        <w:gridCol w:w="109"/>
        <w:gridCol w:w="109"/>
        <w:gridCol w:w="109"/>
        <w:gridCol w:w="109"/>
        <w:gridCol w:w="196"/>
        <w:gridCol w:w="64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240" w:after="283"/>
              <w:jc w:val="both"/>
              <w:rPr/>
            </w:pPr>
            <w:r>
              <w:rPr>
                <w:rFonts w:ascii="Arial;sans-serif" w:hAnsi="Arial;sans-serif"/>
                <w:b w:val="false"/>
                <w:color w:val="000000"/>
                <w:sz w:val="15"/>
              </w:rPr>
              <w:t>(</w:t>
            </w:r>
            <w:r>
              <w:rPr>
                <w:rFonts w:ascii="Arial;sans-serif" w:hAnsi="Arial;sans-serif"/>
                <w:b w:val="false"/>
                <w:i/>
                <w:color w:val="000000"/>
                <w:sz w:val="15"/>
              </w:rPr>
              <w:t>in thousands</w:t>
            </w:r>
            <w:r>
              <w:rPr>
                <w:rFonts w:ascii="Arial;sans-serif" w:hAnsi="Arial;sans-serif"/>
                <w:b w:val="false"/>
                <w:color w:val="000000"/>
                <w:sz w:val="15"/>
              </w:rPr>
              <w:t>)</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Sterno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Corporate </w:t>
            </w:r>
            <w:r>
              <w:rPr>
                <w:rFonts w:ascii="Arial;sans-serif" w:hAnsi="Arial;sans-serif"/>
                <w:b/>
                <w:color w:val="000000"/>
                <w:sz w:val="11"/>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20"/>
        </w:rPr>
        <w:t xml:space="preserve">Total expense incurred at Corporate was reduced by $50.4 million in overpaid management fees in the fourth quarter of 2025. </w:t>
      </w:r>
    </w:p>
    <w:p>
      <w:pPr>
        <w:pStyle w:val="TextBody"/>
        <w:bidi w:val="0"/>
        <w:spacing w:lineRule="auto" w:line="288" w:before="180" w:after="283"/>
        <w:jc w:val="both"/>
        <w:rPr/>
      </w:pPr>
      <w:r>
        <w:rPr>
          <w:rFonts w:ascii="Arial;sans-serif" w:hAnsi="Arial;sans-serif"/>
          <w:b w:val="false"/>
          <w:color w:val="000000"/>
          <w:sz w:val="20"/>
        </w:rPr>
        <w:t xml:space="preserve">Approximately </w:t>
      </w:r>
      <w:r>
        <w:rPr>
          <w:rFonts w:ascii="Arial;sans-serif" w:hAnsi="Arial;sans-serif"/>
          <w:b w:val="false"/>
          <w:color w:val="000000"/>
          <w:sz w:val="20"/>
          <w:shd w:fill="FFFFFF" w:val="clear"/>
        </w:rPr>
        <w:t>$13.0 million</w:t>
      </w:r>
      <w:r>
        <w:rPr>
          <w:color w:val="000000"/>
        </w:rPr>
        <w:t xml:space="preserve"> </w:t>
      </w:r>
      <w:r>
        <w:rPr>
          <w:rFonts w:ascii="Arial;sans-serif" w:hAnsi="Arial;sans-serif"/>
          <w:b w:val="false"/>
          <w:color w:val="000000"/>
          <w:sz w:val="20"/>
        </w:rPr>
        <w:t>and $18.0 million of the management fees incurred were unpaid as of December 31, 2025 and 2024, respectively, and are reflected in "Due to related party" on the consolidated balance sheets.</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LLC Agreement</w:t>
      </w:r>
    </w:p>
    <w:p>
      <w:pPr>
        <w:pStyle w:val="TextBody"/>
        <w:bidi w:val="0"/>
        <w:spacing w:lineRule="auto" w:line="288" w:before="120" w:after="283"/>
        <w:jc w:val="both"/>
        <w:rPr/>
      </w:pPr>
      <w:r>
        <w:rPr>
          <w:rFonts w:ascii="Arial;sans-serif" w:hAnsi="Arial;sans-serif"/>
          <w:b w:val="false"/>
          <w:color w:val="000000"/>
          <w:sz w:val="20"/>
        </w:rPr>
        <w:t>The LLC agreement gives the Allocation Interest Holders the right to distributions pursuant to a profit allocation formula upon the occurrence of a Sale Event or a Holding Event. The Holders are entitled to receive and as such can elect to receive, if due pursuant to the profit allocation formula, an allocation payment upon a Sale Event and upon election of the Holders upon a Holding Event. Holders received $48.9 million and $26.5 million in distributions related to Sale and Holding Events that occurred during the years ended December 31, 2024 and 2023, respectively. There were no profit allocation payments during the year ended December 31, 2025. Refer to "</w:t>
      </w:r>
      <w:hyperlink w:anchor="i1c8fbf41abdb4a90b1f02abaa0b14bbd_295">
        <w:r>
          <w:rPr>
            <w:rStyle w:val="InternetLink"/>
            <w:rFonts w:ascii="Arial;sans-serif" w:hAnsi="Arial;sans-serif"/>
            <w:b w:val="false"/>
            <w:color w:val="0000FF"/>
            <w:sz w:val="20"/>
            <w:u w:val="single"/>
          </w:rPr>
          <w:t>Note K - Stockholders' Equity</w:t>
        </w:r>
      </w:hyperlink>
      <w:r>
        <w:rPr>
          <w:rFonts w:ascii="Arial;sans-serif" w:hAnsi="Arial;sans-serif"/>
          <w:b w:val="false"/>
          <w:color w:val="000000"/>
          <w:sz w:val="20"/>
        </w:rPr>
        <w:t xml:space="preserve">" for a description of the profit allocation payments.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Lugano Bankruptcy was a Sale Event and any corresponding loss on such Sale Event will have the effect of reducing future allocation payments. The LLC Agreement also contains a mechanism to adjust future profit allocation payments by over-paid and under-paid profit distributions. The Company intends to cause future allocation payments to be adjusted, as necessary, to reflect the impact of the restatement of the Company’s financial statements as described in the 2024 Form 10-K/A.</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Certain employees, including the Company’s Chief Executive Officer and Chief Financial Officer, former employees, and members of our Manager, along with the estate of former director of the Company’s Board and CGI Diversified Holdings, LP, an affiliate of CGI Magyar Holdings LLC, beneficially own the Allocation Interests through their ownership in Sostratus LLC.</w:t>
      </w:r>
    </w:p>
    <w:p>
      <w:pPr>
        <w:pStyle w:val="TextBody"/>
        <w:bidi w:val="0"/>
        <w:spacing w:lineRule="auto" w:line="288" w:before="180" w:after="283"/>
        <w:jc w:val="left"/>
        <w:rPr>
          <w:rFonts w:ascii="Arial;sans-serif" w:hAnsi="Arial;sans-serif"/>
          <w:b w:val="false"/>
          <w:i/>
          <w:color w:val="000000"/>
          <w:sz w:val="20"/>
          <w:u w:val="single"/>
          <w:shd w:fill="FFFFFF" w:val="clear"/>
        </w:rPr>
      </w:pPr>
      <w:r>
        <w:rPr>
          <w:rFonts w:ascii="Arial;sans-serif" w:hAnsi="Arial;sans-serif"/>
          <w:b w:val="false"/>
          <w:i/>
          <w:color w:val="000000"/>
          <w:sz w:val="20"/>
          <w:u w:val="single"/>
          <w:shd w:fill="FFFFFF" w:val="clear"/>
        </w:rPr>
        <w:t>Integration Services Agreements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Integration service fees are included in selling, general and administrative expense on the subsidiaries' statements of operations in the period in which they are incurred. Under the Integration Services Agreement ("ISA"), CGM provides services for new segment-level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The amendment to the Management Service Agreement entered into in January 2025 eliminated the payment of integration services for future acquisitions.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Honey Pot Co., which was acquired in January 2024, entered into an ISA with CGM whereby The Honey Pot Co. will pay CGM a total integration services fee of $3.5 million, payable quarterly over a twelve-month period beginning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31445"/>
                <wp:effectExtent l="0" t="0" r="0" b="0"/>
                <wp:wrapNone/>
                <wp:docPr id="197" name="Frame1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F-63</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PrimaLoft, which was acquired in July 2022, entered into an ISA with CGM whereby PrimaLoft paid CGM a total integration services fee of $4.8 million, paid quarterly over a twelve-month period ended June 30, 2023.</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years ended December 31, 2025, 2024 and 2023, CGM received $0.9 million, $2.6 million, and $2.4 million, respectively, in total integration service fees. Integration service fees are included in selling, general and administrative expense on the subsidiaries' statements of operations in the period in which they are incurred.</w:t>
      </w:r>
    </w:p>
    <w:p>
      <w:pPr>
        <w:pStyle w:val="TextBody"/>
        <w:bidi w:val="0"/>
        <w:spacing w:lineRule="auto" w:line="288" w:before="180" w:after="283"/>
        <w:jc w:val="both"/>
        <w:rPr>
          <w:rFonts w:ascii="Arial;sans-serif" w:hAnsi="Arial;sans-serif"/>
          <w:b w:val="false"/>
          <w:i/>
          <w:color w:val="000000"/>
          <w:sz w:val="20"/>
          <w:u w:val="single"/>
        </w:rPr>
      </w:pPr>
      <w:r>
        <w:rPr>
          <w:rFonts w:ascii="Arial;sans-serif" w:hAnsi="Arial;sans-serif"/>
          <w:b w:val="false"/>
          <w:i/>
          <w:color w:val="000000"/>
          <w:sz w:val="20"/>
          <w:u w:val="single"/>
        </w:rPr>
        <w:t>Cost Reimbursement and Fees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reimbursed its Manager, CGM, approximately $7.0 million, $8.8 million, and $6.4 million, principally for occupancy and staffing costs incurred by CGM on the Company’s behalf during the years ended December 31, 2025, 2024 and 2023, respectively.</w:t>
      </w:r>
    </w:p>
    <w:p>
      <w:pPr>
        <w:pStyle w:val="TextBody"/>
        <w:bidi w:val="0"/>
        <w:spacing w:lineRule="auto" w:line="288" w:before="240" w:after="283"/>
        <w:jc w:val="both"/>
        <w:rPr/>
      </w:pPr>
      <w:r>
        <w:rPr>
          <w:rFonts w:ascii="Arial;sans-serif" w:hAnsi="Arial;sans-serif"/>
          <w:b/>
          <w:i/>
          <w:color w:val="000000"/>
          <w:sz w:val="20"/>
        </w:rPr>
        <w:t>The Company and its businesses have the following significant related party transactions</w:t>
      </w:r>
      <w:r>
        <w:rPr>
          <w:rFonts w:ascii="Arial;sans-serif" w:hAnsi="Arial;sans-serif"/>
          <w:b/>
          <w:color w:val="000000"/>
          <w:sz w:val="20"/>
        </w:rPr>
        <w:t>:</w:t>
      </w:r>
    </w:p>
    <w:p>
      <w:pPr>
        <w:pStyle w:val="TextBody"/>
        <w:bidi w:val="0"/>
        <w:spacing w:lineRule="auto" w:line="288" w:before="180" w:after="283"/>
        <w:jc w:val="left"/>
        <w:rPr>
          <w:rFonts w:ascii="Arial;sans-serif" w:hAnsi="Arial;sans-serif"/>
          <w:b w:val="false"/>
          <w:i/>
          <w:color w:val="000000"/>
          <w:sz w:val="20"/>
          <w:u w:val="single"/>
        </w:rPr>
      </w:pPr>
      <w:r>
        <w:rPr>
          <w:rFonts w:ascii="Arial;sans-serif" w:hAnsi="Arial;sans-serif"/>
          <w:b w:val="false"/>
          <w:i/>
          <w:color w:val="000000"/>
          <w:sz w:val="20"/>
          <w:u w:val="single"/>
        </w:rPr>
        <w:t>5.11</w:t>
      </w:r>
    </w:p>
    <w:p>
      <w:pPr>
        <w:pStyle w:val="TextBody"/>
        <w:bidi w:val="0"/>
        <w:spacing w:lineRule="auto" w:line="288" w:before="12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 xml:space="preserve">5.11 purchases inventory from a vendor who is a related party to 5.11 through one of the executive officers of 5.11 via the executive's 40% ownership interest in the vendor. During the years ended December 31, 2025, 2024 and 2023, 5.11 purchased approximately $1.0 million, $1.4 million, and $1.7 million, respectively, in inventory from the vendor. </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BOA</w:t>
      </w:r>
    </w:p>
    <w:p>
      <w:pPr>
        <w:pStyle w:val="TextBody"/>
        <w:bidi w:val="0"/>
        <w:spacing w:lineRule="auto" w:line="288" w:before="180" w:after="283"/>
        <w:jc w:val="both"/>
        <w:rPr/>
      </w:pPr>
      <w:r>
        <w:rPr>
          <w:rFonts w:ascii="Arial;sans-serif" w:hAnsi="Arial;sans-serif"/>
          <w:b w:val="false"/>
          <w:i/>
          <w:color w:val="000000"/>
          <w:sz w:val="20"/>
          <w:u w:val="single"/>
        </w:rPr>
        <w:t>Recapitalization</w:t>
      </w:r>
      <w:r>
        <w:rPr>
          <w:color w:val="000000"/>
        </w:rPr>
        <w:t xml:space="preserve"> </w:t>
      </w:r>
      <w:r>
        <w:rPr>
          <w:rFonts w:ascii="Arial;sans-serif" w:hAnsi="Arial;sans-serif"/>
          <w:b w:val="false"/>
          <w:i/>
          <w:color w:val="000000"/>
          <w:sz w:val="20"/>
        </w:rPr>
        <w:t xml:space="preserve">- </w:t>
      </w:r>
      <w:r>
        <w:rPr>
          <w:rFonts w:ascii="Arial;sans-serif" w:hAnsi="Arial;sans-serif"/>
          <w:b w:val="false"/>
          <w:color w:val="000000"/>
          <w:sz w:val="20"/>
        </w:rPr>
        <w:t xml:space="preserve">In December 2023, the Company completed a recapitalization of BOA whereby the LLC entered into an amendment to the intercompany credit agreement with BOA (the "BOA Credit Agreement"). The BOA Credit Agreement was amended to provide for additional term loan borrowings of $165.9 million to fund a distribution to shareholders. The LLC received a distribution of $131.0 million related to their ownership of the outstanding shares of BOA on the date of the distribution. Noncontrolling shareholders received a distribution of $11.7 million, and the remaining amount of the recapitalization was used to repurchase shares owned by employees after the exercise of fully vested employee stock options, and to pay a bonus to employees who held phantom stock options and were not eligible to participate in the distribution to noncontrolling shareholders. BOA recorded compensation expense of $3.1 million related to the bonus paid to employees as part of the recapitalization. </w:t>
      </w:r>
    </w:p>
    <w:p>
      <w:pPr>
        <w:pStyle w:val="TextBody"/>
        <w:bidi w:val="0"/>
        <w:spacing w:lineRule="auto" w:line="288" w:before="180" w:after="283"/>
        <w:jc w:val="both"/>
        <w:rPr/>
      </w:pPr>
      <w:r>
        <w:rPr>
          <w:rFonts w:ascii="Arial;sans-serif" w:hAnsi="Arial;sans-serif"/>
          <w:b w:val="false"/>
          <w:i/>
          <w:color w:val="000000"/>
          <w:sz w:val="20"/>
        </w:rPr>
        <w:t xml:space="preserve">Related Party Vendor Purchases - </w:t>
      </w:r>
      <w:r>
        <w:rPr>
          <w:rFonts w:ascii="Arial;sans-serif" w:hAnsi="Arial;sans-serif"/>
          <w:b w:val="false"/>
          <w:color w:val="000000"/>
          <w:sz w:val="20"/>
        </w:rPr>
        <w:t>A contract manufacturer used by BOA as the primary supplier of molded injection parts is a noncontrolling shareholder of BOA. During the years ended December 31, 2025 and 2024 and 2023, BOA purchased approximate</w:t>
      </w:r>
      <w:r>
        <w:rPr>
          <w:rFonts w:ascii="Arial;sans-serif" w:hAnsi="Arial;sans-serif"/>
          <w:b w:val="false"/>
          <w:color w:val="000000"/>
          <w:sz w:val="20"/>
          <w:shd w:fill="FFFFFF" w:val="clear"/>
        </w:rPr>
        <w:t xml:space="preserve">ly $44.8 million, $48.1 million </w:t>
      </w:r>
      <w:r>
        <w:rPr>
          <w:rFonts w:ascii="Arial;sans-serif" w:hAnsi="Arial;sans-serif"/>
          <w:b w:val="false"/>
          <w:color w:val="000000"/>
          <w:sz w:val="20"/>
        </w:rPr>
        <w:t>and $42.1 million, respectively, from this supplier.</w:t>
      </w:r>
    </w:p>
    <w:p>
      <w:pPr>
        <w:pStyle w:val="TextBody"/>
        <w:bidi w:val="0"/>
        <w:spacing w:lineRule="auto" w:line="288" w:before="240" w:after="283"/>
        <w:jc w:val="both"/>
        <w:rPr>
          <w:rFonts w:ascii="Arial;sans-serif" w:hAnsi="Arial;sans-serif"/>
          <w:b w:val="false"/>
          <w:i/>
          <w:color w:val="000000"/>
          <w:sz w:val="20"/>
          <w:u w:val="single"/>
        </w:rPr>
      </w:pPr>
      <w:r>
        <w:rPr>
          <w:rFonts w:ascii="Arial;sans-serif" w:hAnsi="Arial;sans-serif"/>
          <w:b w:val="false"/>
          <w:i/>
          <w:color w:val="000000"/>
          <w:sz w:val="20"/>
          <w:u w:val="single"/>
        </w:rPr>
        <w:t>Lugano</w:t>
      </w:r>
    </w:p>
    <w:p>
      <w:pPr>
        <w:pStyle w:val="TextBody"/>
        <w:bidi w:val="0"/>
        <w:spacing w:lineRule="auto" w:line="288" w:before="120" w:after="283"/>
        <w:jc w:val="both"/>
        <w:rPr/>
      </w:pPr>
      <w:r>
        <w:rPr>
          <w:rFonts w:ascii="Arial;sans-serif" w:hAnsi="Arial;sans-serif"/>
          <w:b w:val="false"/>
          <w:i/>
          <w:color w:val="000000"/>
          <w:sz w:val="20"/>
        </w:rPr>
        <w:t xml:space="preserve">Related Party Transaction - </w:t>
      </w:r>
      <w:r>
        <w:rPr>
          <w:rFonts w:ascii="Arial;sans-serif" w:hAnsi="Arial;sans-serif"/>
          <w:b w:val="false"/>
          <w:color w:val="000000"/>
          <w:sz w:val="20"/>
        </w:rPr>
        <w:t xml:space="preserve">In the first quarter of 2025, the former Chief Executive Officer of Lugano represented that he had entered into an agreement with a customer of Lugano to pay, on behalf of the customer, an $8.8 million outstanding account receivable owed to Lugano since July 2024. However, the former Chief Executive Officer of Lugano misrepresented the purpose and explanation for the transaction. It was subsequently determined that neither the account receivable nor the purpose of the payment by the former Chief Executive Officer of Lugano were factually accurate, and that instead the payment was made by the former Chief Executive Officer of Lugano in furtherance of his previously described schemes. </w:t>
      </w:r>
    </w:p>
    <w:p>
      <w:pPr>
        <w:pStyle w:val="TextBody"/>
        <w:bidi w:val="0"/>
        <w:spacing w:lineRule="auto" w:line="288" w:before="120" w:after="283"/>
        <w:jc w:val="both"/>
        <w:rPr/>
      </w:pPr>
      <w:r>
        <w:rPr>
          <w:rFonts w:ascii="Arial;sans-serif" w:hAnsi="Arial;sans-serif"/>
          <w:b w:val="false"/>
          <w:i/>
          <w:color w:val="000000"/>
          <w:sz w:val="20"/>
          <w:shd w:fill="FFFFFF" w:val="clear"/>
        </w:rPr>
        <w:t xml:space="preserve">Related Party Vendor Purchases - </w:t>
      </w:r>
      <w:r>
        <w:rPr>
          <w:rFonts w:ascii="Arial;sans-serif" w:hAnsi="Arial;sans-serif"/>
          <w:b w:val="false"/>
          <w:color w:val="000000"/>
          <w:sz w:val="20"/>
          <w:shd w:fill="FFFFFF" w:val="clear"/>
        </w:rPr>
        <w:t>Lu</w:t>
      </w:r>
      <w:r>
        <w:rPr>
          <w:rFonts w:ascii="Arial;sans-serif" w:hAnsi="Arial;sans-serif"/>
          <w:b w:val="false"/>
          <w:color w:val="000000"/>
          <w:sz w:val="20"/>
        </w:rPr>
        <w:t>gano purchases inventory from a vendor who is a related party to Lugano through one of the executive officers of Lugano. The related party relationship commenced in the second quarter of 2024 and ended in the fourth quarter of 2025. Lugano had approximately $0.3 million and $7.0 million in net purchases during the years ended</w:t>
      </w:r>
      <w:r>
        <w:rPr>
          <w:color w:val="000000"/>
        </w:rPr>
        <w:t xml:space="preserve"> </w:t>
      </w:r>
      <w:r>
        <w:rPr>
          <w:rFonts w:ascii="Arial;sans-serif" w:hAnsi="Arial;sans-serif"/>
          <w:b w:val="false"/>
          <w:color w:val="000000"/>
          <w:sz w:val="20"/>
        </w:rPr>
        <w:t>December 31, 2025 and December 31, 2024, respectively in inventory from the vendor.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Note R — Operating Segment Data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At December 31, 2025, the Company had eight reportable operating segments. Each operating segment represents a strategic business unit that offers different products and services. While each is actively managed by the Company, they are managed separately because each business requires different technology and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31445"/>
                <wp:effectExtent l="0" t="0" r="0" b="0"/>
                <wp:wrapNone/>
                <wp:docPr id="198" name="Frame1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F-64</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strategies. A description of each of the reportable segments and the types of products from which each segment derives its revenues is as follows: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5.11</w:t>
      </w:r>
      <w:r>
        <w:rPr>
          <w:color w:val="000000"/>
        </w:rPr>
        <w:t xml:space="preserve"> </w:t>
      </w:r>
      <w:r>
        <w:rPr>
          <w:rFonts w:ascii="Arial;sans-serif" w:hAnsi="Arial;sans-serif"/>
          <w:b w:val="false"/>
          <w:color w:val="000000"/>
          <w:sz w:val="20"/>
        </w:rPr>
        <w:t>is a global apparel, footwear, and gear company serving consumers who demand performance, durability, and versatility across work, training, and adventure. 5.11 is a brand known for innovation and authenticity and works directly with end users to create purpose-built apparel, footwear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BOA,</w:t>
      </w:r>
      <w:r>
        <w:rPr>
          <w:color w:val="000000"/>
        </w:rPr>
        <w:t xml:space="preserve"> </w:t>
      </w:r>
      <w:r>
        <w:rPr>
          <w:rFonts w:ascii="Arial;sans-serif" w:hAnsi="Arial;sans-serif"/>
          <w:b w:val="false"/>
          <w:color w:val="000000"/>
          <w:sz w:val="20"/>
          <w:shd w:fill="FFFFFF" w:val="clear"/>
        </w:rPr>
        <w:t xml:space="preserve">creator </w:t>
      </w:r>
      <w:r>
        <w:rPr>
          <w:rFonts w:ascii="Arial;sans-serif" w:hAnsi="Arial;sans-serif"/>
          <w:b w:val="false"/>
          <w:color w:val="000000"/>
          <w:sz w:val="20"/>
        </w:rPr>
        <w:t xml:space="preserve">of the award-winning, patented BOA Fit System, partners with market-leading brands to make the best gear even better. Delivering fit solutions purpose-built for performance, the BOA Fit System is featured in footwear across snow sports, cycling, outdoor, athletic, workwear as well as performance headwear and bracing. The system consists of three integral parts: a micro-adjustable dial, high-tensile lightweight laces, and low friction lace guides creating a superior alternative to laces, buckles, Velcro, and other traditional closure mechanisms. Each unique BOA configuration is designed with brand partners to deliver superior fit and performance for athletes, is engineered to perform in the toughest conditions and is backed by The BOA Lifetime Guarantee. BOA is headquartered in Denver, Colorado and has operations in Austria, China, South Korea, Japan and Vietnam.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PrimaLoft</w:t>
      </w:r>
      <w:r>
        <w:rPr>
          <w:color w:val="000000"/>
        </w:rPr>
        <w:t xml:space="preserve"> </w:t>
      </w:r>
      <w:r>
        <w:rPr>
          <w:rFonts w:ascii="Arial;sans-serif" w:hAnsi="Arial;sans-serif"/>
          <w:b w:val="false"/>
          <w:color w:val="000000"/>
          <w:sz w:val="20"/>
        </w:rPr>
        <w:t>is a leading provider of branded, high-performance synthetic insulation and materials used primarily in consumer outerwear, and accessories. The portfolio of PrimaLoft synthetic insulations offers products that can both mimic natural down aesthetics and provide the freedom to design garments ranging from stylish puffers to lightweight performance apparel. PrimaLoft insulations also offer superior economics to the brand partner and enable better sustainability characteristics through the use of recycled, low-carbon inputs. PrimaLoft is headquartered in Latham, New York.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The Honey Pot Co.</w:t>
      </w:r>
      <w:r>
        <w:rPr>
          <w:color w:val="000000"/>
        </w:rPr>
        <w:t xml:space="preserve"> </w:t>
      </w:r>
      <w:r>
        <w:rPr>
          <w:rFonts w:ascii="Arial;sans-serif" w:hAnsi="Arial;sans-serif"/>
          <w:b w:val="false"/>
          <w:color w:val="000000"/>
          <w:sz w:val="20"/>
        </w:rPr>
        <w:t>is a leading “better-for-you” feminine care brand, powered by plant-derived ingredients and clinically tested formulas. Founded in 2012 by CEO Beatrice Dixon, The Honey Pot Co. is rooted in the belief that all products should be made with healthy and efficacious ingredients that are kind to and safe for skin. The company offers an extensive range of holistic wellness products across the feminine hygiene, menstrual, personal care, and sexual wellness categories. The Honey Pot Co.'s mission is to educate, support, and provide consumers around the world with tools and resources that promote menstrual health and vaginal wellness. Its products can be found in more than 33,000 stores across the U.S. through mass merchants, drug and grocery retail chains, and online. The Honey Pot Co. is headquartered in Atlanta, Georgia.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Velocity Outdoor</w:t>
      </w:r>
      <w:r>
        <w:rPr>
          <w:color w:val="000000"/>
        </w:rPr>
        <w:t xml:space="preserve"> </w:t>
      </w:r>
      <w:r>
        <w:rPr>
          <w:rFonts w:ascii="Arial;sans-serif" w:hAnsi="Arial;sans-serif"/>
          <w:b w:val="false"/>
          <w:color w:val="000000"/>
          <w:sz w:val="20"/>
        </w:rPr>
        <w:t>is a leading designer, manufacturer, and marketer of archery products, hunting apparel and related accessories. The archery product category consists of products including Ravin crossbows and CenterPoint archery products, and the apparel category offers high-performance, feature rich hunting and casual apparel under the King's Camo brand, utilizing King’s own proprietary camo patterns. Velocity Outdoor offers its products through national retail chains and dealer and distributor networks. Velocity Outdoor is headquartered</w:t>
      </w:r>
      <w:r>
        <w:rPr>
          <w:color w:val="000000"/>
          <w:shd w:fill="FFFFFF" w:val="clear"/>
        </w:rPr>
        <w:t xml:space="preserve"> </w:t>
      </w:r>
      <w:r>
        <w:rPr>
          <w:rFonts w:ascii="Arial;sans-serif" w:hAnsi="Arial;sans-serif"/>
          <w:b w:val="false"/>
          <w:color w:val="000000"/>
          <w:sz w:val="20"/>
          <w:shd w:fill="FFFFFF" w:val="clear"/>
        </w:rPr>
        <w:t>in Rochester, New York. On A</w:t>
      </w:r>
      <w:r>
        <w:rPr>
          <w:rFonts w:ascii="Arial;sans-serif" w:hAnsi="Arial;sans-serif"/>
          <w:b w:val="false"/>
          <w:color w:val="000000"/>
          <w:sz w:val="20"/>
        </w:rPr>
        <w:t>pril 30, 2024, Velocity Outdoor sold the Crosman airgun product division. The results of operation for Crosman are included in the accompanying financial statements through the date of sale.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Altor Solutions</w:t>
      </w:r>
      <w:r>
        <w:rPr>
          <w:color w:val="000000"/>
        </w:rPr>
        <w:t xml:space="preserve"> </w:t>
      </w:r>
      <w:r>
        <w:rPr>
          <w:rFonts w:ascii="Arial;sans-serif" w:hAnsi="Arial;sans-serif"/>
          <w:b w:val="false"/>
          <w:color w:val="000000"/>
          <w:sz w:val="20"/>
        </w:rPr>
        <w:t xml:space="preserve">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Altor is headquartered in St. Louis, Missouri and operates 19 molding and fabricating facilities across North America.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20"/>
          <w:u w:val="single"/>
        </w:rPr>
        <w:t>Arnold</w:t>
      </w:r>
      <w:r>
        <w:rPr>
          <w:color w:val="000000"/>
        </w:rPr>
        <w:t xml:space="preserve"> </w:t>
      </w:r>
      <w:r>
        <w:rPr>
          <w:rFonts w:ascii="Arial;sans-serif" w:hAnsi="Arial;sans-serif"/>
          <w:b w:val="false"/>
          <w:color w:val="000000"/>
          <w:sz w:val="20"/>
        </w:rPr>
        <w:t xml:space="preserve">is a global solutions provider and manufacturer of engineered magnetic solutions for a wide range of specialty applications and end-markets, including aerospace and defense, general industrial, motorsport/ transportation, oil and gas, medical, energy, semiconductor and advertising specialties. Arnold engineers solutions for and produces high performance permanent magnets (PMAG), stators, rotors and full electric motors (Ramco), precision foil products (Precision Thin Metals), and flexible magnets (Flexmag™) that are mission critical in motors, generators, sensors and other systems and components. Based on its long-term relationships, Arnold has built a diverse and blue-chip customer base totaling more than 2,000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31445"/>
                <wp:effectExtent l="0" t="0" r="0" b="0"/>
                <wp:wrapNone/>
                <wp:docPr id="199" name="Frame1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F-65</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and leading systems-integrators worldwide with a focus on North America, Europe, and Asia. Arnold has built a preferred rare earth supply chain and has leading rare earth and other permanent magnet production capabilities. Arnold is headquartered in Rochester, New York. </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20"/>
          <w:u w:val="single"/>
        </w:rPr>
        <w:t>Sterno</w:t>
      </w:r>
      <w:r>
        <w:rPr>
          <w:color w:val="000000"/>
        </w:rPr>
        <w:t xml:space="preserve"> </w:t>
      </w:r>
      <w:r>
        <w:rPr>
          <w:rFonts w:ascii="Arial;sans-serif" w:hAnsi="Arial;sans-serif"/>
          <w:b w:val="false"/>
          <w:color w:val="000000"/>
          <w:sz w:val="20"/>
        </w:rPr>
        <w:t xml:space="preserve">is a leading manufacturer and marketer of portable food warming systems, creative indoor and outdoor lighting, and home fragrance solutions for the consumer markets. Sterno offers a broad range of wick and gel chafing systems, butane stoves and accessories, liquid and traditional wax candles, catering equipment and lamps through Sterno Products, as well as scented wax cubes, warmer products, outdoor lighting and essential oils used for home decor and fragrance systems, through Rimports. </w:t>
      </w:r>
      <w:r>
        <w:rPr>
          <w:rFonts w:ascii="Arial;sans-serif" w:hAnsi="Arial;sans-serif"/>
          <w:b w:val="false"/>
          <w:color w:val="000000"/>
          <w:sz w:val="20"/>
          <w:shd w:fill="FFFFFF" w:val="clear"/>
        </w:rPr>
        <w:t xml:space="preserve">Sterno is headquartered in Texarkana, Texas.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function of chief operating decision-maker (“CODM”) is performed collectively by our Chief Executive Officer, the Chief Operating Officer and the partners of the Company’s Manager, CGM. The CODM evaluates financial results by segment, utilizing segment operating income to assess performance and allocate resources. The allocation of resources to operating segments may include, but is not limited to, debt financing through the Company's intercompany credit agreements with its operating segments to fund working capital needs, purchases of capital equipment and add-on acquisitions. The primary resource allocation process occurs predominantly in the annual budget and forecasting process. The CODM then reviews and considers budget-to-actual variances on a monthly basis for segment operating income in order to determine whether to make any adjustments to capital allocations.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31445"/>
                <wp:effectExtent l="0" t="0" r="0" b="0"/>
                <wp:wrapNone/>
                <wp:docPr id="200" name="Frame1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F-66</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tabular information that follows shows data for each of the operating segments reconciled to amounts reflected in the consolidated financial statements. The operations of each of the operating segments are included in consolidated operating results as of their date of acquisition. Lugano was an operating segment of the Company until November 16, 2025 when Lugano filed for bankruptcy and was deconsolidated. The results of operation of Lugano are included in the Summary of Operating Segments table and the Depreciation and Amortization table for the year ended December 31, 2025 for the period from January 1, 2025 through November 16, 2025. Segment profit is determined based on internal performance measures used by the CODM to assess the performance of each business. The significant expense categories and amounts align with the segment-level information that is regularly provided to the CODM. In comparison to the Consolidated Statements of Operations, selling, general and administrative expense is exclusive of stock-based compensation and acquisition costs, which are categorized to Other. Corporate consists of corporate overhead and management fees to CGM that are not allocated the Company's reportable segments. There were no significant inter-segment transactions.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Summary of Operating Segments</w:t>
      </w:r>
    </w:p>
    <w:tbl>
      <w:tblPr>
        <w:tblW w:w="14509" w:type="dxa"/>
        <w:jc w:val="left"/>
        <w:tblInd w:w="0" w:type="dxa"/>
        <w:tblLayout w:type="fixed"/>
        <w:tblCellMar>
          <w:top w:w="28" w:type="dxa"/>
          <w:left w:w="28" w:type="dxa"/>
          <w:bottom w:w="28" w:type="dxa"/>
          <w:right w:w="28" w:type="dxa"/>
        </w:tblCellMar>
      </w:tblPr>
      <w:tblGrid>
        <w:gridCol w:w="618"/>
        <w:gridCol w:w="383"/>
        <w:gridCol w:w="24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09" w:type="dxa"/>
            <w:gridSpan w:val="6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Lugano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The Honey Pot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 Outdoor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Sterno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551,845 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79,113 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76,416 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303,021 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1,873,584 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1,059,192 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564,821 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Other</w:t>
            </w:r>
            <w:r>
              <w:rPr>
                <w:color w:val="000000"/>
              </w:rPr>
              <w:t xml:space="preserve"> </w:t>
            </w:r>
            <w:r>
              <w:rPr>
                <w:rFonts w:ascii="Arial;sans-serif" w:hAnsi="Arial;sans-serif"/>
                <w:b/>
                <w:color w:val="000000"/>
                <w:sz w:val="11"/>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147,363 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(77,883)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102,208 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Corporate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(91,098)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(175,270)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debt extinguishment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deconsolidation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(111,876)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income from continuing operations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(297,579)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4"/>
        </w:rPr>
        <w:t>(1)</w:t>
      </w:r>
      <w:r>
        <w:rPr>
          <w:color w:val="000000"/>
        </w:rPr>
        <w:t xml:space="preserve"> </w:t>
      </w:r>
      <w:r>
        <w:rPr>
          <w:rFonts w:ascii="Arial;sans-serif" w:hAnsi="Arial;sans-serif"/>
          <w:b w:val="false"/>
          <w:color w:val="000000"/>
          <w:sz w:val="19"/>
        </w:rPr>
        <w:t xml:space="preserve">Other consists of segment allocated management fees, amortization expense of intangible assets, stock-based compensation and impairment expense at Lugano of $31.5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31445"/>
                <wp:effectExtent l="0" t="0" r="0" b="0"/>
                <wp:wrapNone/>
                <wp:docPr id="201" name="Frame1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F-67</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14389" w:type="dxa"/>
        <w:jc w:val="left"/>
        <w:tblInd w:w="0" w:type="dxa"/>
        <w:tblLayout w:type="fixed"/>
        <w:tblCellMar>
          <w:top w:w="28" w:type="dxa"/>
          <w:left w:w="28" w:type="dxa"/>
          <w:bottom w:w="28" w:type="dxa"/>
          <w:right w:w="28" w:type="dxa"/>
        </w:tblCellMar>
      </w:tblPr>
      <w:tblGrid>
        <w:gridCol w:w="498"/>
        <w:gridCol w:w="383"/>
        <w:gridCol w:w="24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89" w:type="dxa"/>
            <w:gridSpan w:val="60"/>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2024</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Lugano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PrimaLoft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The Honey Pot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Sterno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96,427 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239,069 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318,448 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1,788,013 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1,037,594 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546,081 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w:t>
            </w:r>
            <w:r>
              <w:rPr>
                <w:rFonts w:ascii="Arial;sans-serif" w:hAnsi="Arial;sans-serif"/>
                <w:b w:val="false"/>
                <w:color w:val="000000"/>
                <w:sz w:val="11"/>
              </w:rPr>
              <w:t>(1)</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72,892 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 xml:space="preserve">Corporate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(87,760)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(14,868)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(122,802)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on sale of Crossman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(143,304)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loss from continuing operations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(309,210)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Arial;sans-serif" w:hAnsi="Arial;sans-serif"/>
          <w:b/>
          <w:color w:val="000000"/>
          <w:sz w:val="14"/>
        </w:rPr>
        <w:t>(1)</w:t>
      </w:r>
      <w:r>
        <w:rPr>
          <w:color w:val="000000"/>
        </w:rPr>
        <w:t xml:space="preserve"> </w:t>
      </w:r>
      <w:r>
        <w:rPr>
          <w:rFonts w:ascii="Arial;sans-serif" w:hAnsi="Arial;sans-serif"/>
          <w:b w:val="false"/>
          <w:color w:val="000000"/>
          <w:sz w:val="19"/>
        </w:rPr>
        <w:t xml:space="preserve">Other consists of segment allocated management fees, amortization expense of intangible assets, stock-based compensation, acquisition costs at THP and Altor, and goodwill impairment expense of $8.2 million for Velocity.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31445"/>
                <wp:effectExtent l="0" t="0" r="0" b="0"/>
                <wp:wrapNone/>
                <wp:docPr id="202" name="Frame2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F-68</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hanging="360"/>
        <w:jc w:val="both"/>
        <w:rPr/>
      </w:pPr>
      <w:r>
        <w:rPr/>
      </w:r>
    </w:p>
    <w:tbl>
      <w:tblPr>
        <w:tblW w:w="13329" w:type="dxa"/>
        <w:jc w:val="left"/>
        <w:tblInd w:w="0" w:type="dxa"/>
        <w:tblLayout w:type="fixed"/>
        <w:tblCellMar>
          <w:top w:w="28" w:type="dxa"/>
          <w:left w:w="28" w:type="dxa"/>
          <w:bottom w:w="28" w:type="dxa"/>
          <w:right w:w="28" w:type="dxa"/>
        </w:tblCellMar>
      </w:tblPr>
      <w:tblGrid>
        <w:gridCol w:w="498"/>
        <w:gridCol w:w="383"/>
        <w:gridCol w:w="245"/>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81" w:type="dxa"/>
            <w:gridSpan w:val="50"/>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 2023</w:t>
            </w:r>
          </w:p>
        </w:tc>
        <w:tc>
          <w:tcPr>
            <w:tcW w:w="1548"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5.11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BOA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Lugano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PrimaLoft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Velocity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Altor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Arnold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Sterno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533,089 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155,825 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1,689,920 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1,015,200 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Selling, general and administrative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474,340 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 xml:space="preserve">Other </w:t>
            </w:r>
            <w:r>
              <w:rPr>
                <w:rFonts w:ascii="Arial;sans-serif" w:hAnsi="Arial;sans-serif"/>
                <w:b w:val="false"/>
                <w:color w:val="000000"/>
                <w:sz w:val="11"/>
              </w:rPr>
              <w:t>(1)</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189,622 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segment 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(57,057)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 xml:space="preserve">Corporate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operating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(69,409)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(109,892)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consolidated income from continuing operations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(266,453)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rFonts w:ascii="Arial;sans-serif" w:hAnsi="Arial;sans-serif"/>
          <w:b/>
          <w:color w:val="000000"/>
          <w:sz w:val="14"/>
        </w:rPr>
        <w:t>(1)    </w:t>
      </w:r>
      <w:r>
        <w:rPr>
          <w:rFonts w:ascii="Arial;sans-serif" w:hAnsi="Arial;sans-serif"/>
          <w:b w:val="false"/>
          <w:color w:val="000000"/>
          <w:sz w:val="19"/>
        </w:rPr>
        <w:t>Other consists of segment allocated management fees, amortization expense of intangible assets, stock-based compensation, impairment expense at Lugano of $1.2 million</w:t>
      </w:r>
      <w:r>
        <w:rPr>
          <w:color w:val="000000"/>
        </w:rPr>
        <w:t xml:space="preserve"> </w:t>
      </w:r>
      <w:r>
        <w:rPr>
          <w:rFonts w:ascii="Arial;sans-serif" w:hAnsi="Arial;sans-serif"/>
          <w:b w:val="false"/>
          <w:color w:val="000000"/>
          <w:sz w:val="19"/>
        </w:rPr>
        <w:t xml:space="preserve">and goodwill impairment expense of $57.8 million at PrimaLoft and $31.6 million at Velocity.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31445"/>
                <wp:effectExtent l="0" t="0" r="0" b="0"/>
                <wp:wrapNone/>
                <wp:docPr id="203" name="Frame2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F-69</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7976" w:type="dxa"/>
        <w:jc w:val="center"/>
        <w:tblInd w:w="0" w:type="dxa"/>
        <w:tblLayout w:type="fixed"/>
        <w:tblCellMar>
          <w:top w:w="28" w:type="dxa"/>
          <w:left w:w="28" w:type="dxa"/>
          <w:bottom w:w="28" w:type="dxa"/>
          <w:right w:w="28" w:type="dxa"/>
        </w:tblCellMar>
      </w:tblPr>
      <w:tblGrid>
        <w:gridCol w:w="1506"/>
        <w:gridCol w:w="1322"/>
        <w:gridCol w:w="1326"/>
        <w:gridCol w:w="196"/>
        <w:gridCol w:w="736"/>
        <w:gridCol w:w="109"/>
        <w:gridCol w:w="109"/>
        <w:gridCol w:w="109"/>
        <w:gridCol w:w="109"/>
        <w:gridCol w:w="196"/>
        <w:gridCol w:w="736"/>
        <w:gridCol w:w="109"/>
        <w:gridCol w:w="109"/>
        <w:gridCol w:w="109"/>
        <w:gridCol w:w="109"/>
        <w:gridCol w:w="196"/>
        <w:gridCol w:w="73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Depreciation and Amortization Expense</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Year ended December 31,</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5"/>
              </w:rPr>
            </w:pPr>
            <w:r>
              <w:rPr>
                <w:rFonts w:ascii="Arial;sans-serif" w:hAnsi="Arial;sans-serif"/>
                <w:b w:val="false"/>
                <w:i/>
                <w:color w:val="000000"/>
                <w:sz w:val="15"/>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2023</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 Outdoor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Sterno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138,708 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129,534 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Reconciliation of segment to consolidated 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debt issuance costs and debt premiums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Consolidated 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142,726 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09" w:type="dxa"/>
        <w:jc w:val="center"/>
        <w:tblInd w:w="0" w:type="dxa"/>
        <w:tblLayout w:type="fixed"/>
        <w:tblCellMar>
          <w:top w:w="28" w:type="dxa"/>
          <w:left w:w="28" w:type="dxa"/>
          <w:bottom w:w="28" w:type="dxa"/>
          <w:right w:w="28" w:type="dxa"/>
        </w:tblCellMar>
      </w:tblPr>
      <w:tblGrid>
        <w:gridCol w:w="1467"/>
        <w:gridCol w:w="1288"/>
        <w:gridCol w:w="1294"/>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Identifiable Assets</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December 31</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2025</w:t>
            </w:r>
            <w:r>
              <w:rPr>
                <w:color w:val="000000"/>
              </w:rPr>
              <w:t xml:space="preserve"> </w:t>
            </w:r>
            <w:r>
              <w:rPr>
                <w:rFonts w:ascii="Arial;sans-serif" w:hAnsi="Arial;sans-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2024</w:t>
            </w:r>
            <w:r>
              <w:rPr>
                <w:color w:val="000000"/>
              </w:rPr>
              <w:t xml:space="preserve"> </w:t>
            </w:r>
            <w:r>
              <w:rPr>
                <w:rFonts w:ascii="Arial;sans-serif" w:hAnsi="Arial;sans-serif"/>
                <w:b/>
                <w:color w:val="000000"/>
                <w:sz w:val="11"/>
              </w:rPr>
              <w:t>(1)</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5.11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67,064 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59,461 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420,755 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413,831 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BOA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Lugano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315,992 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PrimaLoft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The Honey Pot Co.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268,162 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284,208 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Velocity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Altor Solutions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309,174 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Arnold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126,035 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Sterno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Sales allowance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1,780,209 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2,173,433 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Reconciliation of segment to consolidated totals: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Corporate and other identifiable assets</w:t>
            </w:r>
            <w:r>
              <w:rPr>
                <w:color w:val="000000"/>
              </w:rPr>
              <w:t xml:space="preser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1,940,876 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2,194,334 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pPr>
      <w:r>
        <w:rPr>
          <w:rFonts w:ascii="Arial;sans-serif" w:hAnsi="Arial;sans-serif"/>
          <w:b/>
          <w:color w:val="000000"/>
          <w:sz w:val="13"/>
        </w:rPr>
        <w:t>(1)    </w:t>
      </w:r>
      <w:r>
        <w:rPr>
          <w:rFonts w:ascii="Arial;sans-serif" w:hAnsi="Arial;sans-serif"/>
          <w:b w:val="false"/>
          <w:color w:val="000000"/>
          <w:sz w:val="19"/>
        </w:rPr>
        <w:t>Does not include accounts receivable balances per schedule above or goodwill balances - refer to "</w:t>
      </w:r>
      <w:hyperlink w:anchor="i1c8fbf41abdb4a90b1f02abaa0b14bbd_286">
        <w:r>
          <w:rPr>
            <w:rStyle w:val="InternetLink"/>
            <w:rFonts w:ascii="Arial;sans-serif" w:hAnsi="Arial;sans-serif"/>
            <w:b w:val="false"/>
            <w:color w:val="0000FF"/>
            <w:sz w:val="19"/>
            <w:u w:val="single"/>
          </w:rPr>
          <w:t>Note H - Goodwill and Intangible Assets</w:t>
        </w:r>
      </w:hyperlink>
      <w:r>
        <w:rPr>
          <w:rFonts w:ascii="Arial;sans-serif" w:hAnsi="Arial;sans-serif"/>
          <w:b w:val="false"/>
          <w:color w:val="000000"/>
          <w:sz w:val="19"/>
        </w:rPr>
        <w:t>" for a schedule of goodwill by segment.</w:t>
      </w:r>
    </w:p>
    <w:p>
      <w:pPr>
        <w:pStyle w:val="TextBody"/>
        <w:bidi w:val="0"/>
        <w:spacing w:lineRule="auto" w:line="288" w:before="300" w:after="283"/>
        <w:ind w:left="0" w:right="0" w:hanging="360"/>
        <w:jc w:val="both"/>
        <w:rPr>
          <w:rFonts w:ascii="Arial;sans-serif" w:hAnsi="Arial;sans-serif"/>
          <w:b/>
          <w:i/>
          <w:color w:val="000000"/>
          <w:sz w:val="20"/>
        </w:rPr>
      </w:pPr>
      <w:r>
        <w:rPr>
          <w:rFonts w:ascii="Arial;sans-serif" w:hAnsi="Arial;sans-serif"/>
          <w:b/>
          <w:i/>
          <w:color w:val="000000"/>
          <w:sz w:val="20"/>
        </w:rPr>
        <w:t>Geographic Information</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Revenues are attributable to countries based on the location of customers. Revenue attributable to any individual foreign country was not material in 2025, 2024 or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31445"/>
                <wp:effectExtent l="0" t="0" r="0" b="0"/>
                <wp:wrapNone/>
                <wp:docPr id="204" name="Frame2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F-70</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Identifiable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Several of the Company's operating segments have subsidiaries with assets located outside of the United States. The following table presents identifiable assets by geographic area:</w:t>
      </w:r>
    </w:p>
    <w:tbl>
      <w:tblPr>
        <w:tblW w:w="4958" w:type="dxa"/>
        <w:jc w:val="center"/>
        <w:tblInd w:w="0" w:type="dxa"/>
        <w:tblLayout w:type="fixed"/>
        <w:tblCellMar>
          <w:top w:w="28" w:type="dxa"/>
          <w:left w:w="28" w:type="dxa"/>
          <w:bottom w:w="28" w:type="dxa"/>
          <w:right w:w="28" w:type="dxa"/>
        </w:tblCellMar>
      </w:tblPr>
      <w:tblGrid>
        <w:gridCol w:w="808"/>
        <w:gridCol w:w="711"/>
        <w:gridCol w:w="715"/>
        <w:gridCol w:w="196"/>
        <w:gridCol w:w="871"/>
        <w:gridCol w:w="109"/>
        <w:gridCol w:w="109"/>
        <w:gridCol w:w="109"/>
        <w:gridCol w:w="109"/>
        <w:gridCol w:w="196"/>
        <w:gridCol w:w="871"/>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Identifiable Assets</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December 31, </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2024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1,831,660 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2,091,138 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international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7"/>
              </w:rPr>
              <w:t>Total identifiable assets</w:t>
            </w:r>
            <w:r>
              <w:rPr>
                <w:color w:val="000000"/>
              </w:rPr>
              <w:t xml:space="preserv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1,940,876 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2,194,334 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Note S – Unaudited Quarterly Financial Data </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Unaudited Quarterly Financial Data</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tables present the unaudited quarterly financial data. This information has been prepared on a basis consistent with that of the audited consolidated financial statements and all necessary material adjustments, consisting of normal recurring accruals and adjustments, have been included to present fairly the unaudited quarterly financial data. The quarterly results of operations for these periods are not necessarily indicative of future results of operations. Typically, the first quarter of each fiscal year has the lower results than the remainder of the year, representing the Company's weakest quarter due to seasonality at our businesses. The per share calculations for each of the quarters are based on the weighted average number of shares for each period using the two class method, which requires companies to allocate participating securities that have rights to earnings that otherwise would have been available only to common shareholders as a separate class of securities in calculating earnings per share; therefore, the sum of the quarters will not equal to the full year per share amount.</w:t>
      </w:r>
    </w:p>
    <w:tbl>
      <w:tblPr>
        <w:tblW w:w="10205" w:type="dxa"/>
        <w:jc w:val="left"/>
        <w:tblInd w:w="0" w:type="dxa"/>
        <w:tblLayout w:type="fixed"/>
        <w:tblCellMar>
          <w:top w:w="28" w:type="dxa"/>
          <w:left w:w="28" w:type="dxa"/>
          <w:bottom w:w="28" w:type="dxa"/>
          <w:right w:w="28" w:type="dxa"/>
        </w:tblCellMar>
      </w:tblPr>
      <w:tblGrid>
        <w:gridCol w:w="1526"/>
        <w:gridCol w:w="1189"/>
        <w:gridCol w:w="1190"/>
        <w:gridCol w:w="274"/>
        <w:gridCol w:w="1033"/>
        <w:gridCol w:w="152"/>
        <w:gridCol w:w="109"/>
        <w:gridCol w:w="109"/>
        <w:gridCol w:w="109"/>
        <w:gridCol w:w="265"/>
        <w:gridCol w:w="996"/>
        <w:gridCol w:w="147"/>
        <w:gridCol w:w="109"/>
        <w:gridCol w:w="109"/>
        <w:gridCol w:w="109"/>
        <w:gridCol w:w="227"/>
        <w:gridCol w:w="855"/>
        <w:gridCol w:w="126"/>
        <w:gridCol w:w="109"/>
        <w:gridCol w:w="109"/>
        <w:gridCol w:w="109"/>
        <w:gridCol w:w="223"/>
        <w:gridCol w:w="839"/>
        <w:gridCol w:w="182"/>
      </w:tblGrid>
      <w:tr>
        <w:trPr/>
        <w:tc>
          <w:tcPr>
            <w:tcW w:w="152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4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December 31, 2025 </w:t>
            </w:r>
            <w:r>
              <w:rPr>
                <w:rFonts w:ascii="Arial;sans-serif" w:hAnsi="Arial;sans-serif"/>
                <w:b/>
                <w:color w:val="000000"/>
                <w:sz w:val="11"/>
              </w:rPr>
              <w:t xml:space="preserve">(2)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 xml:space="preserve">September 30,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June 30, 2025 </w:t>
            </w:r>
            <w:r>
              <w:rPr>
                <w:rFonts w:ascii="Arial;sans-serif" w:hAnsi="Arial;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7"/>
              </w:rPr>
            </w:pPr>
            <w:r>
              <w:rPr>
                <w:rFonts w:ascii="Arial;sans-serif" w:hAnsi="Arial;sans-serif"/>
                <w:b/>
                <w:color w:val="000000"/>
                <w:sz w:val="17"/>
              </w:rPr>
              <w:t xml:space="preserve">March 31, 2025 </w:t>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revenues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468,557 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472,562 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478,690 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453,775 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202,104 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207,715 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208,541 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196,032 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Operating income (loss)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45,974 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(11,067)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(27,238)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3,441 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from continuing operations attributable to Holdings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(71,770)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(73,492)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(54,022)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(30,037)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(loss) on sale of discontinued operations attributable to Holdings, net of tax</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2,805 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loss attributable to Holdings</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(71,190)</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(74,015)</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(51,217)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(29,993)</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fully diluted income (loss) per share attributable to Holdings:</w:t>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Continuing operations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(0.92)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Discontinued operations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fully diluted income (loss) per share attributable to Holdings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(0.88)</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(0.59)</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color w:val="000000"/>
          <w:sz w:val="12"/>
        </w:rPr>
        <w:t>(1)</w:t>
      </w:r>
      <w:r>
        <w:rPr>
          <w:color w:val="000000"/>
        </w:rPr>
        <w:t>    </w:t>
      </w:r>
      <w:r>
        <w:rPr>
          <w:rFonts w:ascii="Arial;sans-serif" w:hAnsi="Arial;sans-serif"/>
          <w:b w:val="false"/>
          <w:color w:val="000000"/>
          <w:sz w:val="18"/>
        </w:rPr>
        <w:t>The Company recorded impairment of long-lived assets of $31.5 million in the second quarter of 2025. Refer to "</w:t>
      </w:r>
      <w:hyperlink w:anchor="i1c8fbf41abdb4a90b1f02abaa0b14bbd_286">
        <w:r>
          <w:rPr>
            <w:rStyle w:val="InternetLink"/>
            <w:rFonts w:ascii="Arial;sans-serif" w:hAnsi="Arial;sans-serif"/>
            <w:b w:val="false"/>
            <w:color w:val="0000FF"/>
            <w:sz w:val="18"/>
            <w:u w:val="single"/>
          </w:rPr>
          <w:t>Note H - Goodwill and Intangible Assets</w:t>
        </w:r>
      </w:hyperlink>
      <w:r>
        <w:rPr>
          <w:rFonts w:ascii="Arial;sans-serif" w:hAnsi="Arial;sans-serif"/>
          <w:b w:val="false"/>
          <w:color w:val="000000"/>
          <w:sz w:val="18"/>
        </w:rPr>
        <w:t xml:space="preserve">" for further description. </w:t>
      </w:r>
    </w:p>
    <w:p>
      <w:pPr>
        <w:pStyle w:val="TextBody"/>
        <w:bidi w:val="0"/>
        <w:spacing w:lineRule="auto" w:line="288" w:before="120" w:after="283"/>
        <w:ind w:left="0" w:right="0" w:hanging="270"/>
        <w:jc w:val="both"/>
        <w:rPr/>
      </w:pPr>
      <w:r>
        <w:rPr>
          <w:rFonts w:ascii="Arial;sans-serif" w:hAnsi="Arial;sans-serif"/>
          <w:b/>
          <w:color w:val="000000"/>
          <w:sz w:val="12"/>
        </w:rPr>
        <w:t>(2)     </w:t>
      </w:r>
      <w:r>
        <w:rPr>
          <w:rFonts w:ascii="Arial;sans-serif" w:hAnsi="Arial;sans-serif"/>
          <w:b w:val="false"/>
          <w:color w:val="000000"/>
          <w:sz w:val="18"/>
        </w:rPr>
        <w:t>The Company recorded a loss on deconsolidation of $111.9 million due to the Lugano Bankruptcy in the fourth quarter of 2025. Refer to "</w:t>
      </w:r>
      <w:hyperlink w:anchor="i1c8fbf41abdb4a90b1f02abaa0b14bbd_2779">
        <w:r>
          <w:rPr>
            <w:rStyle w:val="InternetLink"/>
            <w:rFonts w:ascii="Arial;sans-serif" w:hAnsi="Arial;sans-serif"/>
            <w:b w:val="false"/>
            <w:color w:val="0000FF"/>
            <w:sz w:val="18"/>
            <w:u w:val="single"/>
          </w:rPr>
          <w:t>Note C - Deconsolidation</w:t>
        </w:r>
      </w:hyperlink>
      <w:r>
        <w:rPr>
          <w:rFonts w:ascii="Arial;sans-serif" w:hAnsi="Arial;sans-serif"/>
          <w:b w:val="false"/>
          <w:color w:val="000000"/>
          <w:sz w:val="18"/>
        </w:rPr>
        <w:t xml:space="preserve">" for further description. </w:t>
      </w:r>
    </w:p>
    <w:p>
      <w:pPr>
        <w:pStyle w:val="TextBody"/>
        <w:bidi w:val="0"/>
        <w:spacing w:before="120" w:after="283"/>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31445"/>
                <wp:effectExtent l="0" t="0" r="0" b="0"/>
                <wp:wrapNone/>
                <wp:docPr id="205" name="Frame2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F-71</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34"/>
        <w:gridCol w:w="1109"/>
        <w:gridCol w:w="1111"/>
        <w:gridCol w:w="275"/>
        <w:gridCol w:w="1035"/>
        <w:gridCol w:w="153"/>
        <w:gridCol w:w="109"/>
        <w:gridCol w:w="109"/>
        <w:gridCol w:w="109"/>
        <w:gridCol w:w="281"/>
        <w:gridCol w:w="1059"/>
        <w:gridCol w:w="156"/>
        <w:gridCol w:w="109"/>
        <w:gridCol w:w="109"/>
        <w:gridCol w:w="109"/>
        <w:gridCol w:w="227"/>
        <w:gridCol w:w="856"/>
        <w:gridCol w:w="126"/>
        <w:gridCol w:w="109"/>
        <w:gridCol w:w="109"/>
        <w:gridCol w:w="109"/>
        <w:gridCol w:w="251"/>
        <w:gridCol w:w="945"/>
        <w:gridCol w:w="206"/>
      </w:tblGrid>
      <w:tr>
        <w:trPr/>
        <w:tc>
          <w:tcPr>
            <w:tcW w:w="1434"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(in thousands)</w:t>
            </w:r>
          </w:p>
        </w:tc>
        <w:tc>
          <w:tcPr>
            <w:tcW w:w="14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December 31, 2024 </w:t>
            </w:r>
            <w:r>
              <w:rPr>
                <w:rFonts w:ascii="Arial;sans-serif" w:hAnsi="Arial;sans-serif"/>
                <w:b/>
                <w:color w:val="000000"/>
                <w:sz w:val="11"/>
              </w:rPr>
              <w:t xml:space="preserve">(4)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September 30, 2024 </w:t>
            </w:r>
            <w:r>
              <w:rPr>
                <w:rFonts w:ascii="Arial;sans-serif" w:hAnsi="Arial;sans-serif"/>
                <w:b/>
                <w:color w:val="000000"/>
                <w:sz w:val="11"/>
              </w:rPr>
              <w:t xml:space="preserve">(3)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June 30, 2024 </w:t>
            </w:r>
            <w:r>
              <w:rPr>
                <w:rFonts w:ascii="Arial;sans-serif" w:hAnsi="Arial;sans-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March 31, 2024 </w:t>
            </w:r>
            <w:r>
              <w:rPr>
                <w:rFonts w:ascii="Arial;sans-serif" w:hAnsi="Arial;sans-serif"/>
                <w:b/>
                <w:color w:val="000000"/>
                <w:sz w:val="11"/>
              </w:rPr>
              <w:t>(1) (2)</w:t>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revenues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493,929 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456,553 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426,705 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410,826 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Gross profit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190,649 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196,633 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188,185 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174,952 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Operating income </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(18,561)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(12,107)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Loss from continuing operations attributable to Holdings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(46,927)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(35,536)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(74,159)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(60,175)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(loss) from discontinued operations attributable to Holdings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(5,285)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(496)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653 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Gain on sale of discontinued operations attributable to Holdings, net of tax</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8,612 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3,345 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income (loss) attributable to Holdings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(43,600)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(36,032)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(73,052)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(56,177)</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fully diluted income (loss) per share attributable to Holdings:</w:t>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Continuing operations</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(0.78)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7"/>
              </w:rPr>
              <w:t>Discontinued operations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Basic and fully diluted income (loss) per share attributable to Holdings</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(0.74)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(0.62)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(1.12)</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(1.52)</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Arial;sans-serif" w:hAnsi="Arial;sans-serif"/>
          <w:b/>
          <w:color w:val="000000"/>
          <w:sz w:val="13"/>
        </w:rPr>
        <w:t>(1)</w:t>
      </w:r>
      <w:r>
        <w:rPr>
          <w:color w:val="000000"/>
        </w:rPr>
        <w:t xml:space="preserve"> </w:t>
      </w:r>
      <w:r>
        <w:rPr>
          <w:rFonts w:ascii="Arial;sans-serif" w:hAnsi="Arial;sans-serif"/>
          <w:b w:val="false"/>
          <w:color w:val="000000"/>
          <w:sz w:val="18"/>
        </w:rPr>
        <w:t>The Company sold its Marucci operating segment in the fourth quarter of 2023. In the first quarter of 2024, the LLC received a net working capital settlement of approximately $3.3 million related to Marucci, which was recognized as an additional gain on sale of discontinued operations, net of taxes.</w:t>
      </w:r>
    </w:p>
    <w:p>
      <w:pPr>
        <w:pStyle w:val="TextBody"/>
        <w:bidi w:val="0"/>
        <w:spacing w:lineRule="auto" w:line="288" w:before="120" w:after="283"/>
        <w:ind w:left="0" w:right="0" w:hanging="270"/>
        <w:jc w:val="both"/>
        <w:rPr/>
      </w:pPr>
      <w:r>
        <w:rPr>
          <w:rFonts w:ascii="Arial;sans-serif" w:hAnsi="Arial;sans-serif"/>
          <w:b/>
          <w:color w:val="000000"/>
          <w:sz w:val="12"/>
        </w:rPr>
        <w:t>(2)</w:t>
      </w:r>
      <w:r>
        <w:rPr>
          <w:color w:val="000000"/>
        </w:rPr>
        <w:t>    </w:t>
      </w:r>
      <w:r>
        <w:rPr>
          <w:rFonts w:ascii="Arial;sans-serif" w:hAnsi="Arial;sans-serif"/>
          <w:b w:val="false"/>
          <w:color w:val="000000"/>
          <w:sz w:val="18"/>
        </w:rPr>
        <w:t>The Company recorded goodwill impairment of $8.2 million in the first quarter of 2024. Refer to "</w:t>
      </w:r>
      <w:hyperlink w:anchor="i1c8fbf41abdb4a90b1f02abaa0b14bbd_286">
        <w:r>
          <w:rPr>
            <w:rStyle w:val="InternetLink"/>
            <w:rFonts w:ascii="Arial;sans-serif" w:hAnsi="Arial;sans-serif"/>
            <w:b w:val="false"/>
            <w:color w:val="0000FF"/>
            <w:sz w:val="18"/>
            <w:u w:val="single"/>
          </w:rPr>
          <w:t>Note H - Goodwill and Intangible Assets</w:t>
        </w:r>
      </w:hyperlink>
      <w:r>
        <w:rPr>
          <w:rFonts w:ascii="Arial;sans-serif" w:hAnsi="Arial;sans-serif"/>
          <w:b w:val="false"/>
          <w:color w:val="000000"/>
          <w:sz w:val="18"/>
        </w:rPr>
        <w:t xml:space="preserve">" for further description. </w:t>
      </w:r>
    </w:p>
    <w:p>
      <w:pPr>
        <w:pStyle w:val="TextBody"/>
        <w:bidi w:val="0"/>
        <w:spacing w:lineRule="auto" w:line="288" w:before="120" w:after="283"/>
        <w:ind w:left="0" w:right="0" w:hanging="270"/>
        <w:jc w:val="both"/>
        <w:rPr/>
      </w:pPr>
      <w:r>
        <w:rPr>
          <w:rFonts w:ascii="Arial;sans-serif" w:hAnsi="Arial;sans-serif"/>
          <w:b/>
          <w:color w:val="000000"/>
          <w:sz w:val="12"/>
        </w:rPr>
        <w:t>(3)     </w:t>
      </w:r>
      <w:r>
        <w:rPr>
          <w:rFonts w:ascii="Arial;sans-serif" w:hAnsi="Arial;sans-serif"/>
          <w:b w:val="false"/>
          <w:color w:val="000000"/>
          <w:sz w:val="18"/>
          <w:shd w:fill="FFFFFF" w:val="clear"/>
        </w:rPr>
        <w:t xml:space="preserve">The Company recorded a loss of $24.6 million on the sale of Crosman in the second quarter of 2024, and a gain of </w:t>
      </w:r>
      <w:r>
        <w:rPr>
          <w:rFonts w:ascii="Arial;sans-serif" w:hAnsi="Arial;sans-serif"/>
          <w:b w:val="false"/>
          <w:color w:val="000000"/>
          <w:sz w:val="18"/>
        </w:rPr>
        <w:t>$0.4 million</w:t>
      </w:r>
      <w:r>
        <w:rPr>
          <w:color w:val="000000"/>
          <w:shd w:fill="FFFFFF" w:val="clear"/>
        </w:rPr>
        <w:t xml:space="preserve"> </w:t>
      </w:r>
      <w:r>
        <w:rPr>
          <w:rFonts w:ascii="Arial;sans-serif" w:hAnsi="Arial;sans-serif"/>
          <w:b w:val="false"/>
          <w:color w:val="000000"/>
          <w:sz w:val="18"/>
          <w:shd w:fill="FFFFFF" w:val="clear"/>
        </w:rPr>
        <w:t>in the third quarter of 2024 related to the working capital settlement.</w:t>
      </w:r>
    </w:p>
    <w:p>
      <w:pPr>
        <w:pStyle w:val="TextBody"/>
        <w:bidi w:val="0"/>
        <w:spacing w:lineRule="auto" w:line="288" w:before="120" w:after="283"/>
        <w:ind w:left="0" w:right="0" w:hanging="270"/>
        <w:jc w:val="both"/>
        <w:rPr/>
      </w:pPr>
      <w:r>
        <w:rPr>
          <w:rFonts w:ascii="Arial;sans-serif" w:hAnsi="Arial;sans-serif"/>
          <w:b/>
          <w:color w:val="000000"/>
          <w:sz w:val="12"/>
        </w:rPr>
        <w:t xml:space="preserve">(4) </w:t>
      </w:r>
      <w:r>
        <w:rPr>
          <w:rFonts w:ascii="Arial;sans-serif" w:hAnsi="Arial;sans-serif"/>
          <w:b w:val="false"/>
          <w:color w:val="000000"/>
          <w:sz w:val="18"/>
        </w:rPr>
        <w:t>The Company sold its Ergo operating segment in the fourth quarter of 2024, recording a pre-tax gain on sale of $6.1 million. All prior periods are presented as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shd w:fill="FFFFFF" w:val="clear"/>
        </w:rPr>
      </w:pPr>
      <w:r>
        <w:rPr>
          <w:rFonts w:ascii="Arial;sans-serif" w:hAnsi="Arial;sans-serif"/>
          <w:b/>
          <w:color w:val="000000"/>
          <w:sz w:val="20"/>
          <w:shd w:fill="FFFFFF" w:val="clear"/>
        </w:rPr>
        <w:t>Note T - Subsequent Events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NYSE Notice of Failure to Satisfy a Continued Listing Rule</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January 2, 2026, the Company received a letter from the New York Stock Exchange informing CODI that it is non-compliant with the corporate governance listing standards set forth in Section 302 of the New York Stock Exchange Listed Company Manual, which requires issuers to hold an annual meeting during each fiscal year. The Company was unable to hold an annual meeting during its 2025 fiscal year due to the need to complete the restatement of its financial statements as of and for the fiscal years ended December 31, 2024, 2023 and 2022, and the resulting delay in filing its amended Annual Report on Form 10-K for the fiscal year ended December 31, 2024. CODI filed its Amended Annual Report with the Securities and Exchange Commission on December 8, 2025, and intends to hold an annual meeting as soon as practicable in order to regain compliance under the Listed Company Manual. Until CODI regains compliance, CODI will be added to NYSE’s list of non-compliant issuers and a below compliance (“.BC”) indicator will be appended to CODI’s ticker symbols. </w:t>
      </w:r>
    </w:p>
    <w:p>
      <w:pPr>
        <w:pStyle w:val="TextBody"/>
        <w:bidi w:val="0"/>
        <w:spacing w:lineRule="auto" w:line="288" w:before="24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Amendment of Management Services Agreement</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On February 23, 2026, the LLC and CGM amended the MSA by entering into an Eighth Amended and Restated Management Services Agreement (the “MSA Amendment”), which provides the following, along with certain other changes: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Manager shall repay the over-paid management fees on the applicable management fee payment dates absent written consent of the Company otherwise;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to ensure the Manager is sufficiently funded to continue delivering services to the Company, the Company may, in its sole discretion, elect to pay the Manager all or a portion of the management fee that would otherwise be due in respect of a fiscal quarter (“Company Paid Amounts”), notwithstanding that a balance of over-paid management fees remains outstanding, so long as any Company Paid Amounts bear interest as agreed by the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31445"/>
                <wp:effectExtent l="0" t="0" r="0" b="0"/>
                <wp:wrapNone/>
                <wp:docPr id="206" name="Frame2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F-72</w:t>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COMPASS DIVERSIFIED HOLDINGS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CONSOLIDATED FINANCIAL STATEMENTS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if the Company outsources services to a third-party service provider, such outsourced services shall be excluded from the services provided by the Manager and the management fees will be reduced, on a dollar-for-dollar basis, by the fees paid by the Company for certain of such outsourced services;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any individuals seconded from the Manager to the Company shall serve on a substantially full-time basis and shall not devote material time and attention to other business activities without the approval of the Company;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Board may prohibit any individual or entity from providing services to the Company based on its good faith judgment in the best interest of the Company;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no employee, delegate or appointee of the Manager shall bind, or represent to third parties that he or she has the authority to bind, the Company or any of its subsidiaries, without due authorization of the Company; and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Manager shall indemnify the Company to substantially the same extent as the Company indemnifies the Manager. </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31445"/>
                <wp:effectExtent l="0" t="0" r="0" b="0"/>
                <wp:wrapNone/>
                <wp:docPr id="207" name="Frame2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SCHEDULE II – VALUATION AND QUALIFYING ACCOUNTS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2"/>
        <w:gridCol w:w="888"/>
        <w:gridCol w:w="892"/>
        <w:gridCol w:w="288"/>
        <w:gridCol w:w="1084"/>
        <w:gridCol w:w="160"/>
        <w:gridCol w:w="109"/>
        <w:gridCol w:w="109"/>
        <w:gridCol w:w="109"/>
        <w:gridCol w:w="257"/>
        <w:gridCol w:w="965"/>
        <w:gridCol w:w="144"/>
        <w:gridCol w:w="109"/>
        <w:gridCol w:w="109"/>
        <w:gridCol w:w="109"/>
        <w:gridCol w:w="196"/>
        <w:gridCol w:w="790"/>
        <w:gridCol w:w="109"/>
        <w:gridCol w:w="109"/>
        <w:gridCol w:w="109"/>
        <w:gridCol w:w="109"/>
        <w:gridCol w:w="210"/>
        <w:gridCol w:w="693"/>
        <w:gridCol w:w="118"/>
        <w:gridCol w:w="109"/>
        <w:gridCol w:w="109"/>
        <w:gridCol w:w="109"/>
        <w:gridCol w:w="196"/>
        <w:gridCol w:w="736"/>
        <w:gridCol w:w="159"/>
      </w:tblGrid>
      <w:tr>
        <w:trPr/>
        <w:tc>
          <w:tcPr>
            <w:tcW w:w="101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(in thousands)</w:t>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Balance at 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Charge to costs</w:t>
              <w:br/>
              <w:t>and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7"/>
              </w:rPr>
              <w:t xml:space="preserve">Other </w:t>
            </w:r>
            <w:r>
              <w:rPr>
                <w:rFonts w:ascii="Arial;sans-serif" w:hAnsi="Arial;sans-serif"/>
                <w:b/>
                <w:color w:val="000000"/>
                <w:sz w:val="11"/>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Balance at</w:t>
              <w:br/>
              <w:t>end of Year</w:t>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Sales allowance accounts - 2025</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1,765 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Sales allowance accounts - 2024</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6,488 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Sales allowance accounts - 2023</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8,308 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7,201 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shd w:fill="CCEEFF" w:val="clear"/>
              </w:rPr>
            </w:pPr>
            <w:r>
              <w:rPr>
                <w:rFonts w:ascii="Arial;sans-serif" w:hAnsi="Arial;sans-serif"/>
                <w:b w:val="false"/>
                <w:color w:val="000000"/>
                <w:sz w:val="17"/>
                <w:shd w:fill="CCEEFF" w:val="clear"/>
              </w:rPr>
              <w:t>Valuation allowance for deferred tax assets - 2025</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181,962 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205,274 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(145,618)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38,829 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202,789 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Valuation allowance for deferred tax assets - 2024</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84,334 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97,920 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181,962 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Valuation allowance for deferred tax assets - 2023</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50,149 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46,109 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11,924 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84,334 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color w:val="000000"/>
          <w:sz w:val="13"/>
        </w:rPr>
        <w:t>(1)</w:t>
      </w:r>
      <w:r>
        <w:rPr>
          <w:rFonts w:ascii="Arial;sans-serif" w:hAnsi="Arial;sans-serif"/>
          <w:b w:val="false"/>
          <w:color w:val="000000"/>
          <w:sz w:val="19"/>
        </w:rPr>
        <w:t xml:space="preserve">Sales allowance accounts - represents opening allowance balances related to acquisitions made during the period indicated. </w:t>
      </w:r>
    </w:p>
    <w:p>
      <w:pPr>
        <w:pStyle w:val="TextBody"/>
        <w:bidi w:val="0"/>
        <w:spacing w:lineRule="auto" w:line="288" w:before="60" w:after="283"/>
        <w:ind w:left="0" w:right="0" w:hanging="360"/>
        <w:jc w:val="left"/>
        <w:rPr/>
      </w:pPr>
      <w:r>
        <w:rPr>
          <w:rFonts w:ascii="Arial;sans-serif" w:hAnsi="Arial;sans-serif"/>
          <w:b/>
          <w:color w:val="000000"/>
          <w:sz w:val="13"/>
        </w:rPr>
        <w:t>(2)</w:t>
      </w:r>
      <w:r>
        <w:rPr>
          <w:rFonts w:ascii="Arial;sans-serif" w:hAnsi="Arial;sans-serif"/>
          <w:b w:val="false"/>
          <w:color w:val="000000"/>
          <w:sz w:val="19"/>
        </w:rPr>
        <w:t>Valuation allowance for deferred tax assets - represents valuation allowance at Lugano which was deconsolidated in the fourth quarter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31445"/>
                <wp:effectExtent l="0" t="0" r="0" b="0"/>
                <wp:wrapNone/>
                <wp:docPr id="208" name="Frame2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INDEX TO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62"/>
        <w:gridCol w:w="2627"/>
        <w:gridCol w:w="373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u w:val="single"/>
              </w:rPr>
            </w:pPr>
            <w:r>
              <w:rPr>
                <w:rFonts w:ascii="Arial;sans-serif" w:hAnsi="Arial;sans-serif"/>
                <w:b/>
                <w:color w:val="000000"/>
                <w:sz w:val="17"/>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Arial;sans-serif" w:hAnsi="Arial;sans-serif"/>
                  <w:b w:val="false"/>
                  <w:color w:val="0000FF"/>
                  <w:sz w:val="17"/>
                  <w:u w:val="single"/>
                </w:rPr>
                <w:t>Stock and Note Purchase Agreement dated as of July 31, 2006, among Compass Group Diversified Holdings LLC, Compass Group Investments, Inc. and Compass Medical Mattress Partners, LP (incorporated by reference to Exhibit 2.1 of the Form 8-K filed on August 1, 2006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Arial;sans-serif" w:hAnsi="Arial;sans-serif"/>
                  <w:b w:val="false"/>
                  <w:color w:val="0000FF"/>
                  <w:sz w:val="17"/>
                  <w:u w:val="single"/>
                </w:rPr>
                <w:t>Stock Purchase Agreement dated June 24, 2008, among Compass Group Diversified Holdings LLC and the other shareholders party thereto, Compass Group Diversified Holdings LLC, as Sellers’ Representative, Aeroglide Holdings, Inc. and Bühler AG (incorporated by reference to Exhibit 2.1 of the Form 8-K filed on June 26, 2008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Arial;sans-serif" w:hAnsi="Arial;sans-serif"/>
                  <w:b w:val="false"/>
                  <w:color w:val="0000FF"/>
                  <w:sz w:val="17"/>
                  <w:u w:val="single"/>
                </w:rPr>
                <w:t>Stock Purchase Agreement, dated October 17, 2011, by and among Recruit Co., LTD. and RGF Staffing USA, Inc., as Buyers, the shareholders of Staffmark Holdings, Inc., as Sellers, Staffmark Holdings, Inc. and Compass Group Diversified Holdings LLC as Seller Representative (incorporated by reference to Exhibit 2.1 of the Form 8-K filed on October 18, 2011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6">
              <w:r>
                <w:rPr>
                  <w:rStyle w:val="InternetLink"/>
                  <w:rFonts w:ascii="Arial;sans-serif" w:hAnsi="Arial;sans-serif"/>
                  <w:b w:val="false"/>
                  <w:color w:val="0000FF"/>
                  <w:sz w:val="17"/>
                  <w:u w:val="single"/>
                </w:rPr>
                <w:t>Stock Purchase Agreement dated May 1, 2012, among Candlelight Investment Holdings, Inc., Halo Holding Corporation, Halo Lee Wayne, LLC and each of the holders of equity interests of Halo Lee Wayne, LLC listed on Exhibit A thereto (incorporated by reference to Exhibit 2.1 of the Form 8-K filed on May 2, 2012(File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Arial;sans-serif" w:hAnsi="Arial;sans-serif"/>
                  <w:b w:val="false"/>
                  <w:color w:val="0000FF"/>
                  <w:sz w:val="17"/>
                  <w:u w:val="single"/>
                </w:rPr>
                <w:t>Stock Purchase Agreement, dated May 8, 2019, by and among (i) Calrissian Holdings, LLC; (ii) CEHI Acquisition Corporation; (iii) Compass Group Diversified Holdings LLC; (iv) each Stockholder and Optionholder of the Company; and (v) solely for the purposes of Section 9(r) thereof, Harsco Corporation (incorporated by reference to Exhibit 2.1 of the Form 8-K filed on May 9, 2019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Arial;sans-serif" w:hAnsi="Arial;sans-serif"/>
                  <w:b w:val="false"/>
                  <w:color w:val="0000FF"/>
                  <w:sz w:val="17"/>
                  <w:u w:val="single"/>
                </w:rPr>
                <w:t>Stock Purchase Agreement by and among Compass Group Diversified Holdings LLC, Compass Group Investments, Inc., Compass CS Partners, L.P., Compass CS II Partners, L.P., Compass Crosman Partners, L.P., Compass Advanced Partners, L.P. and Compass Silvue Partners, LP (incorporated by reference to Exhibit 2.1 of the Form S-1 filed on April 13, 2006 (File No. 333-130326)).</w:t>
              </w:r>
            </w:hyperlink>
            <w:r>
              <w:rPr>
                <w:color w:val="000000"/>
              </w:rPr>
              <w:t xml:space="preserve"> </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Arial;sans-serif" w:hAnsi="Arial;sans-serif"/>
                  <w:b w:val="false"/>
                  <w:color w:val="0000FF"/>
                  <w:sz w:val="17"/>
                  <w:u w:val="single"/>
                </w:rPr>
                <w:t>Stock Purchase Agreement, dated July 16, 2021, by and among (i) Liberty Safe Holding Corporation; (ii) Independence Buyer, Inc.; (iii); Compass Group Diversified Holdings LLC, as the Sellers Representative; and (iv) each Stockholder and Optionholder of Liberty Safe Holding Corporation (incorporated by reference to Exhibit 2.1 of the Form 8-K filed on July 19,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Arial;sans-serif" w:hAnsi="Arial;sans-serif"/>
                  <w:b w:val="false"/>
                  <w:color w:val="0000FF"/>
                  <w:sz w:val="17"/>
                  <w:u w:val="single"/>
                </w:rPr>
                <w:t>Amendment to Stock Purchase Agreement, dated August 3, 2021, by and among Independence Buyer, Inc. and Compass Group Diversified Holdings LLC, as the Sellers Representative (incorporated by reference to Exhibit 2.1 of the Form 8-K filed on August 3, 2021 (File No. 001-34927 and Accession No. 0001345126-21-000031)).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Arial;sans-serif" w:hAnsi="Arial;sans-serif"/>
                  <w:b w:val="false"/>
                  <w:color w:val="0000FF"/>
                  <w:sz w:val="17"/>
                  <w:u w:val="single"/>
                </w:rPr>
                <w:t>Agreement and Plan of Merger, dated October 13, 2021, by and among (i) Tempo Automation, Inc.; (ii) Aspen Acquisition Sub, Inc.; (iii) Compass AC Holdings, Inc.; and (iv) Compass Group Diversified Holdings LLC, as the Sellers Representative (incorporated by reference to Exhibit 2.1 of the Form 8-K filed on October 14,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2">
              <w:r>
                <w:rPr>
                  <w:rStyle w:val="InternetLink"/>
                  <w:rFonts w:ascii="Arial;sans-serif" w:hAnsi="Arial;sans-serif"/>
                  <w:b w:val="false"/>
                  <w:color w:val="0000FF"/>
                  <w:sz w:val="17"/>
                  <w:u w:val="single"/>
                </w:rPr>
                <w:t>Agreement and Plan of Merger, dated January 10, 2023, by and among (i) APCT Inc.; (ii) Circuit Merger Sub, Inc.; (iii) Compass AC Holdings, Inc.; and (iv) Compass Group Diversified Holdings LLC, as the Equityholders’ Representative (incorporated by reference to Exhibit 2.1 of the Form 8-K filed on January 11, 2023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3">
              <w:r>
                <w:rPr>
                  <w:rStyle w:val="InternetLink"/>
                  <w:rFonts w:ascii="Arial;sans-serif" w:hAnsi="Arial;sans-serif"/>
                  <w:b w:val="false"/>
                  <w:color w:val="0000FF"/>
                  <w:sz w:val="17"/>
                  <w:u w:val="single"/>
                </w:rPr>
                <w:t>Agreement and Plan of Merger, dated November 1, 2023, by and among (i) Fox Factory, Inc; (ii) Marucci Merger Sub, Inc.; (iii) Wheelhouse Holdings Inc.; and (iv) Compass Group Diversified Holdings LLC, as the Equityholders’ Representative (incorporated by reference to Exhibit 2.1 of the Form 8-K filed on November 2, 2023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4">
              <w:r>
                <w:rPr>
                  <w:rStyle w:val="InternetLink"/>
                  <w:rFonts w:ascii="Arial;sans-serif" w:hAnsi="Arial;sans-serif"/>
                  <w:b w:val="false"/>
                  <w:color w:val="0000FF"/>
                  <w:sz w:val="17"/>
                  <w:u w:val="single"/>
                </w:rPr>
                <w:t>Agreement and Plan of Merger, dated December 27, 2024, by and among (i) ERGO Acquisition LLC; (ii) Aloha Merger Sub LLC; (iii) EBP Lifestyle Brands Holdings, Inc.; and (iv) Compass Group Diversified Holdings LLC, as the stockholder representative (incorporated by reference to Exhibit 2.1 of the Form 8-K filed on December 30, 2024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5">
              <w:r>
                <w:rPr>
                  <w:rStyle w:val="InternetLink"/>
                  <w:rFonts w:ascii="Arial;sans-serif" w:hAnsi="Arial;sans-serif"/>
                  <w:b w:val="false"/>
                  <w:color w:val="0000FF"/>
                  <w:sz w:val="17"/>
                  <w:u w:val="single"/>
                </w:rPr>
                <w:t>Certificate of Trust of Compass Diversified Trust (incorporated by reference to Exhibit 3.1 of the Form S-1 filed on December 14, 2005 (File No. 333-130326)).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6">
              <w:r>
                <w:rPr>
                  <w:rStyle w:val="InternetLink"/>
                  <w:rFonts w:ascii="Arial;sans-serif" w:hAnsi="Arial;sans-serif"/>
                  <w:b w:val="false"/>
                  <w:color w:val="0000FF"/>
                  <w:sz w:val="17"/>
                  <w:u w:val="single"/>
                </w:rPr>
                <w:t>Certificate of Amendment to Certificate of Trust of Compass Diversified Trust (incorporated by reference to Exhibit 3.1 of the Form 8-K filed on September 13, 2007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7">
              <w:r>
                <w:rPr>
                  <w:rStyle w:val="InternetLink"/>
                  <w:rFonts w:ascii="Arial;sans-serif" w:hAnsi="Arial;sans-serif"/>
                  <w:b w:val="false"/>
                  <w:color w:val="0000FF"/>
                  <w:sz w:val="17"/>
                  <w:u w:val="single"/>
                </w:rPr>
                <w:t>Certificate of Formation of Compass Group Diversified Holdings LLC (incorporated by reference to Exhibit 3.3 of the Form S-1 filed on December 14, 2005 (File No. 333-130326)).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8">
              <w:r>
                <w:rPr>
                  <w:rStyle w:val="InternetLink"/>
                  <w:rFonts w:ascii="Arial;sans-serif" w:hAnsi="Arial;sans-serif"/>
                  <w:b w:val="false"/>
                  <w:color w:val="0000FF"/>
                  <w:sz w:val="17"/>
                  <w:u w:val="single"/>
                </w:rPr>
                <w:t>Amended and Restated Trust Agreement of Compass Diversified Trust (incorporated by reference to Exhibit 3.5 of the Amendment No. 4 to the Form S-1 filed on April 26, 2006 (File No. 333-130326)).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9">
              <w:r>
                <w:rPr>
                  <w:rStyle w:val="InternetLink"/>
                  <w:rFonts w:ascii="Arial;sans-serif" w:hAnsi="Arial;sans-serif"/>
                  <w:b w:val="false"/>
                  <w:color w:val="0000FF"/>
                  <w:sz w:val="17"/>
                  <w:u w:val="single"/>
                </w:rPr>
                <w:t>Amendment No. 1 to the Amended and Restated Trust Agreement, dated as of April 25, 2006, of Compass Diversified Trust among Compass Group Diversified Holdings LLC, as Sponsor, The Bank of New York (Delaware), as Delaware Trustee, and the Regular Trustees named therein (incorporated by reference to Exhibit 4.1 of the Form 8-K filed on May 29, 2007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0">
              <w:r>
                <w:rPr>
                  <w:rStyle w:val="InternetLink"/>
                  <w:rFonts w:ascii="Arial;sans-serif" w:hAnsi="Arial;sans-serif"/>
                  <w:b w:val="false"/>
                  <w:color w:val="0000FF"/>
                  <w:sz w:val="17"/>
                  <w:u w:val="single"/>
                </w:rPr>
                <w:t>Second Amendment to the Amended and Restated Trust Agreement, dated as of April 25, 2006, as amended on May 23, 2007, of Compass Diversified Trust among Compass Group Diversified Holdings LLC, as Sponsor, The Bank of New York (Delaware), as Delaware Trustee, and the Regular Trustees named therein (incorporated by reference to Exhibit 3.2 of the Form 8-K filed on September 13, 2007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1">
              <w:r>
                <w:rPr>
                  <w:rStyle w:val="InternetLink"/>
                  <w:rFonts w:ascii="Arial;sans-serif" w:hAnsi="Arial;sans-serif"/>
                  <w:b w:val="false"/>
                  <w:color w:val="0000FF"/>
                  <w:sz w:val="17"/>
                  <w:u w:val="single"/>
                </w:rPr>
                <w:t>Third Amendment to the Amended and Restated Trust Agreement dated as of April 25, 2006, as amended on May 25, 2007 and September 14, 2007, of Compass Diversified Holdings among Compass Group Diversified Holdings LLC, as Sponsor, The Bank of New York (Delaware), as Delaware Trustee, and the Regular Trustees named therein (incorporated by reference to Exhibit 4.1 of the Form 8-K filed on December 21, 2007 (File No. 000-51937)).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31445"/>
                <wp:effectExtent l="0" t="0" r="0" b="0"/>
                <wp:wrapNone/>
                <wp:docPr id="209" name="Frame2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INDEX TO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666"/>
        <w:gridCol w:w="2666"/>
        <w:gridCol w:w="379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u w:val="single"/>
              </w:rPr>
            </w:pPr>
            <w:r>
              <w:rPr>
                <w:rFonts w:ascii="Arial;sans-serif" w:hAnsi="Arial;sans-serif"/>
                <w:b/>
                <w:color w:val="000000"/>
                <w:sz w:val="17"/>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Arial;sans-serif" w:hAnsi="Arial;sans-serif"/>
                  <w:b w:val="false"/>
                  <w:color w:val="0000FF"/>
                  <w:sz w:val="17"/>
                  <w:u w:val="single"/>
                </w:rPr>
                <w:t>Fourth Amendment dated as of November 1, 2010 to the Amended and Restated Trust Agreement, as amended effective November 1, 2010, of Compass Diversified Holdings, originally effective as of April 25, 2006, by and among Compass Group Diversified Holdings LLC, as Sponsor, The Bank of New York (Delaware), as Delaware Trustee, and the Regular Trustees named therein (incorporated by reference to Exhibit 3.1 of the Form 10-Q filed on November 8, 2010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3">
              <w:r>
                <w:rPr>
                  <w:rStyle w:val="InternetLink"/>
                  <w:rFonts w:ascii="Arial;sans-serif" w:hAnsi="Arial;sans-serif"/>
                  <w:b w:val="false"/>
                  <w:color w:val="0000FF"/>
                  <w:sz w:val="17"/>
                  <w:u w:val="single"/>
                </w:rPr>
                <w:t>Second Amended and Restated Trust Agreement of the Trust (incorporated by reference to Exhibit 3.1 of the Form 8-K filed on December 7, 2016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4">
              <w:r>
                <w:rPr>
                  <w:rStyle w:val="InternetLink"/>
                  <w:rFonts w:ascii="Arial;sans-serif" w:hAnsi="Arial;sans-serif"/>
                  <w:b w:val="false"/>
                  <w:color w:val="0000FF"/>
                  <w:sz w:val="17"/>
                  <w:u w:val="single"/>
                </w:rPr>
                <w:t>Third Amended and Restated Trust Agreement of the Trust (incorporated by reference to Exhibit 3.1 of the Form 8-K filed on August 4,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5">
              <w:r>
                <w:rPr>
                  <w:rStyle w:val="InternetLink"/>
                  <w:rFonts w:ascii="Arial;sans-serif" w:hAnsi="Arial;sans-serif"/>
                  <w:b w:val="false"/>
                  <w:color w:val="0000FF"/>
                  <w:sz w:val="17"/>
                  <w:u w:val="single"/>
                </w:rPr>
                <w:t>First Amendment to the Third Amended and Restated Trust Agreement of the Trust (incorporated by reference to Exhibit 3.1 of the Form 8-K filed on September 3, 2024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6">
              <w:r>
                <w:rPr>
                  <w:rStyle w:val="InternetLink"/>
                  <w:rFonts w:ascii="Arial;sans-serif" w:hAnsi="Arial;sans-serif"/>
                  <w:b w:val="false"/>
                  <w:color w:val="0000FF"/>
                  <w:sz w:val="17"/>
                  <w:u w:val="single"/>
                </w:rPr>
                <w:t>Second Amended and Restated Operating Agreement of Compass Group Diversified Holdings, LLC dated January 9, 2007 (incorporated by reference to Exhibit 10.2 of the Form 8-K filed on January 10, 2007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7">
              <w:r>
                <w:rPr>
                  <w:rStyle w:val="InternetLink"/>
                  <w:rFonts w:ascii="Arial;sans-serif" w:hAnsi="Arial;sans-serif"/>
                  <w:b w:val="false"/>
                  <w:color w:val="0000FF"/>
                  <w:sz w:val="17"/>
                  <w:u w:val="single"/>
                </w:rPr>
                <w:t>Third Amended and Restated Operating Agreement of Compass Group Diversified Holdings LLC dated November 1, 2010 (incorporated by reference to Exhibit 3.2 of the Form 10-Q filed on November 8, 2010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8">
              <w:r>
                <w:rPr>
                  <w:rStyle w:val="InternetLink"/>
                  <w:rFonts w:ascii="Arial;sans-serif" w:hAnsi="Arial;sans-serif"/>
                  <w:b w:val="false"/>
                  <w:color w:val="0000FF"/>
                  <w:sz w:val="17"/>
                  <w:u w:val="single"/>
                </w:rPr>
                <w:t>Fourth Amended and Restated Operating Agreement of Compass Group Diversified Holdings LLC, dated January 1, 2012 (incorporated by reference to Exhibit 3.1 of the Form 10-Q filed on May 7, 2013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9">
              <w:r>
                <w:rPr>
                  <w:rStyle w:val="InternetLink"/>
                  <w:rFonts w:ascii="Arial;sans-serif" w:hAnsi="Arial;sans-serif"/>
                  <w:b w:val="false"/>
                  <w:color w:val="0000FF"/>
                  <w:sz w:val="17"/>
                  <w:u w:val="single"/>
                </w:rPr>
                <w:t>Fifth Amended and Restated Operating Agreement of the Company (incorporated by reference to Exhibit 3.2 of the Form 8-K filed on December 7, 2016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0">
              <w:r>
                <w:rPr>
                  <w:rStyle w:val="InternetLink"/>
                  <w:rFonts w:ascii="Arial;sans-serif" w:hAnsi="Arial;sans-serif"/>
                  <w:b w:val="false"/>
                  <w:color w:val="0000FF"/>
                  <w:sz w:val="17"/>
                  <w:u w:val="single"/>
                </w:rPr>
                <w:t>Sixth Amended and Restated Operating Agreement of the Company (incorporated by reference to Exhibit 3.2 of the Form 8-K filed on August 4,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Arial;sans-serif" w:hAnsi="Arial;sans-serif"/>
                  <w:b w:val="false"/>
                  <w:color w:val="0000FF"/>
                  <w:sz w:val="17"/>
                  <w:u w:val="single"/>
                </w:rPr>
                <w:t>First Amendment to the Sixth Amended and Restated Operating Agreement of the Company (incorporated by reference to Exhibit 3.1 of the Form 8-K filed on February 14, 2022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2">
              <w:r>
                <w:rPr>
                  <w:rStyle w:val="InternetLink"/>
                  <w:rFonts w:ascii="Arial;sans-serif" w:hAnsi="Arial;sans-serif"/>
                  <w:b w:val="false"/>
                  <w:color w:val="0000FF"/>
                  <w:sz w:val="17"/>
                  <w:u w:val="single"/>
                </w:rPr>
                <w:t>Second Amendment to the Sixth Amended and Restated Operating Agreement of the Company (incorporated by reference to Exhibit 3.2 of the Form 8-K filed on September 3, 2024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Arial;sans-serif" w:hAnsi="Arial;sans-serif"/>
                  <w:b w:val="false"/>
                  <w:color w:val="0000FF"/>
                  <w:sz w:val="17"/>
                  <w:u w:val="single"/>
                </w:rPr>
                <w:t>Amended and Restated Share Designation of Compass Diversified Holdings with respect to Series A Preferred Shares (incorporated by reference to Exhibit 3.3 of the Form 8-K filed on August 4,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4">
              <w:r>
                <w:rPr>
                  <w:rStyle w:val="InternetLink"/>
                  <w:rFonts w:ascii="Arial;sans-serif" w:hAnsi="Arial;sans-serif"/>
                  <w:b w:val="false"/>
                  <w:color w:val="0000FF"/>
                  <w:sz w:val="17"/>
                  <w:u w:val="single"/>
                </w:rPr>
                <w:t>First Amendment to Amended and Restated Share Designation of Compass Diversified Holdings with respect to Series A Preferred Shares (incorporated by reference to Exhibit 3.1 of the Form 8-K filed on March 20, 2024 (File No. 001-34926)).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Arial;sans-serif" w:hAnsi="Arial;sans-serif"/>
                  <w:b w:val="false"/>
                  <w:color w:val="0000FF"/>
                  <w:sz w:val="17"/>
                  <w:u w:val="single"/>
                </w:rPr>
                <w:t>Second Amendment to Amended and Restated Share Designation of Compass Diversified Holdings with respect to Series A Preferred Shares (incorporated by reference Exhibit 4.11 of the Form S-3 filed on September 4, 2024 (File No. 333-281931)).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6">
              <w:r>
                <w:rPr>
                  <w:rStyle w:val="InternetLink"/>
                  <w:rFonts w:ascii="Arial;sans-serif" w:hAnsi="Arial;sans-serif"/>
                  <w:b w:val="false"/>
                  <w:color w:val="0000FF"/>
                  <w:sz w:val="17"/>
                  <w:u w:val="single"/>
                </w:rPr>
                <w:t>Compass Group Diversified Holdings LLC Trust Interest Designation of Series A Trust Preferred Interests (incorporated by reference to Exhibit 3.2 of the Form 8-K filed on June 28, 2017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Arial;sans-serif" w:hAnsi="Arial;sans-serif"/>
                  <w:b w:val="false"/>
                  <w:color w:val="0000FF"/>
                  <w:sz w:val="17"/>
                  <w:u w:val="single"/>
                </w:rPr>
                <w:t>First Amendment to Trust Interest Designation of Compass Group Diversified Holdings LLC with respect to Series A Trust Preferred Interests (incorporated by reference to Exhibit 3.4 of the Form 8-K filed on March 20, 2024 (File No. 001-34926)).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8">
              <w:r>
                <w:rPr>
                  <w:rStyle w:val="InternetLink"/>
                  <w:rFonts w:ascii="Arial;sans-serif" w:hAnsi="Arial;sans-serif"/>
                  <w:b w:val="false"/>
                  <w:color w:val="0000FF"/>
                  <w:sz w:val="17"/>
                  <w:u w:val="single"/>
                </w:rPr>
                <w:t>Second Amendment to Trust Interest Designation of Compass Group Diversified Holdings LLC with respect to Series A Trust Preferred Interests (incorporated by reference Exhibit 4.14 of the Form S-3 filed on September 4, 2024 (File No. 333-281931)).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9">
              <w:r>
                <w:rPr>
                  <w:rStyle w:val="InternetLink"/>
                  <w:rFonts w:ascii="Arial;sans-serif" w:hAnsi="Arial;sans-serif"/>
                  <w:b w:val="false"/>
                  <w:color w:val="0000FF"/>
                  <w:sz w:val="17"/>
                  <w:u w:val="single"/>
                </w:rPr>
                <w:t>Amended and Restated Share Designation of Compass Diversified Holdings with respect to Series B Preferred Shares (incorporated by reference to Exhibit 3.4 of the Form 8-K filed on August 4,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0">
              <w:r>
                <w:rPr>
                  <w:rStyle w:val="InternetLink"/>
                  <w:rFonts w:ascii="Arial;sans-serif" w:hAnsi="Arial;sans-serif"/>
                  <w:b w:val="false"/>
                  <w:color w:val="0000FF"/>
                  <w:sz w:val="17"/>
                  <w:u w:val="single"/>
                </w:rPr>
                <w:t>First Amendment to Amended and Restated Share Designation of Compass Diversified Holdings with respect to Series B Preferred Shares (incorporated by reference to Exhibit 3.2 of the Form 8-K filed on March 20, 2024 (File No. 001-34926)).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Arial;sans-serif" w:hAnsi="Arial;sans-serif"/>
                  <w:b w:val="false"/>
                  <w:color w:val="0000FF"/>
                  <w:sz w:val="17"/>
                  <w:u w:val="single"/>
                </w:rPr>
                <w:t>Second Amendment to Amended and Restated Share Designation of Compass Diversified Holdings with respect to Series B Preferred Shares (incorporated by reference Exhibit 4.17 of the Form S-3 filed on September 4, 2024 (File No. 333-281931)).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2">
              <w:r>
                <w:rPr>
                  <w:rStyle w:val="InternetLink"/>
                  <w:rFonts w:ascii="Arial;sans-serif" w:hAnsi="Arial;sans-serif"/>
                  <w:b w:val="false"/>
                  <w:color w:val="0000FF"/>
                  <w:sz w:val="17"/>
                  <w:u w:val="single"/>
                </w:rPr>
                <w:t>Trust Interest Designation of Compass Group Diversified Holdings LLC with respect to Series B Trust Preferred Interests (incorporated by reference to Exhibit 3.2 of the Form 8-K filed on March 13, 2018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3">
              <w:r>
                <w:rPr>
                  <w:rStyle w:val="InternetLink"/>
                  <w:rFonts w:ascii="Arial;sans-serif" w:hAnsi="Arial;sans-serif"/>
                  <w:b w:val="false"/>
                  <w:color w:val="0000FF"/>
                  <w:sz w:val="17"/>
                  <w:u w:val="single"/>
                </w:rPr>
                <w:t>First Amendment to Trust Interest Designation of Compass Group Diversified Holdings LLC with respect to Series B Trust Preferred Interests (incorporated by reference to Exhibit 3.5 of the Form 8-K filed on March 20, 2024 (File No. 001-34926)).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4">
              <w:r>
                <w:rPr>
                  <w:rStyle w:val="InternetLink"/>
                  <w:rFonts w:ascii="Arial;sans-serif" w:hAnsi="Arial;sans-serif"/>
                  <w:b w:val="false"/>
                  <w:color w:val="0000FF"/>
                  <w:sz w:val="17"/>
                  <w:u w:val="single"/>
                </w:rPr>
                <w:t>Second Amendment to Trust Interest Designation of Compass Group Diversified Holdings LLC with respect to Series B Trust Preferred Interests (incorporated by reference Exhibit 4.20 of the Form S-3 filed on September 4, 2024 (File No. 333-281931)).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5">
              <w:r>
                <w:rPr>
                  <w:rStyle w:val="InternetLink"/>
                  <w:rFonts w:ascii="Arial;sans-serif" w:hAnsi="Arial;sans-serif"/>
                  <w:b w:val="false"/>
                  <w:color w:val="0000FF"/>
                  <w:sz w:val="17"/>
                  <w:u w:val="single"/>
                </w:rPr>
                <w:t>Amended and Restated Share Designation of Compass Diversified Holdings with respect to Series C Preferred Shares (incorporated by reference to Exhibit 3.5 of the Form 8-K filed on August 4,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6">
              <w:r>
                <w:rPr>
                  <w:rStyle w:val="InternetLink"/>
                  <w:rFonts w:ascii="Arial;sans-serif" w:hAnsi="Arial;sans-serif"/>
                  <w:b w:val="false"/>
                  <w:color w:val="0000FF"/>
                  <w:sz w:val="17"/>
                  <w:u w:val="single"/>
                </w:rPr>
                <w:t>First Amendment to Amended and Restated Share Designation of Compass Diversified Holdings with respect to Series C Preferred Shares (incorporated by reference to Exhibit 3.3 of the Form 8-K filed on March 20, 2024 (File No. 001-34926)).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7">
              <w:r>
                <w:rPr>
                  <w:rStyle w:val="InternetLink"/>
                  <w:rFonts w:ascii="Arial;sans-serif" w:hAnsi="Arial;sans-serif"/>
                  <w:b w:val="false"/>
                  <w:color w:val="0000FF"/>
                  <w:sz w:val="17"/>
                  <w:u w:val="single"/>
                </w:rPr>
                <w:t>Second Amendment to Amended and Restated Share Designation of Compass Diversified Holdings with respect to Series C Preferred Shares (incorporated by reference Exhibit 4.23 of the Form S-3 filed on September 4, 2024 (File No. 333-281931)).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31445"/>
                <wp:effectExtent l="0" t="0" r="0" b="0"/>
                <wp:wrapNone/>
                <wp:docPr id="210" name="Frame2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INDEX TO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796"/>
        <w:gridCol w:w="2612"/>
        <w:gridCol w:w="371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u w:val="single"/>
              </w:rPr>
            </w:pPr>
            <w:r>
              <w:rPr>
                <w:rFonts w:ascii="Arial;sans-serif" w:hAnsi="Arial;sans-serif"/>
                <w:b/>
                <w:color w:val="000000"/>
                <w:sz w:val="17"/>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Arial;sans-serif" w:hAnsi="Arial;sans-serif"/>
                  <w:b w:val="false"/>
                  <w:color w:val="0000FF"/>
                  <w:sz w:val="17"/>
                  <w:u w:val="single"/>
                </w:rPr>
                <w:t>Trust Interest Designation of Compass Group Diversified Holdings LLC with respect to Series C Trust Preferred Interests (incorporated by reference to Exhibit 3.2 of the Form 8-K filed on November 20, 2019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9">
              <w:r>
                <w:rPr>
                  <w:rStyle w:val="InternetLink"/>
                  <w:rFonts w:ascii="Arial;sans-serif" w:hAnsi="Arial;sans-serif"/>
                  <w:b w:val="false"/>
                  <w:color w:val="0000FF"/>
                  <w:sz w:val="17"/>
                  <w:u w:val="single"/>
                </w:rPr>
                <w:t>First Amendment to Trust Interest Designation of Compass Group Diversified Holdings LLC with respect to Series C Trust Preferred Interests (incorporated by reference to Exhibit 3.6 of the Form 8-K filed on March 20, 2024 (File No. 001-34926)).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0">
              <w:r>
                <w:rPr>
                  <w:rStyle w:val="InternetLink"/>
                  <w:rFonts w:ascii="Arial;sans-serif" w:hAnsi="Arial;sans-serif"/>
                  <w:b w:val="false"/>
                  <w:color w:val="0000FF"/>
                  <w:sz w:val="17"/>
                  <w:u w:val="single"/>
                </w:rPr>
                <w:t>Second Amendment to Trust Interest Designation of Compass Group Diversified Holdings LLC with respect to Series C Trust Preferred Interests (incorporated by reference Exhibit 4.26 of the Form S-3 filed on September 4, 2024 (File No. 333-281931)).</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"https://www.sec.gov/Archives/edgar/data/0001345126/000119312521235786/d57259dex31.htm" \l "tx57259_43a"</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Specimen Certificate evidencing a share of trust of Compass Diversified Holdings (incorporated by reference to Exhibit A of Exhibit 3.1 of the Form 8-K filed on August 4, 2021 (File No. 001-34927))</w:t>
            </w:r>
            <w:r>
              <w:rPr>
                <w:rStyle w:val="InternetLink"/>
                <w:sz w:val="17"/>
                <w:u w:val="single"/>
                <w:b w:val="false"/>
                <w:rFonts w:ascii="Arial;sans-serif" w:hAnsi="Arial;sans-serif"/>
                <w:color w:val="0000FF"/>
              </w:rPr>
              <w:fldChar w:fldCharType="end"/>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"https://www.sec.gov/Archives/edgar/data/0001345126/000119312521235786/d57259dex32.htm" \l "tx57259_76a"</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Specimen LLC Interest Certificate evidencing an interest of Compass Group Diversified Holdings LLC (incorporated by reference to Exhibit A of Exhibit 3.2 of the Form 8-K filed on August 4, 2021 (File No. 001-34927))</w:t>
            </w:r>
            <w:r>
              <w:rPr>
                <w:rStyle w:val="InternetLink"/>
                <w:sz w:val="17"/>
                <w:u w:val="single"/>
                <w:b w:val="false"/>
                <w:rFonts w:ascii="Arial;sans-serif" w:hAnsi="Arial;sans-serif"/>
                <w:color w:val="0000FF"/>
              </w:rPr>
              <w:fldChar w:fldCharType="end"/>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"https://www.sec.gov/Archives/edgar/data/0001345126/000119312521235786/d57259dex33.htm" \l "appa"</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Form of 7.250% Series A Preferred Share Certificate (incorporated by reference to Appendix A of Exhibit 3.3 of the Form 8-K filed on August 4, 2021 (File No. 001-34927)).</w:t>
            </w:r>
            <w:r>
              <w:rPr>
                <w:rStyle w:val="InternetLink"/>
                <w:sz w:val="17"/>
                <w:u w:val="single"/>
                <w:b w:val="false"/>
                <w:rFonts w:ascii="Arial;sans-serif" w:hAnsi="Arial;sans-serif"/>
                <w:color w:val="0000FF"/>
              </w:rPr>
              <w:fldChar w:fldCharType="end"/>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"https://www.sec.gov/Archives/edgar/data/0001345126/000119312521235786/d57259dex34.htm" \l "appb"</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Form of 7.875% Series B Fixed-to-Floating Rate Cumulative Preferred Share Certificate (incorporated by reference to Appendix A of Exhibit 3.4 of the Form 8-K filed on August 4, 2021 (File No. 001-34927)).</w:t>
            </w:r>
            <w:r>
              <w:rPr>
                <w:rStyle w:val="InternetLink"/>
                <w:sz w:val="17"/>
                <w:u w:val="single"/>
                <w:b w:val="false"/>
                <w:rFonts w:ascii="Arial;sans-serif" w:hAnsi="Arial;sans-serif"/>
                <w:color w:val="0000FF"/>
              </w:rPr>
              <w:fldChar w:fldCharType="end"/>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17"/>
                <w:u w:val="single"/>
                <w:b w:val="false"/>
                <w:rFonts w:ascii="Arial;sans-serif" w:hAnsi="Arial;sans-serif"/>
                <w:color w:val="0000FF"/>
              </w:rPr>
              <w:instrText xml:space="preserve"> HYPERLINK "https://www.sec.gov/Archives/edgar/data/0001345126/000119312521235786/d57259dex35.htm" \l "appc"</w:instrText>
            </w:r>
            <w:r>
              <w:rPr>
                <w:rStyle w:val="InternetLink"/>
                <w:sz w:val="17"/>
                <w:u w:val="single"/>
                <w:b w:val="false"/>
                <w:rFonts w:ascii="Arial;sans-serif" w:hAnsi="Arial;sans-serif"/>
                <w:color w:val="0000FF"/>
              </w:rPr>
              <w:fldChar w:fldCharType="separate"/>
            </w:r>
            <w:r>
              <w:rPr>
                <w:rStyle w:val="InternetLink"/>
                <w:rFonts w:ascii="Arial;sans-serif" w:hAnsi="Arial;sans-serif"/>
                <w:b w:val="false"/>
                <w:color w:val="0000FF"/>
                <w:sz w:val="17"/>
                <w:u w:val="single"/>
              </w:rPr>
              <w:t>Form of 7.875% Series C Cumulative Preferred Share Certificate (incorporated by reference to Appendix A of Exhibit 3.5 of the Form 8-K filed on August 4, 2021 (File No. 001-34927)).</w:t>
            </w:r>
            <w:r>
              <w:rPr>
                <w:rStyle w:val="InternetLink"/>
                <w:sz w:val="17"/>
                <w:u w:val="single"/>
                <w:b w:val="false"/>
                <w:rFonts w:ascii="Arial;sans-serif" w:hAnsi="Arial;sans-serif"/>
                <w:color w:val="0000FF"/>
              </w:rPr>
              <w:fldChar w:fldCharType="end"/>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1">
              <w:r>
                <w:rPr>
                  <w:rStyle w:val="InternetLink"/>
                  <w:rFonts w:ascii="Arial;sans-serif" w:hAnsi="Arial;sans-serif"/>
                  <w:b w:val="false"/>
                  <w:color w:val="0000FF"/>
                  <w:sz w:val="17"/>
                  <w:u w:val="single"/>
                </w:rPr>
                <w:t>Indenture between Compass Group Diversified Holdings LLC and U.S. Bank National Association, dated as of March 23, 2021 (incorporated by reference to Exhibit 4.1 of the Form 8-K filed on March 23, 2021 (File No. 000-34927)).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2">
              <w:r>
                <w:rPr>
                  <w:rStyle w:val="InternetLink"/>
                  <w:rFonts w:ascii="Arial;sans-serif" w:hAnsi="Arial;sans-serif"/>
                  <w:b w:val="false"/>
                  <w:color w:val="0000FF"/>
                  <w:sz w:val="17"/>
                  <w:u w:val="single"/>
                </w:rPr>
                <w:t>First Supplemental Indenture, dated as of January 15, 2025, to the Indenture dated as of March 23, 2021 between Compass Group Diversified Holdings LLC and U.S. Bank National Association (incorporated by reference to Exhibit 10.2 of the Form 8-K filed on January 15, 2025 (File No. 000-34927)).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3">
              <w:r>
                <w:rPr>
                  <w:rStyle w:val="InternetLink"/>
                  <w:rFonts w:ascii="Arial;sans-serif" w:hAnsi="Arial;sans-serif"/>
                  <w:b w:val="false"/>
                  <w:color w:val="0000FF"/>
                  <w:sz w:val="17"/>
                  <w:u w:val="single"/>
                </w:rPr>
                <w:t>Second Supplemental Indenture, dated as of September 9, 2025, to the Indenture dated as of March 23, 2021, as amended, by and between Compass Group Diversified Holdings LLC and U.S. Bank Trust Company, National Association, as trustee (incorporated by reference to Exhibit 4.1 of the Form 8-K filed on September 10, 2025 (File No. 000-34927)).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4">
              <w:r>
                <w:rPr>
                  <w:rStyle w:val="InternetLink"/>
                  <w:rFonts w:ascii="Arial;sans-serif" w:hAnsi="Arial;sans-serif"/>
                  <w:b w:val="false"/>
                  <w:color w:val="0000FF"/>
                  <w:sz w:val="17"/>
                  <w:u w:val="single"/>
                </w:rPr>
                <w:t>Indenture between Compass Group Diversified Holdings LLC and U.S. Bank National Association, dated as of November 17, 2021 (incorporated by reference to Exhibit 4.1 of the Form 8-K filed on November 17, 2021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5">
              <w:r>
                <w:rPr>
                  <w:rStyle w:val="InternetLink"/>
                  <w:rFonts w:ascii="Arial;sans-serif" w:hAnsi="Arial;sans-serif"/>
                  <w:b w:val="false"/>
                  <w:color w:val="0000FF"/>
                  <w:sz w:val="17"/>
                  <w:u w:val="single"/>
                </w:rPr>
                <w:t>First Supplemental Indenture, dated as of January 15, 2025, to the Indenture dated as of November 17, 2021 between Compass Group Diversified Holdings LLC and U.S. Bank National Association (incorporated by reference to Exhibit 10.3 of the Form 8-K filed on January 15, 2025 (File No. 000-34927)).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6">
              <w:r>
                <w:rPr>
                  <w:rStyle w:val="InternetLink"/>
                  <w:rFonts w:ascii="Arial;sans-serif" w:hAnsi="Arial;sans-serif"/>
                  <w:b w:val="false"/>
                  <w:color w:val="0000FF"/>
                  <w:sz w:val="17"/>
                  <w:u w:val="single"/>
                </w:rPr>
                <w:t>Second Supplemental Indenture, dated as of September 9, 2025, to the Indenture dated as of November 17, 2021, as amended, by and between Compass Group Diversified Holdings LLC and U.S. Bank Trust Company, National Association, as trustee (incorporated by reference to Exhibit 4.2 of the Form 8-K filed on September 10,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2312025ex412.htm">
              <w:r>
                <w:rPr>
                  <w:rStyle w:val="InternetLink"/>
                  <w:rFonts w:ascii="Arial;sans-serif" w:hAnsi="Arial;sans-serif"/>
                  <w:b w:val="false"/>
                  <w:color w:val="0000FF"/>
                  <w:sz w:val="17"/>
                  <w:u w:val="single"/>
                </w:rPr>
                <w:t>Description of Securities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7">
              <w:r>
                <w:rPr>
                  <w:rStyle w:val="InternetLink"/>
                  <w:rFonts w:ascii="Arial;sans-serif" w:hAnsi="Arial;sans-serif"/>
                  <w:b w:val="false"/>
                  <w:color w:val="0000FF"/>
                  <w:sz w:val="17"/>
                  <w:u w:val="single"/>
                </w:rPr>
                <w:t>Subscription Agreement dated August 24, 2011, by and among Compass Group Diversified Holdings LLC, Compass Diversified Holdings and CGI Magyar Holdings, LLC (incorporated by reference to Exhibit 10.1 of the Form 8-K filed on August 25, 2011(File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8">
              <w:r>
                <w:rPr>
                  <w:rStyle w:val="InternetLink"/>
                  <w:rFonts w:ascii="Arial;sans-serif" w:hAnsi="Arial;sans-serif"/>
                  <w:b w:val="false"/>
                  <w:color w:val="0000FF"/>
                  <w:sz w:val="17"/>
                  <w:u w:val="single"/>
                </w:rPr>
                <w:t>Seventh Amended and Restated Management Service Agreement by and between Compass Group Diversified Holdings LLC, and Compass Group Management LLC, dated as of January 15, 2025 and originally effective as of May 16, 2006 (incorporated by reference to Exhibit 10.1 of the Form 8-K filed on January 15,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9">
              <w:r>
                <w:rPr>
                  <w:rStyle w:val="InternetLink"/>
                  <w:rFonts w:ascii="Arial;sans-serif" w:hAnsi="Arial;sans-serif"/>
                  <w:b w:val="false"/>
                  <w:color w:val="0000FF"/>
                  <w:sz w:val="17"/>
                  <w:u w:val="single"/>
                </w:rPr>
                <w:t>Separation Agreement and General Release, dated September 12, 2024, between Compass Group Management LLC and Ryan Faulkingham (incorporated by reference to Exhibit 10.1 of the Form 8-K filed on September 17, 2024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0">
              <w:r>
                <w:rPr>
                  <w:rStyle w:val="InternetLink"/>
                  <w:rFonts w:ascii="Arial;sans-serif" w:hAnsi="Arial;sans-serif"/>
                  <w:b w:val="false"/>
                  <w:color w:val="0000FF"/>
                  <w:sz w:val="17"/>
                  <w:u w:val="single"/>
                </w:rPr>
                <w:t>Employment Agreement dated August 31, 2024 between Compass Group Management LLC and Stephen Keller (incorporated by reference to Exhibit 10.1 of the Form 8-K filed on August 26, 2024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1">
              <w:r>
                <w:rPr>
                  <w:rStyle w:val="InternetLink"/>
                  <w:rFonts w:ascii="Arial;sans-serif" w:hAnsi="Arial;sans-serif"/>
                  <w:b w:val="false"/>
                  <w:color w:val="0000FF"/>
                  <w:sz w:val="17"/>
                  <w:u w:val="single"/>
                </w:rPr>
                <w:t>First Amended and Restated Employment Agreement dated January 13, 2025 between Compass Group Management LLC and Stephen Keller.</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2">
              <w:r>
                <w:rPr>
                  <w:rStyle w:val="InternetLink"/>
                  <w:rFonts w:ascii="Arial;sans-serif" w:hAnsi="Arial;sans-serif"/>
                  <w:b w:val="false"/>
                  <w:color w:val="0000FF"/>
                  <w:sz w:val="17"/>
                  <w:u w:val="single"/>
                </w:rPr>
                <w:t>Third Amended and Restated Credit Agreement among Compass Group Diversified Holdings LLC, the financial institutions party thereto and Bank of America, N.A., dated as of July 12, 2022 (incorporated by reference to Exhibit 10.1 of the Form 8-K filed on July 13, 2022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3">
              <w:r>
                <w:rPr>
                  <w:rStyle w:val="InternetLink"/>
                  <w:rFonts w:ascii="Arial;sans-serif" w:hAnsi="Arial;sans-serif"/>
                  <w:b w:val="false"/>
                  <w:color w:val="0000FF"/>
                  <w:sz w:val="17"/>
                  <w:u w:val="single"/>
                </w:rPr>
                <w:t>First Incremental Facility Amendment, dated January 9, 2025, by and among Compass Diversified Holdings LLC, Bank of America, N.A., and the lenders party thereto (incorporated by reference to Exhibit 10.1 of the Form 8-K filed on January 10,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4">
              <w:r>
                <w:rPr>
                  <w:rStyle w:val="InternetLink"/>
                  <w:rFonts w:ascii="Arial;sans-serif" w:hAnsi="Arial;sans-serif"/>
                  <w:b w:val="false"/>
                  <w:color w:val="0000FF"/>
                  <w:sz w:val="17"/>
                  <w:u w:val="single"/>
                </w:rPr>
                <w:t>Forbearance Agreement and Second Amendment to Credit Agreement, dated May 22, 2025, by and among Compass Group Diversified Holdings LLC, the Lenders party thereto, and Bank of America, N.A., in its capacity as Administrative Agent for the Lenders, Swing Line Lender and L/C Issuer (incorporated by reference to Exhibit 10.1 of the Form 8-K filed on May 27,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5">
              <w:r>
                <w:rPr>
                  <w:rStyle w:val="InternetLink"/>
                  <w:rFonts w:ascii="Arial;sans-serif" w:hAnsi="Arial;sans-serif"/>
                  <w:b w:val="false"/>
                  <w:color w:val="0000FF"/>
                  <w:sz w:val="17"/>
                  <w:u w:val="single"/>
                </w:rPr>
                <w:t>Second Forbearance Agreement and Third Amendment to Credit Agreement, dated July 25, 2025, by and among Compass Group Diversified Holdings LLC, the Lenders party thereto, and Bank of America, N.A., in its capacity as Administrative Agent for the Lenders, Swing Line Lender and L/C Issuer (incorporated by reference to Exhibit 10.1 of the Form 8-K filed on July 28, 2025 (File No. 001-34927)).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31445"/>
                <wp:effectExtent l="0" t="0" r="0" b="0"/>
                <wp:wrapNone/>
                <wp:docPr id="211" name="Frame2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INDEX TO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844"/>
        <w:gridCol w:w="2593"/>
        <w:gridCol w:w="369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u w:val="single"/>
              </w:rPr>
            </w:pPr>
            <w:r>
              <w:rPr>
                <w:rFonts w:ascii="Arial;sans-serif" w:hAnsi="Arial;sans-serif"/>
                <w:b/>
                <w:color w:val="000000"/>
                <w:sz w:val="17"/>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6">
              <w:r>
                <w:rPr>
                  <w:rStyle w:val="InternetLink"/>
                  <w:rFonts w:ascii="Arial;sans-serif" w:hAnsi="Arial;sans-serif"/>
                  <w:b w:val="false"/>
                  <w:color w:val="0000FF"/>
                  <w:sz w:val="17"/>
                  <w:u w:val="single"/>
                </w:rPr>
                <w:t>Forbearance Agreement, dated August 29, 2025, by and among Compass Group Diversified Holdings LLC, the Forbearing Noteholders thereto, and U.S. Bank National Association, in its capacity as Trustee under the Indenture dated March 23, 2021 and Indenture dated November 17, 2021 (incorporated by reference to Exhibit 10.1 of the Form 8-K filed on September 2,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7">
              <w:r>
                <w:rPr>
                  <w:rStyle w:val="InternetLink"/>
                  <w:rFonts w:ascii="Arial;sans-serif" w:hAnsi="Arial;sans-serif"/>
                  <w:b w:val="false"/>
                  <w:color w:val="0000FF"/>
                  <w:sz w:val="17"/>
                  <w:u w:val="single"/>
                </w:rPr>
                <w:t>Third Forbearance Agreement, dated October 10, 2025, by and among Compass Group Diversified Holdings LLC, the Lenders party thereto, and Bank of America, N.A., in its capacity as Administrative Agent for the Lenders, Swing Line Lender and L/C Issuer (incorporated by reference to Exhibit 10.1 of the Form 8-K filed on October 10,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8">
              <w:r>
                <w:rPr>
                  <w:rStyle w:val="InternetLink"/>
                  <w:rFonts w:ascii="Arial;sans-serif" w:hAnsi="Arial;sans-serif"/>
                  <w:b w:val="false"/>
                  <w:color w:val="0000FF"/>
                  <w:sz w:val="17"/>
                  <w:u w:val="single"/>
                </w:rPr>
                <w:t>Fourth Forbearance Agreement and Fourth Amendment to Credit Agreement, dated November 7, 2025, by and among Compass Group Diversified Holdings LLC, the Lenders party thereto, and Bank of America, N.A., in its capacity as Administrative Agent for the Lenders, Swing Line Lender and L/C Issuer (incorporated by reference to Exhibit 10.1 of the Form 8-K filed on November 24, 2025 (File No. 001-34927))</w:t>
              </w:r>
            </w:hyperlink>
            <w:r>
              <w:rPr>
                <w:rFonts w:ascii="Arial;sans-serif" w:hAnsi="Arial;sans-serif"/>
                <w:b w:val="false"/>
                <w:color w:val="000000"/>
                <w:sz w:val="17"/>
              </w:rPr>
              <w:t>.</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9">
              <w:r>
                <w:rPr>
                  <w:rStyle w:val="InternetLink"/>
                  <w:rFonts w:ascii="Arial;sans-serif" w:hAnsi="Arial;sans-serif"/>
                  <w:b w:val="false"/>
                  <w:color w:val="0000FF"/>
                  <w:sz w:val="17"/>
                  <w:u w:val="single"/>
                </w:rPr>
                <w:t>Fifth Forbearance Agreement, dated November 24, 2025, by and among Compass Group Diversified Holdings LLC, the Lenders party thereto, and Bank of America, N.A., in its capacity as Administrative Agent for the Lenders, Swing Line Lender and L/C Issuer (incorporated by reference to Exhibit 10.2 of the Form 8-K filed on November 24,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0">
              <w:r>
                <w:rPr>
                  <w:rStyle w:val="InternetLink"/>
                  <w:rFonts w:ascii="Arial;sans-serif" w:hAnsi="Arial;sans-serif"/>
                  <w:b w:val="false"/>
                  <w:color w:val="0000FF"/>
                  <w:sz w:val="17"/>
                  <w:u w:val="single"/>
                </w:rPr>
                <w:t>Fifth Amendment to Credit Agreement and Limited Waiver Agreement, dated December 19, 2025, by and among Compass Group Diversified Holdings LLC, the Lenders party thereto, and Bank of America, N.A., in its capacity as Administrative Agent for the Lenders, Swing Line Lender and L/C Issuer (incorporated by reference to Exhibit 10.1 of the Form 8-K filed on December 19,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1">
              <w:r>
                <w:rPr>
                  <w:rStyle w:val="InternetLink"/>
                  <w:rFonts w:ascii="Arial;sans-serif" w:hAnsi="Arial;sans-serif"/>
                  <w:b w:val="false"/>
                  <w:color w:val="0000FF"/>
                  <w:sz w:val="17"/>
                  <w:u w:val="single"/>
                </w:rPr>
                <w:t>Fifth Amendment Transaction Letter, dated December 19, 2025, by and among Compass Group Diversified Holdings LLC, the Lenders party thereto, and Bank of America, N.A., in its capacity as Administrative Agent for the Lenders, Swing Line Lender and L/C Issuer (incorporated by reference to Exhibit 10.2 of the Form 8-K filed on December 19, 2025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2">
              <w:r>
                <w:rPr>
                  <w:rStyle w:val="InternetLink"/>
                  <w:rFonts w:ascii="Arial;sans-serif" w:hAnsi="Arial;sans-serif"/>
                  <w:b w:val="false"/>
                  <w:color w:val="0000FF"/>
                  <w:sz w:val="17"/>
                  <w:u w:val="single"/>
                </w:rPr>
                <w:t>Subscription Agreement, dated December 15, 2023, by and among Compass Group Diversified Holdings LLC, Compass Diversified Holdings and Allspring Special Small Cap Value Fund (incorporated by reference to Exhibit 10.1 of the Form 8-K filed on December 21, 2023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3">
              <w:r>
                <w:rPr>
                  <w:rStyle w:val="InternetLink"/>
                  <w:rFonts w:ascii="Arial;sans-serif" w:hAnsi="Arial;sans-serif"/>
                  <w:b w:val="false"/>
                  <w:color w:val="0000FF"/>
                  <w:sz w:val="17"/>
                  <w:u w:val="single"/>
                </w:rPr>
                <w:t>Compass Diversified Holdings, Compass Group Diversified Holdings LLC and Compass Group Management LLC Policy Regarding Insider Trading, Tipping and other Wrongful Disclosures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211.htm">
              <w:r>
                <w:rPr>
                  <w:rStyle w:val="InternetLink"/>
                  <w:rFonts w:ascii="Arial;sans-serif" w:hAnsi="Arial;sans-serif"/>
                  <w:b w:val="false"/>
                  <w:color w:val="0000FF"/>
                  <w:sz w:val="17"/>
                  <w:u w:val="single"/>
                </w:rPr>
                <w:t>List of Subsidiaries</w:t>
              </w:r>
            </w:hyperlink>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8fbf41abdb4a90b1f02abaa0b14bbd_229">
              <w:r>
                <w:rPr>
                  <w:rStyle w:val="InternetLink"/>
                  <w:rFonts w:ascii="Arial;sans-serif" w:hAnsi="Arial;sans-serif"/>
                  <w:b w:val="false"/>
                  <w:color w:val="0000FF"/>
                  <w:sz w:val="16"/>
                  <w:u w:val="single"/>
                </w:rPr>
                <w:t>Power of Attorney (included on the signature page of this Annual Report on Form 10-K)</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11.htm">
              <w:r>
                <w:rPr>
                  <w:rStyle w:val="InternetLink"/>
                  <w:rFonts w:ascii="Arial;sans-serif" w:hAnsi="Arial;sans-serif"/>
                  <w:b w:val="false"/>
                  <w:color w:val="0000FF"/>
                  <w:sz w:val="17"/>
                  <w:u w:val="single"/>
                </w:rPr>
                <w:t>Rule 13a-14(a)/15d-14(a) Certification of Chief Executive Officer of Registrant</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12.htm">
              <w:r>
                <w:rPr>
                  <w:rStyle w:val="InternetLink"/>
                  <w:rFonts w:ascii="Arial;sans-serif" w:hAnsi="Arial;sans-serif"/>
                  <w:b w:val="false"/>
                  <w:color w:val="0000FF"/>
                  <w:sz w:val="17"/>
                  <w:u w:val="single"/>
                </w:rPr>
                <w:t>Rule 13a-14(a)/15d-14(a) Certification of Chief Financial Officer of Registrant</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32.1*</w:t>
            </w:r>
            <w:r>
              <w:rPr>
                <w:rFonts w:ascii="Arial;sans-serif" w:hAnsi="Arial;sans-serif"/>
                <w:b w:val="false"/>
                <w:color w:val="000000"/>
                <w:sz w:val="11"/>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21.htm">
              <w:r>
                <w:rPr>
                  <w:rStyle w:val="InternetLink"/>
                  <w:rFonts w:ascii="Arial;sans-serif" w:hAnsi="Arial;sans-serif"/>
                  <w:b w:val="false"/>
                  <w:color w:val="0000FF"/>
                  <w:sz w:val="17"/>
                  <w:u w:val="single"/>
                </w:rPr>
                <w:t>Section 1350 Certification of Chief Executive Officer of Registrant</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32.2*</w:t>
            </w:r>
            <w:r>
              <w:rPr>
                <w:rFonts w:ascii="Arial;sans-serif" w:hAnsi="Arial;sans-serif"/>
                <w:b w:val="false"/>
                <w:color w:val="000000"/>
                <w:sz w:val="11"/>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025ex322.htm">
              <w:r>
                <w:rPr>
                  <w:rStyle w:val="InternetLink"/>
                  <w:rFonts w:ascii="Arial;sans-serif" w:hAnsi="Arial;sans-serif"/>
                  <w:b w:val="false"/>
                  <w:color w:val="0000FF"/>
                  <w:sz w:val="17"/>
                  <w:u w:val="single"/>
                </w:rPr>
                <w:t>Section 1350 Certification of Chief Financial Officer of Registrant</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4">
              <w:r>
                <w:rPr>
                  <w:rStyle w:val="InternetLink"/>
                  <w:rFonts w:ascii="Arial;sans-serif" w:hAnsi="Arial;sans-serif"/>
                  <w:b w:val="false"/>
                  <w:color w:val="0000FF"/>
                  <w:sz w:val="17"/>
                  <w:u w:val="single"/>
                </w:rPr>
                <w:t>Policy relating to recovery of erroneously awarded compensation, as required by applicable listing standards adopted pursuant to 17 CFR 240.10D-1(incorporated by reference to Exhibit 97.1 of the Form 10-K filed on February 28, 2024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5">
              <w:r>
                <w:rPr>
                  <w:rStyle w:val="InternetLink"/>
                  <w:rFonts w:ascii="Arial;sans-serif" w:hAnsi="Arial;sans-serif"/>
                  <w:b w:val="false"/>
                  <w:color w:val="0000FF"/>
                  <w:sz w:val="17"/>
                  <w:u w:val="single"/>
                </w:rPr>
                <w:t>Stock Purchase Agreement dated March 31, 2010 by and among Gable 5, Inc., Liberty Safe and Security Products, LLC and Liberty Safe Holding Corporation (incorporated by reference to Exhibit 99.1 of the Form 8-K filed on April 1, 2010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6">
              <w:r>
                <w:rPr>
                  <w:rStyle w:val="InternetLink"/>
                  <w:rFonts w:ascii="Arial;sans-serif" w:hAnsi="Arial;sans-serif"/>
                  <w:b w:val="false"/>
                  <w:color w:val="0000FF"/>
                  <w:sz w:val="17"/>
                  <w:u w:val="single"/>
                </w:rPr>
                <w:t>Stock Purchase Agreement dated September 16, 2010, by and among ERGO Baby Intermediate Holding Corporation, The ERGO Baby Carrier, Inc., Karin A. Frost, in her individual capacity and as Trustee of the Revocable Trust of Karin A. Frost dated February 22, 2008 and as Trustee of the Karin A. Frost 2009 Qualified Annuity Trust u/a/d 12/21/2009 (incorporated by reference to Exhibit 99.1 of the Form 8-K filed on September 17, 2010 (File No. 000-51937)).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Arial;sans-serif" w:hAnsi="Arial;sans-serif"/>
                  <w:b w:val="false"/>
                  <w:color w:val="0000FF"/>
                  <w:sz w:val="17"/>
                  <w:u w:val="single"/>
                </w:rPr>
                <w:t>Stock Purchase Agreement dated as of March 5, 2012, by and among Arnold Magnetic Technologies Holdings Corporation, Arnold Magnetic Technologies, LLC and AMT Acquisition Corp. (incorporated by reference to Exhibit 99.1 of the Form 8-K filed on March 6, 2012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8">
              <w:r>
                <w:rPr>
                  <w:rStyle w:val="InternetLink"/>
                  <w:rFonts w:ascii="Arial;sans-serif" w:hAnsi="Arial;sans-serif"/>
                  <w:b w:val="false"/>
                  <w:color w:val="0000FF"/>
                  <w:sz w:val="17"/>
                  <w:u w:val="single"/>
                </w:rPr>
                <w:t>Membership Interest Purchase Agreement dated as of October 10, 2014, by and among Candle Lamp Holdings, LLC, Candle Lamp Company, LLC and Sternocandlelamp Holdings, Inc. (incorporated by reference to Exhibit 99.1 of the Form 8-K filed October 14, 2014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9">
              <w:r>
                <w:rPr>
                  <w:rStyle w:val="InternetLink"/>
                  <w:rFonts w:ascii="Arial;sans-serif" w:hAnsi="Arial;sans-serif"/>
                  <w:b w:val="false"/>
                  <w:color w:val="0000FF"/>
                  <w:sz w:val="17"/>
                  <w:u w:val="single"/>
                </w:rPr>
                <w:t>Agreement and Plan of Merger, dated as of July 29, 2016, by and among 5.11 ABR Corp., 5.11 ABR Merger Corp., 5.11 Acquisition Corp., TA Associates Management, L.P., as the agent and attorney in fact of the holders of stock and options in 5.11 Acquisition Corp. (incorporated by reference to Exhibit 99.1 of the Form 8-K filed on August 1, 2016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0">
              <w:r>
                <w:rPr>
                  <w:rStyle w:val="InternetLink"/>
                  <w:rFonts w:ascii="Arial;sans-serif" w:hAnsi="Arial;sans-serif"/>
                  <w:b w:val="false"/>
                  <w:color w:val="0000FF"/>
                  <w:sz w:val="17"/>
                  <w:u w:val="single"/>
                </w:rPr>
                <w:t>Equity Purchase Agreement, dated June 2, 2017, by and among Bullseye Holding Company LLC, Bullseye Acquisition Corporation, CBCP Acquisition Corp. and Wellspring Capital Partners IV, L.P. (incorporated by reference to Exhibit 99.1 of the Form 8-K filed on June 5, 2017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1">
              <w:r>
                <w:rPr>
                  <w:rStyle w:val="InternetLink"/>
                  <w:rFonts w:ascii="Arial;sans-serif" w:hAnsi="Arial;sans-serif"/>
                  <w:b w:val="false"/>
                  <w:color w:val="0000FF"/>
                  <w:sz w:val="17"/>
                  <w:u w:val="single"/>
                </w:rPr>
                <w:t>Stock Purchase Agreement, dated January 18, 2018, between Warren F. Florkiewicz and FFI Compass, Inc. (incorporated by reference to Exhibit 99.1 of the Form 8-K filed on January 18, 2018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2">
              <w:r>
                <w:rPr>
                  <w:rStyle w:val="InternetLink"/>
                  <w:rFonts w:ascii="Arial;sans-serif" w:hAnsi="Arial;sans-serif"/>
                  <w:b w:val="false"/>
                  <w:color w:val="0000FF"/>
                  <w:sz w:val="17"/>
                  <w:u w:val="single"/>
                </w:rPr>
                <w:t>Arrangement Agreement, dated February 19, 2019, by and among FHF Holdings Ltd.; 1197879 B.C. Ltd.; Tilray, Inc.; Compass Group Diversified Holdings LLC and each Shareholder that is, or is made pursuant to the Plan of Arrangement, a party thereto (incorporated by reference to Exhibit 99.1 of the Form 8-K filed on February 20, 2019 (File No. 001-34927)).</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3">
              <w:r>
                <w:rPr>
                  <w:rStyle w:val="InternetLink"/>
                  <w:rFonts w:ascii="Arial;sans-serif" w:hAnsi="Arial;sans-serif"/>
                  <w:b w:val="false"/>
                  <w:color w:val="0000FF"/>
                  <w:sz w:val="17"/>
                  <w:u w:val="single"/>
                </w:rPr>
                <w:t>Agreement and Plan of Merger, dated as of March 6, 2020, among Marucci Sports, LLC, Wheelhouse Holdings, Inc., Wheelhouse Holdings Merger Sub LLC and Wheelhouse 2020 LLC (incorporated by reference to Exhibit 99.1 of the Form 8-K filed on March 9, 2020 (File No. 001-34927))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31445"/>
                <wp:effectExtent l="0" t="0" r="0" b="0"/>
                <wp:wrapNone/>
                <wp:docPr id="212" name="Frame2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INDEX TO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77"/>
        <w:gridCol w:w="244"/>
        <w:gridCol w:w="245"/>
        <w:gridCol w:w="109"/>
        <w:gridCol w:w="109"/>
        <w:gridCol w:w="109"/>
        <w:gridCol w:w="2666"/>
        <w:gridCol w:w="2666"/>
        <w:gridCol w:w="378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u w:val="single"/>
              </w:rPr>
            </w:pPr>
            <w:r>
              <w:rPr>
                <w:rFonts w:ascii="Arial;sans-serif" w:hAnsi="Arial;sans-serif"/>
                <w:b/>
                <w:color w:val="000000"/>
                <w:sz w:val="17"/>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u w:val="single"/>
              </w:rPr>
            </w:pPr>
            <w:r>
              <w:rPr>
                <w:rFonts w:ascii="Arial;sans-serif" w:hAnsi="Arial;sans-serif"/>
                <w:b/>
                <w:color w:val="000000"/>
                <w:sz w:val="17"/>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4">
              <w:r>
                <w:rPr>
                  <w:rStyle w:val="InternetLink"/>
                  <w:rFonts w:ascii="Arial;sans-serif" w:hAnsi="Arial;sans-serif"/>
                  <w:b w:val="false"/>
                  <w:color w:val="0000FF"/>
                  <w:sz w:val="17"/>
                  <w:u w:val="single"/>
                </w:rPr>
                <w:t>Agreement and Plan of Merger, among Reel Holding Corp., BOA Parent Inc., BOA Merger Sub Inc. and Shareholder Representative Services LLC (incorporated by reference to Exhibit 99.3 of the Form 8-K filed on September 22, 2020 (File No. 001-34927))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5">
              <w:r>
                <w:rPr>
                  <w:rStyle w:val="InternetLink"/>
                  <w:rFonts w:ascii="Arial;sans-serif" w:hAnsi="Arial;sans-serif"/>
                  <w:b w:val="false"/>
                  <w:color w:val="0000FF"/>
                  <w:sz w:val="17"/>
                  <w:u w:val="single"/>
                </w:rPr>
                <w:t>First Amendment to Agreement and Plan of Merger, dated October 16, 2020, among Reel Holding Corp., BOA Parent Inc., BOA Merger Sub Inc. and Shareholder Representative Services LLC (incorporated by reference to Exhibit 99.2 of the Form 8-K filed on October 19, 2020 (File No. 001-34927))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6">
              <w:r>
                <w:rPr>
                  <w:rStyle w:val="InternetLink"/>
                  <w:rFonts w:ascii="Arial;sans-serif" w:hAnsi="Arial;sans-serif"/>
                  <w:b w:val="false"/>
                  <w:color w:val="0000FF"/>
                  <w:sz w:val="17"/>
                  <w:u w:val="single"/>
                </w:rPr>
                <w:t>Stock Purchase Agreement, dated September 3, 2021, between Lugano Buyer Inc., Mordechai Haim Ferder, as trustee of The Haim Family Trust dated 2/24/2009, Edit Fintzi Ferder, as trustee of The RF 2021 Irrevocable Trust dated 8/30/2021, Mordechai Haim Ferder, as trustee of The TF 2021 Irrevocable Trust dated 8/30/2021, Simba IL Holdings, LLC and Mordechai Haim Ferder in his individual capacity and as initial representative of the Sellers (incorporated by reference to Exhibit 99.2 of the Form 8-K filed on September 7, 2021 (File No. 001-34927 and Accession No. 0001345126-21-000039)).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7">
              <w:r>
                <w:rPr>
                  <w:rStyle w:val="InternetLink"/>
                  <w:rFonts w:ascii="Arial;sans-serif" w:hAnsi="Arial;sans-serif"/>
                  <w:b w:val="false"/>
                  <w:color w:val="0000FF"/>
                  <w:sz w:val="17"/>
                  <w:u w:val="single"/>
                </w:rPr>
                <w:t>Stock Purchase Agreement, dated June 4, 2022, between VP PrimaLoft Holdings, LLC and Relentless Intermediate, Inc. (incorporated by reference to Exhibit 99.3 of the Form 8-K filed on June 6, 2022 (File No. 001-34927)).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99.14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8">
              <w:r>
                <w:rPr>
                  <w:rStyle w:val="InternetLink"/>
                  <w:rFonts w:ascii="Arial;sans-serif" w:hAnsi="Arial;sans-serif"/>
                  <w:b w:val="false"/>
                  <w:color w:val="0000FF"/>
                  <w:sz w:val="17"/>
                  <w:u w:val="single"/>
                </w:rPr>
                <w:t>Merger and Stock Purchase Agreement, dated January 14, 2024, by and among The Honey Pot Company Holdings, LLC, VMG Honey Pot Blocker, Inc., NVB1, Inc., VMG Tax-Exempt IV, L.P., New Voices Fund, LP, THP Intermediate, Inc., THP Merger Sub, LLC, the Sellers’ Representative and certain other equity holders of THP.(incorporated by reference to Exhibit 99.3 of the Form 8-K filed on January 16, 2024 (File No. 001-34927)).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Instance Document - the instance document does not appear in the Interactive Data File because its XBRL tags are embedded within the Inline XBRL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Schema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Calculation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Definition Linkbase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Label Linkbase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Inline XBRL Taxonomy Extension Presentation Linkbase Document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Cover page formatted as Inline XBRL and contained in Exhibit 101</w:t>
            </w:r>
          </w:p>
        </w:tc>
      </w:tr>
    </w:tbl>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06"/>
        <w:gridCol w:w="2709"/>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Filed or 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Denotes management contracts and compensatory plans or arrangements.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31445"/>
                <wp:effectExtent l="0" t="0" r="0" b="0"/>
                <wp:wrapNone/>
                <wp:docPr id="213" name="Frame2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E-5</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2"/>
        </w:rPr>
      </w:pPr>
      <w:r>
        <w:rPr>
          <w:rFonts w:ascii="Times New Roman;serif" w:hAnsi="Times New Roman;serif"/>
          <w:b/>
          <w:color w:val="000000"/>
          <w:sz w:val="22"/>
        </w:rPr>
        <w:t>Exhibit 4.12</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DESCRIPTION OF REGISTRANT’S SECURITIES REGISTERED UNDER SECTION 12 OF THE SECURITIES EXCHANGE ACT OF 1934</w:t>
      </w:r>
    </w:p>
    <w:p>
      <w:pPr>
        <w:pStyle w:val="TextBody"/>
        <w:bidi w:val="0"/>
        <w:spacing w:before="120" w:after="283"/>
        <w:jc w:val="center"/>
        <w:rPr/>
      </w:pPr>
      <w:r>
        <w:rPr/>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The following is a summary of the material terms of the registered securities of Compass Diversified Holdings (the "trust") and the corresponding trusts interests of Compass Group Diversified Holdings (the "company" and, collectively with the trust, "we", "us" and "our"). The description is based, in part, on the Third Amended and Restated Trust Agreement of the trust dated as of August 3, 2021 (as further amended, the "trust agreement") and the Sixth Amended and Restated Operating Agreement of the company dated as of August 3, 2021 (as further amended, the "LLC agreement").</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The following descriptions of the trust agreement and the LLC agreement are subject to the provisions of the Delaware Statutory Trust Act and the Delaware Limited Liability Company Act. Certain provisions of the trust agreement and the LLC agreement are intended to be consistent with the Delaware General Corporation Law, which we refer to as the DGCL, and the powers of the company, the governance processes and the rights of the trust as the holder of the trust interests and the shareholders of the trust are generally intended to be similar in many respects to those of a typical Delaware corporation under the DGCL, with certain exceptions.</w:t>
      </w:r>
    </w:p>
    <w:p>
      <w:pPr>
        <w:pStyle w:val="TextBody"/>
        <w:bidi w:val="0"/>
        <w:spacing w:lineRule="auto" w:line="288" w:before="120" w:after="283"/>
        <w:jc w:val="both"/>
        <w:rPr>
          <w:rFonts w:ascii="Times New Roman;serif" w:hAnsi="Times New Roman;serif"/>
          <w:b w:val="false"/>
          <w:i/>
          <w:color w:val="000000"/>
          <w:sz w:val="22"/>
        </w:rPr>
      </w:pPr>
      <w:r>
        <w:rPr>
          <w:rFonts w:ascii="Times New Roman;serif" w:hAnsi="Times New Roman;serif"/>
          <w:b w:val="false"/>
          <w:i/>
          <w:color w:val="000000"/>
          <w:sz w:val="22"/>
        </w:rPr>
        <w:t>The summaries and descriptions below do not purport to be complete statements of the relevant provisions of the trust agreement and the LLC agreement. The statements that follow are subject to, and are qualified in their entirety by, reference to all of the provisions of each of the trust agreement and the LLC agreement, which will govern your rights as a holder of the shares and the trust's rights as a holder of trust interests. Each of our trust agreement and LLC agreement is included as exhibits to our Annual Report on Form 10-K.</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General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trust is authorized to issue shares each representing one undivided beneficial interest corresponding to one underlying trust interest in the company held by the trust. Shares of the trust may be common shares, which correspond to underlying trust common interests in the company, or preferred shares, which correspond to trust preferred interests in the company.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trust interests, which consist of trust common interests and trust preferred interests, are one of two classes of equity interests in the company — the trust interests, of which 100% are held by the trust, and the allocation interests, of which 100% are held by Sostratus LLC.</w:t>
      </w:r>
    </w:p>
    <w:p>
      <w:pPr>
        <w:pStyle w:val="TextBody"/>
        <w:bidi w:val="0"/>
        <w:spacing w:lineRule="auto" w:line="288" w:before="180" w:after="283"/>
        <w:jc w:val="both"/>
        <w:rPr>
          <w:rFonts w:ascii="Times New Roman;serif" w:hAnsi="Times New Roman;serif"/>
          <w:b/>
          <w:color w:val="000000"/>
          <w:sz w:val="22"/>
        </w:rPr>
      </w:pPr>
      <w:r>
        <w:rPr>
          <w:rFonts w:ascii="Times New Roman;serif" w:hAnsi="Times New Roman;serif"/>
          <w:b/>
          <w:color w:val="000000"/>
          <w:sz w:val="22"/>
        </w:rPr>
        <w:t>Common Shares in the Trust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Each common share of the trust represents one undivided beneficial interest in the trust property and corresponds to one underlying trust common interest held by the trust. Unless the trust is dissolved, it must remain the holder of 100% of the trust common interests and at all times the company will have outstanding the identical number of trust common interests as the number of outstanding common shares of the trust. Pursuant to the trust agreement, the trust is authorized to issue up to 500,000,000 common shares and the company is authorized to issue a corresponding number of trust common interests. All common shares and trust common interests, when they are issued, will be fully paid and nonassessable. Holders of common shares have no preemptive, subscription or conversion rights. There are no redemption or sinking fund provisions applicable to the common shares. The rights of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60655"/>
                <wp:effectExtent l="0" t="0" r="0" b="0"/>
                <wp:wrapNone/>
                <wp:docPr id="214" name="Frame2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common shares will be subject to, and may be adversely affected by, the rights of holders of any preferred shares that may be issued in the future.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common shares of the trust are listed on the New York Stock Exchange under the symbol "CODI."</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Preferred Shares in the Trust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Each preferred share of the trust represents one undivided beneficial interest in the trust property and corresponds to one underlying trust preferred interest held by the trust. Unless the trust is dissolved, it must remain the holder of 100% of the trust preferred interests and at all times the company will have outstanding the identical number of trust preferred interests as the number of outstanding preferred shares of the trust. Pursuant to the trust agreement, the trust is authorized to issue up to 50,000,000 preferred shares and the company is authorized to issue a corresponding number of trust preferred interests. All preferred shares and trust preferred interests, when they are issued, are and will be fully paid and nonassessable.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company's board of directors may determine, without further action by the holders of our shares, the terms, designations, preferences, rights, powers and duties of the preferred shares offered by this prospectus, as reflected in a share designation,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right, if any, of such shares to share in the trust's profits and losses or items thereof;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right, if any, of such shares to share in the trust's distributions, the dates distributions on such shares will be payable and whether distributions with respect to such shares will be cumulative or non-cumulative;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rights of such shares upon dissolution and liquidation of the trust;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whether, and the terms and conditions upon which, the trust may redeem such shares;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whether such shares are issued with the privilege of conversion or exchange and, if so, the conversion or exchange price or prices or rate or rates, any rate adjustments, the date or dates on which, or the period or periods during which, such shares will be convertible or exchangeable, and all other terms and conditions upon which the conversion or exchange may be made;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terms and conditions upon which such shares will be issued, evidenced by certificates and assigned or transferred;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method for determining the percentage interest as to such shares;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terms and amounts of any sinking fund provided for the purchase or redemption of such shares;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whether there will be restrictions on the issuance of preferred shares of the same class or series or any other class or series;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right, if any, of the holder of each such share to vote on trust matters, including matters relating to the relative rights, preferences and privileges of such shares.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 share designation (or any resolution of the board of directors of the company amending any share designation) will constitute an amendment to the trust agreement. However, the company's board of directors will not, without prior shareholder approval, issue or use any preferred shares for any defensive or anti-takeover purpose or for the purpose of implementing any shareholder rights plan.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Currently, the trust has 7.250% Series A Preferred Shares (the “Series A Preferred Shares”), 7.875% Series B Fixed-to-Floating Rate Cumulative Preferred Shares (the “Series B Preferred Shares”) and 7.875% Series C Cumulative Preferred Shares (the “Series C Preferred Shares”) issued and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60655"/>
                <wp:effectExtent l="0" t="0" r="0" b="0"/>
                <wp:wrapNone/>
                <wp:docPr id="215" name="Frame2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which are listed on the New York Stock Exchange under the symbols "CODI PR A," "CODI PR B" and "CODI PR C," respectively.</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Equity Interests in the Company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company is authorized, pursuant to action by the company's board of directors, to issue up to 500,000,000 trust common interests in one or more series.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is authorized, pursuant to action by the company's board of directors, to issue up to 50,000,000 trust preferred interests in one or more classes or series, with the terms, designations, preferences, rights, powers and duties of any such trust preferred interests reflected in a trust interest designation.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addition to the trust common interests and trust preferred interests, which we refer to collectively as the trust interests, the company is authorized, pursuant to action by the company's board of directors, to issue up to 1,000 allocation interests. In connection with the formation of the company, our manager acquired 100% of the allocation interests so authorized and issued. On June 27, 2013, our manager assigned its allocation interests to Sostratus LLC. All allocation interests are fully paid and nonassessable. Other than the allocation interests held by Sostratus LLC, the company is not authorized to issue any other allocation interests.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Distributions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company, acting through its board of directors, may declare and pay distributions on the applicable interests of the company, subject to any applicable trust interest designation. Any distributions so declared will be paid on such interests in proportion to the number of such interests held by the holders thereof. The members of our manager currently have a nominal indirect equity interest in the company, which is subject to dilution if additional shares, including the common shares and preferred shares described herein, are offered in the future. The company's board of directors may, in its sole discretion and at any time, declare and pay distributions from the cash flow available for distributions to the holders of its interests, subject to any applicable trust interest designation.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Upon receipt of any distributions declared and paid by the company, the trust will, pursuant to the terms of the trust agreement, distribute within five business days the amounts determined by the company, out of such distributions in cash to its applicable shareholders, in proportion to their percentage ownership of the common shares or preferred shares on the related record date. The record date for distributions by the company will be the same as the record date for corresponding distributions by the trust.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Certain members of our manager indirectly own allocation interests in the Company through their ownership of Sostratus LLC. The owner of the allocation interests in the company is sometimes referred to herein as the "Allocation Member." Upon the occurrence of certain events, the company will pay a profit allocation to the Allocation Member, as holder of the allocation interests.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Voting and Consent Rights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General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Each outstanding share, subject to any applicable share designation, is entitled to one vote on any company matter with respect to which the trust is entitled to vote, as provided in the LLC agreement and as detailed below. Pursuant to the terms of the LLC agreement and the trust agreement, the company will act at the direction of the trust only with respect to those matters subject to vote by the holders of trust interests of the company. The company, as sponsor of the trust, will provide to the trust, for transmittal to shareholders of the trust, the appropriate form of proxy to enable shareholders of the trust to direct, in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60655"/>
                <wp:effectExtent l="0" t="0" r="0" b="0"/>
                <wp:wrapNone/>
                <wp:docPr id="216" name="Frame2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proportion to their percentage ownership of the shares, the trust's vote with respect to the trust interests. The trust will vote its trust interests in the same proportion as the vote of holders of the shares. For purposes of this summary, the voting rights of holders of the trust interests of the company that effectively will be exercised by the shareholders of the trust by proxy will be referred to as the voting rights of the holders of the shares.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LLC agreement provides that the holders of trust interests are entitled, at each annual meeting of members of the company beginning in 2022, to vote for the election of all of the directors (other than any director appointed by Allocation Member) for a one-year term, subject to any applicable trust interest designation. Because neither the trust agreement nor the LLC agreement provides for cumulative voting rights, the holders of a plurality of the voting power of the then outstanding shares represented at a shareholders meeting will effectively be able to elect all the directors of the company (other than any director appointed by Allocation Member) standing for election, subject to any applicable share designation or trust interest designation.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LLC agreement further provides that holders of allocation interests will not be entitled to any voting rights, except that holders of allocation interests will have, in accordance with the terms of the LLC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voting or consent rights in connection with certain anti-takeover provisions, as discussed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 consent right with respect to the amendment or modification of the provisions providing for distributions to the holders of allocation interests;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 consent right to any amendment to the provision entitling the holders of allocation interests to appoint directors who will serve on the board of directors of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 consent right with respect to any amendment of the provision of the LLC agreement governing amendments thereof;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 consent right with respect to any amendment that would adversely affect the holders of allocation interests.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Board of Directors Appointee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As holder of the allocation interests, our Allocation Member has the right to appoint one director (or two directors if the board size is increased to nine or more directors) to the company's board of directors. No such appointed director on the company's board of directors will be required to stand for election by the shareholders. No such appointed director who is also a member of the company's management will receive any compensation (other than reimbursements that are permitted for directors) or will have any special voting rights.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Right to Bring a Derivative Action and Enforcement of the Provisions of the LLC Agreement by Holders of the Shares and Our Manager</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trust agreement and the LLC agreement both provide that holders of common shares representing at least ten percent of the outstanding common shares shall have the right to directly institute a legal proceeding against the company to enforce the provisions of the LLC agreement. In addition, the trust agreement and the LLC agreement provide that holders of common shares representing at least ten percent of the outstanding common shares have the right to cause the trust to institute any legal proceeding for any remedy available to the trust, including the bringing of a derivative action in the right of the company under Section 18-1001 of the Delaware Limited Liability Company Act relating to the right to bring derivative actions. Holders of common shares will have the right to direct the time, method and place of conducting such legal proceedings brought by the trust. The Allocation Member, as holder of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60655"/>
                <wp:effectExtent l="0" t="0" r="0" b="0"/>
                <wp:wrapNone/>
                <wp:docPr id="217" name="Frame2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allocation interests, has the right to directly institute proceedings against the company to enforce the provisions of the LLC agreement.</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Acquisition Exchange and Optional Purchase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trust agreement and the LLC agreement provide that, if at any time more than 90% of the then outstanding voting shares entitled to vote are beneficially owned by one person, who we refer to as the acquirer and which time we refer to as the control date, such acquirer has the right to cause the trust, acting at the direction of the company's board of directors, to mandatorily exchange all shares then outstanding for an equal number of underlying trust interests, which we refer to as an acquisition exchange, and dissolve the trust. The company, as sponsor of the trust, will cause the transfer agent of the shares to mail a copy of notice of such acquisition exchange to the shareholders of the trust at least 30 days prior to the exchange of shares for underlying trust interests. Upon the completion of such acquisition exchange, each holder of shares immediately prior to the completion of the acquisition exchange will be admitted to the company as a member in respect of an equal number of underlying trust interests and the trust will cease to be a member of the company.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LLC agreement provides that, following such exchange, the acquirer shall have the right to purchase at the offer price, as defined in the LLC agreement, from the other holders of trust interests for cash all, but not less than all, of the outstanding trust interests that the acquirer does not own as of the control date. While this provision of the LLC agreement provides for a fair price requirement, the LLC agreement does not provide members with appraisal rights to which shareholders of a Delaware corporation would be entitled under Section 262 of the DGCL. The acquirer can exercise its right to effect such purchase by delivering notice to the company and the transfer agent of its election to make the purchase not less than 60 days prior to the control date. The company will cause the transfer agent to mail the notice of the purchase to the record holders of the trust interests at least 30 days prior to the control date. We refer to the date of purchase as the purchase date.</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Voluntary Exchange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trust agreement and the LLC agreement provide that in the event the company's board of directors determines that the existence of the trust results, or is reasonably likely to result, in a material tax detriment to the trust, the holders of shares, the company or any of the members, the company, as sponsor of the trust, shall cause the trust to exchange all shares then outstanding for an equal number of underlying trust interests and dissolve the trust. We refer to such an exchange as a voluntary exchange. The company, as sponsor of the trust, will cause the transfer agent for the shares to mail a copy of notice of such voluntary exchange to the shareholders of the trust at least 30 days prior to the exchange of shares for underlying trust interests. Upon the completion of such voluntary exchange, each holder of shares immediately prior to the completion of the voluntary exchange will be admitted to the company as a member in respect of an equal number of underlying trust interests and the trust will cease to be a member of the company.</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Tax Election of the Trust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company may, acting through its board of directors, without further action by the shareholders, at such time as it may determine, cause the trust to elect to be treated as a corporation for U.S. federal income tax purposes and, thereafter, must maintain the trust's status as an association taxable as a corporation. Effective as of September 1, 2021, the trust has elected to be treated as a corporation for U.S. federal income tax purposes.</w:t>
      </w:r>
    </w:p>
    <w:p>
      <w:pPr>
        <w:pStyle w:val="TextBody"/>
        <w:bidi w:val="0"/>
        <w:spacing w:before="1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60655"/>
                <wp:effectExtent l="0" t="0" r="0" b="0"/>
                <wp:wrapNone/>
                <wp:docPr id="218" name="Frame2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Tax Election of the Company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circumstances where the trust has been dissolved, the LLC agreement provides that the company's board of directors may, without the consent or vote of holders of trust interests, cause the company to elect to be treated as a corporation for U.S. federal income tax purposes.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Conversion of the Trust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company may, acting through its board of directors, without further action by the shareholders: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cause the trust to be converted to a corporation, through direct conversion, merger into, or conveyance of all assets to, a corporation which otherwise has no assets, liabilities or operations at the time;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convert or exchange the trust shares into or for shares of stock of one or more classes in such corporation;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adopt the organizational documents of the corporation with terms that provide the shareholders and the holder of the allocation interests in the company with substantially similar rights and obligations as the trust agreement and the LLC agreement (including to reflect the election of directors of such corporation directly by the stockholders of such corporation rather than through the trust agreement and the LLC agreement), with any such alterations thereto as are required by the laws governing such corporation or determined by the board to be in the best interests of the trust and the shareholders.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Amendment to LLC Agreement for Conversion of the Trust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the event the trust is converted to, or the trust is merged into or all of the trust's assets are conveyed to, a corporation pursuant to the trust agreement, without further approval of the company's members but subject to the prior written consent of the Allocation Member if the rights of the Allocation Member would be adversely affected, the company's board of directors may amend the LLC agreement as the board determines is necessary or appropriate to reflect such conversion, merger or conveyance.</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Dissolution of the Trust and the Company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LLC agreement provides for the dissolution and winding up of the company upon the occurrence 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adoption of a resolution by a majority vote of the company's board of directors approving the dissolution, winding up and liquidation of the company and the approval of such action by the affirmative vote of the holders of a majority of the outstanding trust interests entitled to vote thereon;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unanimous vote of the holders of the outstanding trust interests entitled to vote to dissolve, wind up and liquidate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 judicial determination that an event has occurred that makes it not reasonably practical to carry on the business of the company in conformity with the LLC agreement as determined in accordance with Section 18-802 of the Delaware Limited Liability Company Act;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termination of the legal existence of the last remaining member of the company or the occurrence of any other event that terminates the continued membership of the last remaining member of the company, unless the company is continued without dissolution in a manner provided under the LLC agreement or the Delaware Limited Liability Company Act.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trust agreement provides for the dissolution and winding up of the trust upon the occurrence of:</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60655"/>
                <wp:effectExtent l="0" t="0" r="0" b="0"/>
                <wp:wrapNone/>
                <wp:docPr id="219" name="Frame2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an acquisition exchange or a voluntary exchange;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filing of a certificate of cancellation of the company or its failure to revive its certificate of formation within 10 days following revocation of the company's certificate of 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entry of a decree of judicial dissolution by a court of competent jurisdiction over the company or the trust;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receipt by the regular trustees of written notice from the company at any time of its determination to dissolve the trust and distribute the trust interests in exchange for the shares.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refer to these events as dissolution events. Following the occurrence of a dissolution event with respect to the trust, each share will be mandatorily exchanged for an underlying trust interest of the company. Upon dissolution of the company in accordance with the terms of the LLC agreement, the then holders of trust interests will be entitled to share in the assets of the company legally available for distribution following payment to creditors, subject to any applicable trust interest designation, in accordance with the positive balance in such holders' capital accounts required by the LLC agreement, including any applicable trust interest designation, after giving effect to all contributions, distributions and allocations for all periods.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Description of Series A Preferred Shares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General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June 28, 2017, the trust executed a share designation, which was amended and restated on August 3, 2021 and further amended on March 20, 2024 and September 4, 2024 (as so amended and restated and further amended, the “Series A Share Designation”). The Series A Share Designation designates 5,701,955 shares of the preferred shares of the trust, no par value, as the Series A Preferred Shares with the powers, designations, preferences and other rights as set forth therein. </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Distributions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Distributions on the Series A Preferred Shares are payable when, as and if declared by the board of directors of the company out of funds legally available, at a rate per annum equal to 7.250% of the $25.00 liquidation preference per share. Distributions on the Series A Preferred Shares are payable quarterly on January 30, April 30, July 30 and October 30 of each year, when, as and if declared by the board of directors of the company in its sole discretion. If any of those dates is not a business day, then distributions are payable on the next succeeding business day. Declared distributions will be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will apply regardless of whether a particular record date is a business day, provided that if the record date is not a business day, the declared distributions will be payable on the relevant distribution payment date to holders of record as they appear on the trust’s share register at the close of business, New York City time, on the business day immediately preceding such record date. A “business day” as used herein means any day other than a Saturday, a Sunday or a day on which banks in The City of New York are required, permitted or authorized, by applicable law or executive order, to be closed for regular banking business.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we issue additional Series A Preferred Shares, distributions on such additional shares, to the extent declared, will accrue from the original issuance date of such additional shares or any other date we specify at the time such additional shares are issued. Distributions on the Series A Preferred Shares are non-cumulative. Accordingly, if the board of directors of the company does not declare a distribution before the scheduled record date for any distribution period, the trust will not make a distribution in that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60655"/>
                <wp:effectExtent l="0" t="0" r="0" b="0"/>
                <wp:wrapNone/>
                <wp:docPr id="220" name="Frame2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distribution period, whether or not distributions on the Series A Preferred Shares are declared or paid for any future distribution period. A “distribution period” as used herein refers to the period from and including a distribution payment date to, but excluding, the next distribution payment date, provided that the initial distribution period commences on and includes June 28, 2017. Distributions payable on the Series A Preferred Shares for any distribution period will be computed on the basis of a 360-day year consisting of twelve 30-day months.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Series A Preferred Shares rank junior to the allocation interests to the extent provided in the LLC agreement, and senior to the common shares to the extent provided in the trust agreement, with respect to the payment of distributions. Unless distributions have been declared and paid or declared and set apart for payment on the Series A Preferred Shares for a quarterly distribution period, no distribution may be declared or paid or set apart for payment on the common shares (or on any other shares that the trust has, or may in the future, issue ranking, as to the payment of distributions, junior to the Series A Preferred Shares (together with the common shares, "Series A junior shares")) for the remainder of that quarterly distribution period, other than distributions paid in Series A junior shares or options, warrants or rights to subscribe for or purchase Series A junior shares, and we and our subsidiaries may not directly or indirectly repurchase, redeem or otherwise acquire for consideration common shares (or any Series A junior shares). However, for a subsequent distribution period, payments on Series A junior shares can be made again as long as distributions have been made on the Series A Preferred Shares for that period (even if no distributions have been made in one or more prior periods).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board of directors of the company, or a duly authorized committee thereof, may, in its discretion, choose to cause the trust to pay distributions on the Series A Preferred Shares without the payment of any distributions on any Series A junior shares. No distributions may be declared or paid or set apart for payment on any Series A Preferred Shares if at the same time any arrears exist or default exists in the payment of distributions on any outstanding series of Series A senior shares (defined below), if any are issued.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When distributions are not paid (or duly provided for) on any distribution payment date (or, in the case of Series A parity shares (as defined below) having distribution payment dates different from the distribution payment dates pertaining to the Series A Preferred Shares, on a distribution payment date falling within the related distribution period (as defined below) for the Series A Preferred Shares) in full upon the Series A Preferred Shares or any Series A parity shares, all distributions declared upon the Series A Preferred Shares and all such Series A parity shares payable on such distribution payment date (or, in the case of Series A parity shares having distribution payment dates different from the distribution payment dates pertaining to the Series A Preferred Shares, on a distribution payment date falling within the related distribution period for the Series A Preferred Shares) shall be declared pro rata so that the respective amounts of such distributions shall bear the same ratio to each other as all declared and unpaid distributions per share on the Series A Preferred Shares and all unpaid distributions, including any accumulations, on all Series A parity shares payable on such distribution payment date (or in the case of Series A parity shares having distribution payment dates different from the distribution payment dates pertaining to the Series A Preferred Shares, on a distribution payment date falling within the related distribution period for the Series A Preferred Shares) bear to each other.</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Ranking</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Series A Preferred Shares rank senior to the Series A junior shares with respect to payment of distributions and distribution of the trust's assets upon the trust's liquidation, dissolution or winding up. The Series A Preferred Shares rank equally with any equity securities, including our Series B Preferred Shares, Series C Preferred Shares and other preferred shares, that the trust may issue in the future, the terms of which provide that such securities will rank equally with the Series A Preferred Shares with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60655"/>
                <wp:effectExtent l="0" t="0" r="0" b="0"/>
                <wp:wrapNone/>
                <wp:docPr id="221" name="Frame2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respect to payment of distributions and distribution of the trust's assets upon its liquidation, dissolution or winding up ("Series A parity shares"). The Series A Preferred Shares rank junior to (i) all of the trust's existing and future indebtedness, and (ii) any of the trust's equity securities, including preferred shares, that the trust or the company may issue in the future, the terms of which provide that such securities will rank senior to the Series A Preferred Shares with respect to payment of distributions and distribution of the trust's assets upon its liquidation, dissolution or winding up (such equity securities, "Series A senior shares"). The Series A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A Preferred Shares upon the liquidation, dissolution or winding up of the trust. Other than the company's allocation interests, there are no Series A senior shares or interests in the company outstanding.</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Maturity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Series A Preferred Shares do not have a maturity date, and the trust is not required to redeem or repurchase the Series A Preferred Shares. Accordingly, the Series A Preferred Shares will remain outstanding indefinitely unless the board of directors of the company decides to cause the trust to redeem or repurchase them.</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Redemption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trust may not redeem the Series A Preferred Shares prior to July 30, 2022. On or after July 30, 2022, the board of directors of the company may cause the trust, at its option, out of funds legally available to redeem the Series A Preferred Shares, in whole or in part, upon not less than 30 nor more than 60 days' notice, at a price of $25.00 per Series A Preferred Share plus any accumulated and unpaid distributions thereon, if any, to, but excluding, the redemption date, without payment of any undeclared distributions. Holders of the Series A Preferred Shares have no right to require the redemption of the Series A Preferred Shares.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Repurchase at the Option of Holders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If a Series A Fundamental Change (as defined below) occurs, unless, prior to or concurrently with the time the board of directors of the company is required to cause the trust to make a Series A Fundamental Change Offer (as described below), the board of directors of the company has caused the company to previously or concurrently mail or transmit electronically a redemption notice with respect to all of the outstanding Series A Preferred Shares, the board of directors of the company will cause the trust to make an offer to purchase all of the Series A Preferred Shares pursuant to the offer described below (the "Series A Fundamental Change Offer"), out of funds received by the trust on the Series A Trust Preferred Interests (as defined below under "—Series A Trust Preferred Interests") and legally available, at a price in cash (the “Series A Fundamental Change Payment”) of $25.25 per Series A Preferred Share, plus declared and unpaid distributions thereon to, but excluding, the Series A Fundamental Change Payment Date (as defined below), without payment of any undeclared distributions. Within 30 days following any Series A Fundamental Change, the board of directors of the company will cause the trust to send notice of such Series A Fundamental Change Offer by first class mail to each holder of Series A Preferred Shares or otherwise in accordance with the procedures of the Depository Trust Company with the following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60655"/>
                <wp:effectExtent l="0" t="0" r="0" b="0"/>
                <wp:wrapNone/>
                <wp:docPr id="222" name="Frame2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(1)that a Series A Fundamental Change Offer is being made pursuant to the share designation designating the Series A Preferred Shares and that all Series A Preferred Shares properly tendered pursuant to such Series A Fundamental Change Offer will be accepted for payment by the trust;</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purchase price and the purchase date, which will be no earlier than 30 days nor later than 60 days from the date such notice is mailed (the “Series A Fundamental Change Payment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(3)that any Series A Preferred Share not properly tendered will remain outstanding and entitled to receive distributions when, as and if declared by the board of directors of the company;</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(4)that, unless the trust defaults in the payment pursuant to the Series A Fundamental Change Offer, all Series A Preferred Shares accepted for payment pursuant to the Series A Fundamental Change Offer will be cancelled and cease to be outstanding on the Series A Fundamental Change Payment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instructions determined by the company, consistent with this covenant, that a holder of Series A Preferred Shares must follow in order to have its Series A Preferred Shares purchased; and</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(6)if such notice is mailed prior to the occurrence of a Series A Fundamental Change, that such offer is conditioned on the occurrence of such Series A Fundamental Change.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will not be required to cause the trust to make a Series A Fundamental Change Offer upon a Series A Fundamental Change if a third party makes the Series A Fundamental Change Offer in the manner, at the times and otherwise in compliance with the requirements set forth in the share designation designating the Series A Preferred Shares applicable to a Series A Fundamental Change Offer made by the trust and purchases all Series A Preferred Shares validly tendered and not withdrawn under such Series A Fundamental Change Offer.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and the trust will comply, to the extent applicable, with the requirements of Section 14(e) of the Securities Exchange Act of 1934, as amended (the “Exchange Act”), and any other securities laws or regulations in connection with the repurchase of Series A Preferred Shares pursuant to this covenant. To the extent the provisions of any securities laws or regulations conflict with provisions of the share designation designating the Series A Preferred Shares, the company and the trust will comply with the applicable securities laws and regulations and will not be deemed to have breached their obligations described in such share designation by virtue thereof.</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On the Series A Fundamental Change Payment Date, the board of directors of the company shall cause the trust, to the extent permitted by law and to the extent of funds received by the trust on the Series A Trust Preferred Interests, to:</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(1)accept for payment all Series A Preferred Shares properly tendered pursuant to the Series A Fundamental Change Offer;</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(2)deposit with the paying agent an amount equal to the aggregate payment pursuant to the Series A Fundamental Change Offer in respect of all Series A Preferred Shares so tendered; and</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(3)cancel the Series A Preferred Shares so accepted.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(i) a Series A Fundamental Change occurs and (ii) (x) we do not give notice prior to the 31st day following the Series A Fundamental Change of either (1) a Series A Fundamental Change Offer or (2) the intention to redeem all the outstanding Series A Preferred Shares or (y) we default upon our obligation to repurchase or redeem the Series A Preferred Shares on the Series A Fundamental Change Payment Date or redemption date, the distribution rate per annum on the Series A Preferred Shares will increase by 5.00%, beginning on the 31st day following such Series A Fundamental Change. Notwithstanding any requirement that we offer to repurchase or redeem all the outstanding Series A Preferred Shares, the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60655"/>
                <wp:effectExtent l="0" t="0" r="0" b="0"/>
                <wp:wrapNone/>
                <wp:docPr id="223" name="Frame2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increase in the distribution rate per annum described in the immediately preceding sentence is the sole remedy to holders of Series A Preferred Shares upon the occurrence of any of the events described in the immediately preceding sentence. Following any such increase in the distribution rate per annum, we will be under no further obligation to offer to repurchase or redeem any Series A Preferred Shares.</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2"/>
        </w:rPr>
        <w:t>Fundamental Change” means the occurrence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Series A Preferred Shares (or preferred shares into which the Series A Preferred Shares have been converted or for which the Series A Preferred Shares have been exchanged in accordance with the provisions described below under “— Voting Rights”) cease to be listed or quoted on any of the New York Stock Exchange, the Nasdaq Global Select Market or the Nasdaq Global Market (or any of their successors) or another U.S. national securities exchange for a period of 20 consecutive trading days;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company and the trust (or the issuer of preferred shares into which the Series A Preferred Shares have been converted or for which the Series A Preferred Shares have been exchanged in accordance with the provisions described below under “— Voting Rights”) are no longer subject to, and are not voluntarily filing the annual reports, information, documents and other reports that the company and the trust would be so required to file if so subject to, the reporting requirements of Section 13(a) or 15(d) of the Exchange Act.</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Voting Rights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Holders of the Series A Preferred Shares generally have no voting rights. However, if and whenever six quarterly distributions (whether or not consecutive) payable on the Series A Preferred Shares have not been declared and paid (a "Nonpayment"), the number of directors then constituting the board of directors of the company will be increased by two and the holders of the Series A Preferred Shares, voting together as a single class with the holders of any other series of Series A parity shares then outstanding upon which like voting rights have been conferred and are exercisable (any such other series, the "Series A voting preferred shares"), will have the right to elect these two additional directors at a meeting of the holders of the Series A Preferred Shares and such other Series A voting preferred shares. When quarterly distributions have been declared and paid on the Series A Preferred Shares for four consecutive quarters following the Nonpayment, the right of the holders of the Series A Preferred Shares and any other Series A voting preferred shares to elect these two additional directors will cease, the terms of office of these two directors will forthwith terminate and the number of directors constituting the board of directors of the company will be reduced accordingly. However, the right of the holders of the Series A Preferred Shares and any other Series A voting preferred shares to elect two additional directors will again vest if and whenever six additional quarterly distributions have not been declared and paid, as described above.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approval of two-thirds of the votes entitled to be cast by the holders of outstanding Series A Preferred Shares and all other series of Series A voting preferred shares, acting as a single class regardless of series, at a meeting of shareholders, is required in order (i) to amend, alter or repeal any provisions of the trust agreement relating to the Series A Preferred Shares or other series of Series A voting preferred shares, whether by merger, consolidation or otherwise, to affect materially and adversely the voting powers, rights or preferences of the holders of the Series A Preferred Shares or other series of Series A voting preferred shares, unless in connection with any such amendment, alteration or repeal, each Series A Preferred Share and any other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redemption thereof substantially similar to those of the Series A Preferred Shares or any other series of Series A voting preferred shares, as the case may be, or (ii) to authorize, create or increase the authorized amount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60655"/>
                <wp:effectExtent l="0" t="0" r="0" b="0"/>
                <wp:wrapNone/>
                <wp:docPr id="224" name="Frame2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class or series of preferred shares having rights senior to the Series A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A voting preferred shares (including the Series A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A voting preferred shares (including the Series A Preferred Shares for this purpose) as a class.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Amount Payable in Liquidation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Upon any voluntary or involuntary liquidation, dissolution or winding up of the trust (other than in the case of a voluntary exchange or acquisition exchange (as defined in the trust agreement) of preferred shares for trust preferred interests) ("Liquidation"), each holder of the Series A Preferred Shares will be entitled to a payment out of the trust's assets available for distribution to the holders of the Series A Preferred Shares following the satisfaction of all claims ranking senior to the Series A Preferred Shares. Such payment will be equal to their preferred capital account balance (the "Series A Preferred Share Liquidation Value").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capital account balance for each Series A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A Preferred Shares in any year will not exceed the sum of the amount of distributions paid on the Series A Preferred Shares during such year. If the board of directors of the company declares a distribution on the Series A Preferred Shares, the amount of the distribution paid on each such Series A Preferred Share will be deducted from the capital account balance for such Series A Preferred Share, whether or not such capital account balance received an allocation of gross income in respect of such distribution. The allocation of gross income to the capital account balances for the Series A Preferred Shares is intended to entitle the holders of the Series A Preferred Shares to a preference over the holders of outstanding common shares upon the trust's Liquidation, to the extent required to permit each holder of a Series A Preferred Share to receive the Series A Preferred Share Liquidation Value in respect of such share. In addition, a special allocation of gross income (from any source) in the year of Liquidation will be made if necessary so that a holder's preferred capital account balance equals the Series A Preferred Share Liquidation Value. If, however, the trust were to have insufficient gross income to achieve this result, then the amount that a holder of Series A Preferred Shares would receive upon liquidation may be less than the Series A Preferred Share Liquidation Value.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After each holder of Series A Preferred Shares receives a payment equal to the capital account balance for such holder's shares (even if such payment is less than the Series A Preferred Share Liquidation Value of such holder's shares), holders will not be entitled to any further participation in any distribution of the trust's assets.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any period in which the trust is an association taxable as a corporation for U.S. federal income tax purposes, the capital account balance for each Series A Preferred Share will be deemed equal to the sum of $25.00 per Series A Preferred Share and declared and unpaid distributions, if any, to, but excluding, the date of the liquidation, dissolution or winding up of the trust on the Series A Preferred Shares, with the intent to provide holders of Series A Preferred Shares the same rights to liquidation proceeds regardless of whether the trust is taxable as a partnership or a corporation for U.S. federal income tax purposes.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60655"/>
                <wp:effectExtent l="0" t="0" r="0" b="0"/>
                <wp:wrapNone/>
                <wp:docPr id="225" name="Frame2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Conversion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Series A Preferred Shares are not convertible into common shares or any other class or series of shares or any other security.</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Series A Trust Preferred Interests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Each Series A Preferred Share corresponds to one underlying trust preferred interest of the company held by the trust of the same class and series, and with corresponding rights, powers and duties, as the Series A Preferred Shares (the "Series A Trust Preferred Interests"). Unless the trust is dissolved, it must remain the holder of 100% of the company's trust interests, including the Series A Trust Preferred Interests, and, at all times, the trust will have outstanding the identical number of common shares and preferred shares, including the Series A Preferred Shares, as the number of outstanding trust common interests and trust preferred interests, including the Series A Trust Preferred Interests, of the company that are of the corresponding class and series.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Description of Series B Preferred Shares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General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March 13, 2018, the trust executed a share designation, which was amended and restated on August 3, 2021 and further amended on March 20, 2024 and September 4, 2024 (as so amended and restated and further amended, the “Series B Share Designation”). The Series B Share Designation designates 8,327,295 shares of the preferred shares of the trust, no par value, as the Series B Preferred Shares with the powers, designations, preferences and other rights as set forth therein. </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Distributions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Holders of Series B Preferred Shares are entitled to receive, when, as and if declared by the board of directors of the company, cumulative cash distributions on the liquidation preference of the Series B Preferred Shares at a rate equal to (1) 7.875% per annum of the liquidation preference per share for each quarterly distribution period from the original issue date of the Series B Preferred Shares to, but excluding, April 30, 2028, which we refer to as the Fixed Rate Period, and (2) the then applicable three-month LIBOR (as defined and described below) plus a spread of 4.985% per annum of the liquidation preference per share for each quarterly distribution period from April 30, 2028 through the redemption date of the Series B Preferred Shares, if any, which we refer to as the Floating Rate Period. A “distribution period” as used herein refers to the period commencing on and including a distribution payment date to, but excluding, the next distribution payment date, provided that (i) the initial distribution period commences on and includes March 13, 2018 and (ii) the distribution period commencing on April 30, 2028 will commence on April 30, 2028 irrespective of whether such day is a business day.</w:t>
      </w:r>
    </w:p>
    <w:p>
      <w:pPr>
        <w:pStyle w:val="TextBody"/>
        <w:bidi w:val="0"/>
        <w:spacing w:lineRule="auto" w:line="288" w:before="120" w:after="283"/>
        <w:ind w:left="0" w:right="0" w:firstLine="720"/>
        <w:jc w:val="both"/>
        <w:rPr/>
      </w:pPr>
      <w:r>
        <w:rPr>
          <w:rFonts w:ascii="Times New Roman;serif" w:hAnsi="Times New Roman;serif"/>
          <w:b w:val="false"/>
          <w:i/>
          <w:color w:val="000000"/>
          <w:sz w:val="22"/>
          <w:u w:val="single"/>
        </w:rPr>
        <w:t>Fixed Rate Period</w:t>
      </w:r>
      <w:r>
        <w:rPr>
          <w:rFonts w:ascii="Times New Roman;serif" w:hAnsi="Times New Roman;serif"/>
          <w:b w:val="false"/>
          <w:color w:val="000000"/>
          <w:sz w:val="22"/>
        </w:rPr>
        <w:t>. Distributions payable on the Series B Preferred Shares for any distribution period that is included in the Fixed Rate Period will be computed on the basis of a 360-day year consisting of twelve 30-day months. During the Fixed Rate Period, if any date on which distributions would otherwise be payable is not a business day, then the distribution will be paid on the next business day as if it were paid on the scheduled distribution payment date, and no interest or other amount will accrue on the distribution so payable for the period from and after that distribution payment date to the date the distribution is paid.</w:t>
      </w:r>
    </w:p>
    <w:p>
      <w:pPr>
        <w:pStyle w:val="TextBody"/>
        <w:bidi w:val="0"/>
        <w:spacing w:lineRule="auto" w:line="288" w:before="120" w:after="283"/>
        <w:ind w:left="0" w:right="0" w:firstLine="720"/>
        <w:jc w:val="both"/>
        <w:rPr/>
      </w:pPr>
      <w:r>
        <w:rPr>
          <w:rFonts w:ascii="Times New Roman;serif" w:hAnsi="Times New Roman;serif"/>
          <w:b w:val="false"/>
          <w:i/>
          <w:color w:val="000000"/>
          <w:sz w:val="22"/>
          <w:u w:val="single"/>
        </w:rPr>
        <w:t>Floating Rate Period</w:t>
      </w:r>
      <w:r>
        <w:rPr>
          <w:rFonts w:ascii="Times New Roman;serif" w:hAnsi="Times New Roman;serif"/>
          <w:b w:val="false"/>
          <w:color w:val="000000"/>
          <w:sz w:val="22"/>
        </w:rPr>
        <w:t xml:space="preserve">. Distributions payable on the Series B Preferred Shares for the Floating Rate Period will be computed based on the actual number of days in a distribution period and a 360-day year. During the Floating Rate Period, if any date on which distributions would otherwise be payable is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60655"/>
                <wp:effectExtent l="0" t="0" r="0" b="0"/>
                <wp:wrapNone/>
                <wp:docPr id="226" name="Frame2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not a business day, then payment of any distribution payable on such date will be made on the next succeeding business day unless that day falls in the next calendar month, in which case the distribution payment date will be the immediately preceding business day, and, in either case, distributions will accrue to, but exclude, the actual date the distribution is paid.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distribution rate during the Floating Rate Period will be reset quarterly (the first day of each distribution period will be a distribution reset date). The distribution rate for each distribution period in the Floating Rate Period will be determined by a calculation agent using three-month LIBOR as in effect on the second London banking day prior to the beginning of the distribution period, which date is the “distribution determination date” for the distribution period. The calculation agent then will add three-month LIBOR as determined on the distribution determination date and the applicable spread. Absent manifest error, the calculation agent’s determination of the distribution rate for a distribution period for the Series B Preferred Shares will be binding and conclusive on you, the transfer agent and us. A “London banking day” is any day on which dealings in deposits in U.S. dollars are transacted in the London interbank market.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distribution rate for a distribution period during the Floating Rate Period will be based on the three-month London interbank offered rate, which we refer to as “three-month LIBOR,” and will be determined as follows: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(i)three-month LIBOR will be equal to the London interbank offered rate for deposits in U.S. dollars having an index maturity of three months, in amounts of at least $1,000,000, as such rate appears on “Reuters Page LIBOR01” at approximately 11:00 a.m. London time on the relevant distribution determination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(ii)If no such rate appears on “Reuters Page LIBOR01” or if the “Reuters Page LIBOR01” is not available at approximately 11:00 a.m. London time on the relevant distribution determination date, then the calculation agent will request the principal London offices of each of four major reference banks in the London interbank market, as selected by the calculation agent after consultation with us, to provide the calculation agent with its offered quotation for deposits in U.S. dollars for a period of three months, commencing on the related distribution reset date, to prime banks in the London interbank market, at approximately 11:00 a.m. London time on that distribution determination date that is representative of a single transaction in U.S. dollars in amounts of at least $1,000,000 in that market at that time. If at least two quotations are provided, three-month LIBOR will be the arithmetic mean (rounded upward if necessary, to the nearest 0.00001 of 1%) of those quotations. If fewer than two quotations are provided, three-month LIBOR will be the arithmetic mean (rounded upward if necessary, to the nearest 0.00001 of 1%) of the rates quoted at approximately 11:00 a.m. New York City time on that distribution determination date by three major banks in New York, New York, as selected by the calculation agent after consultation with us, for loans in U.S. dollars to leading European banks, for a period of three months commencing on the related distribution reset date that is representative of a single transaction in U.S. dollars in amounts of at least $1,000,000 in that market at that time. If no quotation is provided as described above, then if a calculation agent has not been appointed at such time, we will appoint a calculation agent who shall, after consulting such sources as it deems comparable to any of the foregoing quotations or display page, or any such source as it deems reasonable from which to estimate LIBOR or any of the foregoing lending rates, shall determine LIBOR for the second London banking day immediately preceding the first day of such distribution period in its sole discretion. If the calculation agent is unable or unwilling to determine LIBOR as provided in the immediately preceding sentence, then LIBOR will be equal to three-month LIBOR for the then current distribution period, or, in the case of the first distribution period in the Floating Rate Period, the most recent distribution rate that would have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60655"/>
                <wp:effectExtent l="0" t="0" r="0" b="0"/>
                <wp:wrapNone/>
                <wp:docPr id="227" name="Frame2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been determined based on the last available Reuters Page LIBOR01 had the Floating Rate Period been applicable prior to the first distribution period in the Floating Rate Period.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we determine on the relevant distribution determination date that the LIBOR base rate has been discontinued, then we will appoint a calculation agent and the calculation agent will consult with an investment bank of national standing to determine whether there is an industry accepted substitute or successor base rate to three-month LIBOR. If, after such consultation, the calculation agent determines that there is an industry accepted substitute or successor base rate, the calculation agent shall use such substitute or successor base rate. In such case, the calculation agent in its sole discretion may (without implying a corresponding obligation to do so) also implement changes to the business day convention, the definition of business day, the distribution determination date and any method for obtaining the substitute or successor base rate if such rate is unavailable on the relevant business day, in a manner that is consistent with industry accepted practices for such substitute or successor base rate. Unless the calculation agent determines that there is an industry accepted substitute or successor base rate as so provided above, the calculation agent will, in consultation with us, follow the steps specified in clause (ii) in the immediately preceding paragraph in order to determine three-month LIBOR for the applicable distribution period.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As used herein, “calculation agent” shall mean a third party independent financial institution of national standing with experience providing such services, which will be appointed by us prior to April 30, 2028.</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we issue additional Series B Preferred Shares, distributions on such additional shares will accrue from the original issuance date of such additional shares or any other date we specify at the time such additional shares are issued. Distributions on the Series B Preferred Shares accumulate daily and are cumulative from, and including, the date of original issuance. The distributions payable on any distribution payment date include distributions accumulated to, but not including, such distribution payment date. Distributions on the Series B Preferred Shares are payable quarterly, in arrears, on January 30, April 30, July 30 and October 30 of each year.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Declared distributions are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apply regardless of whether a particular record date is a business day, provided that if the record date is not a business day, the declared distributions are payable on the relevant distribution payment date to holders of record as they appear on the trust's share register at the close of business, New York City time, on the business day immediately preceding such record date. During the Fixed Rate Period, a “business day” means any day other than a Saturday, a Sunday or a day on which banks in The City of New York are required, permitted or authorized, by applicable law or executive order, to be closed for regular banking business, and during the Floating Rate Period, a ”business day” means any day that would be considered a business day during the Fixed Rate Period that is also a London banking day.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Distributions on the Series B Preferred Shares accumulate whether or not (i) the terms and provisions of any laws or agreements referred to in the preceding paragraph at any time prohibit the current payment of distributions, (ii) we have earnings, (iii) there are funds legally available for the payment of those distributions and (iv) those distributions are declared. No interest, or sum in lieu of interest, is payable in respect of any distribution payment or payments on the Series B Preferred Shares which may be in arrears, and holders of Series B Preferred Shares are not entitled to any distributions in excess of full cumulative distributions described above. Any distribution payment made on the Series B Preferred Shares will first be credited against the earliest accumulated but unpaid distribution due with respect to those shares.</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60655"/>
                <wp:effectExtent l="0" t="0" r="0" b="0"/>
                <wp:wrapNone/>
                <wp:docPr id="228" name="Frame2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Series B Preferred Shares rank junior to the allocation interests to the extent provided in the LLC agreement, and senior to the common shares to the extent provided in the trust agreement, with respect to the payment of distributions. Unless full cumulative distributions on the Series B Preferred Shares have been or contemporaneously are declared and paid or declared and set apart for payment on the Series B Preferred Shares for all past distribution periods, no distribution may be declared or paid or set apart for payment on the common shares (or on any other shares that the trust may issue in the future ranking, as to the payment of distributions, junior to the Series B Preferred Shares (together with the common shares, "Series B junior shares")), other than distributions paid in Series B junior shares or options, warrants or rights to subscribe for or purchase Series B junior shares, and we and our subsidiaries may not directly or indirectly repurchase, redeem or otherwise acquire for consideration common shares (or any Series B junior shares).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board of directors of the company, or a duly authorized committee thereof, may, in its discretion, choose to cause the trust to pay distributions on the Series B Preferred Shares without the payment of any distributions on any Series B junior shares. No distributions may be declared or paid or set apart for payment on any Series B Preferred Shares if at the same time any arrears exist or default exists in the payment of distributions on any outstanding series of Series B senior shares (defined below), if any are issued.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When distributions are not paid in full (or a sum sufficient for such full payment is not so set apart) upon the Series B Preferred Shares and our Series B parity shares (as defined below), all distributions declared upon the Series B Preferred Shares and such Series B parity shares must be declared pro rata so that the amount of distributions declared per Series B Preferred Share and such Series B parity shares will in all cases bear to each other the same ratio that accumulated distributions per share on the Series B Preferred Shares and such Series B parity shares (which will not include any accrual in respect of unpaid distributions for prior distribution periods if such other Series B parity shares do not have a cumulative distribution) bear to each other. No interest, or sum of money in lieu of interest, will be payable in respect of any distribution payment or payments on the Series B Preferred Shares which may be in arrears.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Ranking</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Series B Preferred Shares rank senior to the Series B junior shares with respect to payment of distributions and distribution of the trust's assets upon the trust's liquidation, dissolution or winding up. The Series B Preferred Shares rank equally with any equity securities, including our Series A Preferred Shares, Series C Preferred Shares and other preferred shares, that the trust may issue in the future, the terms of which provide that such securities will rank equally with the Series B Preferred Shares with respect to payment of distributions and distribution of the trust's assets upon its liquidation, dissolution or winding up ("Series B parity shares"). The Series B Preferred Shares rank junior to (i) all of the trust's existing and future indebtedness, and (ii) any of the trust's equity securities, including preferred shares, that the trust or the company may issue in the future, the terms of which provide that such securities will rank senior to the Series B Preferred Shares with respect to payment of distributions and distribution of the trust's assets upon its liquidation, dissolution or winding up (such equity securities, "Series B senior shares"). The Series B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B Preferred Shares upon the liquidation, dissolution or winding up of the trust. Other than the company's allocation interests, there are no Series B senior shares or interests in the company outstanding.</w:t>
      </w:r>
    </w:p>
    <w:p>
      <w:pPr>
        <w:pStyle w:val="TextBody"/>
        <w:bidi w:val="0"/>
        <w:spacing w:before="1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60655"/>
                <wp:effectExtent l="0" t="0" r="0" b="0"/>
                <wp:wrapNone/>
                <wp:docPr id="229" name="Frame2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Maturity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Series B Preferred Shares do not have a maturity date, and the trust is not required to redeem or repurchase the Series B Preferred Shares. Accordingly, the Series B Preferred Shares will remain outstanding indefinitely unless the board of directors of the company decides to cause the trust to redeem or repurchase them.</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Redemption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trust may not redeem the Series B Preferred Shares prior to April 30, 2028. On or after April 30, 2028, the board of directors of the company may cause the trust, at its option, out of funds legally available to redeem the Series B Preferred Shares, in whole or in part, upon not less than 30 nor more than 60 days' notice, at a price of $25.00 per Series B Preferred Share plus any accumulated and unpaid distributions thereon (whether or not authorized or declared) to, but excluding, the redemption date.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Immediately prior to any redemption of Series B Preferred Shares, we will pay, in cash, any accumulated and unpaid distributions to, but excluding, the redemption date, unless a redemption date falls after a distribution record date and prior to the corresponding distribution payment date, in which case each holder of Series B Preferred Shares at the close of business on such distribution record date will be entitled to the distribution payable on such shares on the corresponding distribution payment date notwithstanding the redemption of such shares before such distribution payment date. Except as provided above, we will make no payment or allowance for unpaid distributions, whether or not in arrears, on the Series B Preferred Shares to be redeemed.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Unless full cumulative distributions on all Series B Preferred Shares have been or contemporaneously are declared and paid or declared and a sum sufficient for the payment thereof has been or contemporaneously is set apart for payment for all past distribution periods, no Series B Preferred Shares may be redeemed unless all outstanding Series B Preferred Shares are simultaneously redeemed, and we may not purchase or otherwise acquire directly or indirectly any Series B Preferred Shares (except by conversion into or exchange for shares of, or options, warrants or rights to purchase or subscribe for, our common stock or other Series B junior shares we may issue or pursuant to a purchase or exchange offer made on the same terms to all holders of Series B Preferred Shares and all Series B parity shares).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Holders of the Series B Preferred Shares have no right to require the redemption of the Series B Preferred Shares.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Repurchase at the Option of Holders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a Series B Fundamental Change (as defined below) occurs, unless, prior to or concurrently with the time the board of directors of the company is required to cause the trust to make a Series B Fundamental Change Offer (as described below), the board of directors of the company has caused the company to previously or concurrently mail or transmit electronically a redemption notice with respect to all of the outstanding Series B Preferred Shares, the board of directors of the company will cause the trust to make an offer to purchase all of the Series B Preferred Shares pursuant to the offer described below (the "Series B Fundamental Change Offer"), out of funds received by the trust on the Series B Trust Preferred Interests (as defined below under "—Series B Trust Preferred Interests") and legally available, at a price in cash (the “Series B Fundamental Change Payment”) of $25.25 per Series B Preferred Share, plus any accumulated and unpaid distributions thereon (whether or not authorized or declared) to, but excluding, the Series B Fundamental Change Payment Date (as defined below). Within 30 days following any Series B Fundamental Change, the board of directors of the company will cause the trust to send notice of such Series B Fundamental Change Offer by first class mail to each holder of Series B Preferred Shares or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60655"/>
                <wp:effectExtent l="0" t="0" r="0" b="0"/>
                <wp:wrapNone/>
                <wp:docPr id="230" name="Frame2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otherwise in accordance with the procedures of the Depository Trust Company with the following information:</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(1)that a Series B Fundamental Change Offer is being made pursuant to the share designation designating the Series B Preferred Shares and that all Series B Preferred Shares properly tendered pursuant to such Series B Fundamental Change Offer will be accepted for payment by the trust;</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purchase price and the purchase date, which will be no earlier than 30 days nor later than 60 days from the date such notice is mailed (the “Series B Fundamental Change Payment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(3)that any Series B Preferred Share not properly tendered will remain outstanding and distributions will continue to accumulate on such shares;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(4)that, unless the trust defaults in the payment pursuant to the Series B Fundamental Change Offer, all Series B Preferred Shares accepted for payment pursuant to the Series B Fundamental Change Offer will be cancelled and cease to be outstanding on the Series B Fundamental Change Payment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instructions determined by the company, consistent with this covenant, that a holder of Series B Preferred Shares must follow in order to have its Series B Preferred Shares purchased; and</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(6)if such notice is mailed prior to the occurrence of a Series B Fundamental Change, that such offer is conditioned on the occurrence of such Series B Fundamental Change.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will not be required to cause the trust to make a Series B Fundamental Change Offer upon a Series B Fundamental Change if a third party makes the Series B Fundamental Change Offer in the manner, at the times and otherwise in compliance with the requirements set forth in the share designation designating the Series B Preferred Shares applicable to a Series B Fundamental Change Offer made by the trust and purchases all Series B Preferred Shares validly tendered and not withdrawn under such Series B Fundamental Change Offer.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and the trust will comply, to the extent applicable, with the requirements of Section 14(e) of the Exchange Act and any other securities laws or regulations in connection with the repurchase of Series B Preferred Shares pursuant to this covenant. To the extent the provisions of any securities laws or regulations conflict with provisions of the share designation designating the Series B Preferred Shares, the company and the trust will comply with the applicable securities laws and regulations and will not be deemed to have breached their obligations described in such share designation by virtue thereof.</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On the Series B Fundamental Change Payment Date, the board of directors of the company shall cause the trust, to the extent permitted by law and to the extent of funds received by the trust on the Series B Trust Preferred Interests, to:</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(1)accept for payment all Series B Preferred Shares properly tendered pursuant to the Series B Fundamental Change Offer;</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(2)deposit with the paying agent an amount equal to the aggregate payment pursuant to the Series B Fundamental Change Offer in respect of all Series B Preferred Shares so tendered; and</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(3)cancel the Series B Preferred Shares so accepted.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(i) a Series B Fundamental Change occurs and (ii) (x) we do not give notice prior to the 31st day following the Series B Fundamental Change of either (1) a Series B Fundamental Change Offer or (2) the intention to redeem all the outstanding Series B Preferred Shares or (y) we default upon our obligation to repurchase or redeem the Series B Preferred Shares on the Series B Fundamental Change Payment Date or redemption date, the distribution rate per annum on the Series B Preferred Shares will increase by 5.00%, beginning on the 31st day following such Series B Fundamental Change. Notwithstanding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60655"/>
                <wp:effectExtent l="0" t="0" r="0" b="0"/>
                <wp:wrapNone/>
                <wp:docPr id="231" name="Frame2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requirement that we offer to repurchase or redeem all the outstanding Series B Preferred Shares, the increase in the distribution rate per annum described in the immediately preceding sentence is the sole remedy to holders of Series B Preferred Shares upon the occurrence of any of the events described in the immediately preceding sentence. Following any such increase in the distribution rate per annum, we will be under no further obligation to offer to repurchase or redeem any Series B Preferred Shares.</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2"/>
        </w:rPr>
        <w:t>Fundamental Change” means the occurrence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Series B Preferred Shares (or preferred shares into which the Series B Preferred Shares have been converted or for which the Series B Preferred Shares have been exchanged in accordance with the provisions described below under “— Voting Rights”) cease to be listed or quoted on any of the New York Stock Exchange, the Nasdaq Global Select Market or the Nasdaq Global Market (or any of their successors) or another U.S. national securities exchange for a period of 20 consecutive trading days;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company and the trust (or the issuer of preferred shares into which the Series B Preferred Shares have been converted or for which the Series B Preferred Shares have been exchanged in accordance with the provisions described below under “— Voting Rights”) are no longer subject to, and are not voluntarily filing the annual reports, information, documents and other reports that the company and the trust would be so required to file if so subject to, the reporting requirements of Section 13(a) or 15(d) of the Exchange Act.</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Voting Rights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Holders of the Series B Preferred Shares generally have no voting rights. However, if and whenever distributions on any Series B Preferred Shares are in arrears for six or more full quarterly distribution periods (whether or not consecutive), the number of directors then constituting the board of directors of the company will be increased by two (if not already increased by two by reason of the election of directors by the holders of any other class or series of Series B parity shares upon which like voting rights have been conferred and are exercisable) and the holders of the Series B Preferred Shares, voting together as a single class with the holders of any other series of Series B parity shares then outstanding upon which like voting rights have been conferred and are exercisable (any such other series, the "Series B voting preferred shares"), will have the right to elect these two additional directors at a meeting of the holders of the Series B Preferred Shares and such other Series B voting preferred shares. When all distributions accumulated on the Series B Preferred Shares for all past distribution periods and the then current distribution period have been fully paid, the right of the holders of the Series B Preferred Shares and any other Series B voting preferred shares to elect these two additional directors will cease and, unless there are other classes or series of Series B parity shares upon which like voting rights have been conferred and are exercisable, the terms of office of these two directors will terminate and the number of directors constituting the board of directors of the company will be reduced accordingly.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approval of two-thirds of the votes entitled to be cast by the holders of outstanding Series B Preferred Shares and all other series of Series B voting preferred shares, acting as a single class regardless of series, at a meeting of shareholders, is required in order (i) to amend, alter or repeal any provisions of the trust agreement relating to the Series B Preferred Shares or other series of Series B voting preferred shares, whether by merger, consolidation or otherwise, to affect materially and adversely the voting powers, rights or preferences of the holders of the Series B Preferred Shares or other series of Series B voting preferred shares, unless in connection with any such amendment, alteration or repeal, each Series B Preferred Share and any other Series B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60655"/>
                <wp:effectExtent l="0" t="0" r="0" b="0"/>
                <wp:wrapNone/>
                <wp:docPr id="232" name="Frame2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redemption thereof substantially similar to those of the Series B Preferred Shares or any other series of Series B voting preferred shares, as the case may be, or (ii) to authorize, create or increase the authorized amount of, any class or series of preferred shares having rights senior to the Series B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B voting preferred shares (including the Series B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B voting preferred shares (including the Series B Preferred Shares for this purpose) as a class.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Amount Payable in Liquidation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Upon any Liquidation, each holder of the Series B Preferred Shares will be entitled to a payment out of the trust's assets available for distribution to the holders of the Series B Preferred Shares following the satisfaction of all claims ranking senior to the Series B Preferred Shares. Such payment will be equal to their preferred capital account balance (the "Series B Preferred Share Liquidation Value").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capital account balance for each Series B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B Preferred Shares in any year will not exceed the sum of the amount of distributions paid on the Series B Preferred Shares during such year. If the board of directors of the company declares a distribution on the Series B Preferred Shares, the amount of the distribution paid on each such Series B Preferred Share will be deducted from the capital account balance for such Series B Preferred Share, whether or not such capital account balance received an allocation of gross income in respect of such distribution. The allocation of gross income to the capital account balances for the Series B Preferred Shares is intended to entitle the holders of the Series B Preferred Shares to a preference over the holders of outstanding common shares upon the trust's Liquidation, to the extent required to permit each holder of a Series B Preferred Share to receive the Series B Preferred Share Liquidation Value in respect of such share. In addition, a special allocation of gross income (from any source) in the year of Liquidation will be made if necessary so that a holder's preferred capital account balance equals the Series B Preferred Share Liquidation Value. If, however, the trust were to have insufficient gross income to achieve this result, then the amount that a holder of Series B Preferred Shares would receive upon liquidation may be less than the Series B Preferred Share Liquidation Value.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After each holder of Series B Preferred Shares receives a payment equal to the capital account balance for such holder's shares (even if such payment is less than the Series B Preferred Share Liquidation Value of such holder's shares), holders will not be entitled to any further participation in any distribution of the trust's assets.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any period in which the trust is an association taxable as a corporation for U.S. federal income tax purposes, the capital account balance for each Series B Preferred Share will be deemed equal to the sum of $25.00 per Series B Preferred Share and declared and unpaid distributions, if any, to, but excluding, the date of the liquidation, dissolution or winding up of the trust on the Series B Preferred Shares, with the intent to provide holders of Series B Preferred Shares the same rights to liquidation proceeds regardless of whether the trust is taxable as a partnership or a corporation for U.S. federal income tax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60655"/>
                <wp:effectExtent l="0" t="0" r="0" b="0"/>
                <wp:wrapNone/>
                <wp:docPr id="233" name="Frame2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Conversion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Series B Preferred Shares are not convertible into common shares or any other class or series of shares or any other security.</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Series B Trust Preferred Interests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Each Series B Preferred Share corresponds to one underlying trust preferred interest of the company held by the trust of the same class and series, and with corresponding rights, powers and duties, as the Series B Preferred Shares (the "Series B Trust Preferred Interests"). Unless the trust is dissolved, it must remain the holder of 100% of the company's trust interests, including the Series B Trust Preferred Interests, and, at all times, the trust will have outstanding the identical number of common shares and preferred shares, including the Series B Preferred Shares, as the number of outstanding trust common interests and trust preferred interests, including the Series B Trust Preferred Interests, of the company that are of the corresponding class and series.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Description of Series C Preferred Shares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General</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On November 20, 2019, the trust executed a share designation, which was amended and restated on August 3, 2021 and further amended on March 20, 2024 and September 4, 2024 (as so amended and restated and further amended, the “Series C Share Designation”). The Series C Share Designation designates 8,468,682 shares of the preferred shares of the trust, no par value, as the Series C Preferred Shares with the powers, designations, preferences and other rights as set forth therein. </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Distributions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Holders of Series C Preferred Shares are entitled to receive, when, as and if declared by the board of directors of the company, cumulative cash distributions on the liquidation preference of the Series C Preferred Shares at a rate equal to 7.875% per annum of the liquidation preference per share for each quarterly distribution period from the original issue date of the Series C Preferred Shares through the redemption date of the Series C Preferred Shares, if any. A “distribution period” as used herein refers to the period from and including a distribution payment date to, but excluding, the next distribution payment date, provided that the initial distribution period commences on and includes November 20, 2019. Distributions payable on the Series C Preferred Shares for any distribution period will be computed on the basis of a 360-day year consisting of twelve 30-day months.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we issue additional Series C Preferred Shares, distributions on such additional shares will accrue from the original issuance date of such additional shares or any other date we specify at the time such additional shares are issued. Distributions on the Series C Preferred Shares accumulate daily and are cumulative from, and including, the date of original issuance. The distributions payable on any distribution payment date include distributions accumulated to, but not including, such distribution payment date. Distributions on the Series C Preferred Shares are payable quarterly, in arrears, on January 30, April 30, July 30 and October 30 of each year. Declared distributions are payable on the relevant distribution payment date to holders of record as they appear on our share register at the close of business, New York City time, on the January 15, April 15, July 15 and October 15, as the case may be, immediately preceding the relevant distribution payment date. These record dates apply regardless of whether a particular record date is a business day, provided that if the record date is not a business day, the declared distributions are payable on the relevant distribution payment date to holders of record as they appear on the trust's share register at the close of business, New York City time, on the business day immediately preceding such record date. A “business day” as used herein means any day other than a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60655"/>
                <wp:effectExtent l="0" t="0" r="0" b="0"/>
                <wp:wrapNone/>
                <wp:docPr id="234" name="Frame2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Saturday, a Sunday or a day on which banks in The City of New York are required, permitted or authorized, by applicable law or executive order, to be closed for regular banking business.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Distributions on the Series C Preferred Shares accumulate whether or not (i) the terms and provisions of any laws or agreements referred to in the preceding paragraph at any time prohibit the current payment of distributions, (ii) we have earnings, (iii) there are funds legally available for the payment of those distributions and (iv) those distributions are declared. No interest, or sum in lieu of interest, is payable in respect of any distribution payment or payments on the Series C Preferred Shares which may be in arrears, and holders of Series C Preferred Shares are not entitled to any distributions in excess of full cumulative distributions described above. Any distribution payment made on the Series C Preferred Shares will first be credited against the earliest accumulated but unpaid distribution due with respect to those shares.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Series C Preferred Shares rank junior to the allocation interests to the extent provided in the LLC agreement, and senior to the common shares to the extent provided in the trust agreement, with respect to the payment of distributions. Unless full cumulative distributions on the Series C Preferred Shares have been or contemporaneously are declared and paid or declared and set apart for payment on the Series C Preferred Shares for all past distribution periods, no distribution may be declared or paid or set apart for payment on the common shares (or on any other shares that the trust may issue in the future ranking, as to the payment of distributions, junior to the Series C Preferred Shares (together with the common shares, "Series C junior shares")), other than distributions paid in Series C junior shares or options, warrants or rights to subscribe for or purchase Series C junior shares, and we and our subsidiaries may not directly or indirectly repurchase, redeem or otherwise acquire for consideration common shares (or any Series C junior shares).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board of directors of the company, or a duly authorized committee thereof, may, in its discretion, choose to cause the trust to pay distributions on the Series C Preferred Shares without the payment of any distributions on any Series C junior shares. No distributions may be declared or paid or set apart for payment on any Series C Preferred Shares if at the same time any arrears exist or default exists in the payment of distributions on any outstanding series of Series C senior shares (defined below), if any are issued.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When distributions are not paid in full (or a sum sufficient for such full payment is not so set apart) upon the Series C Preferred Shares and our Series C parity shares (as defined below), all distributions declared upon the Series C Preferred Shares and such Series C parity shares must be declared pro rata so that the amount of distributions declared per Series C Preferred Share and such Series C parity shares will in all cases bear to each other the same ratio that accumulated distributions per share on the Series C Preferred Shares and such Series C parity shares (which will not include any accrual in respect of unpaid distributions for prior distribution periods if such other Series C parity shares do not have a cumulative distribution) bear to each other. No interest, or sum of money in lieu of interest, will be payable in respect of any distribution payment or payments on the Series C Preferred Shares which may be in arrears.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Ranking</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Series C Preferred Shares rank senior to the Series C junior shares with respect to payment of distributions and distribution of the trust's assets upon the trust's liquidation, dissolution or winding up. The Series C Preferred Shares rank equally with any equity securities, including our Series A Preferred Shares, Series B Preferred Shares and other preferred shares, that the trust may issue in the future, the terms of which provide that such securities will rank equally with the Series C Preferred Shares with respect to payment of distributions and distribution of the trust's assets upon its liquidation, dissolution or winding up ("Series C parity shares"). The Series C Preferred Shares rank junior to (i) all of the trust's existing and future indebtedness, and (ii) any of the trust's equity securities, including preferred shares,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60655"/>
                <wp:effectExtent l="0" t="0" r="0" b="0"/>
                <wp:wrapNone/>
                <wp:docPr id="235" name="Frame2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that the trust or the company may issue in the future, the terms of which provide that such securities will rank senior to the Series C Preferred Shares with respect to payment of distributions and distribution of the trust's assets upon its liquidation, dissolution or winding up (such equity securities, "Series C senior shares"). The Series C Preferred Shares rank junior to the company's allocation interests with respect to the payment of distributions prior to dissolution of the company, and equally with the company's allocation interests upon liquidation, dissolution or winding up of the company or the trust; provided however that the rights allocated to the allocation interest may reduce the amount distributable to the Series C Preferred Shares upon the liquidation, dissolution or winding up of the trust. Other than the company's allocation interests, there are no Series C senior shares or interests in the company outstanding.</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Maturity</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Series C Preferred Shares do not have a maturity date, and the trust is not required to redeem or repurchase the Series C Preferred Shares. Accordingly, the Series C Preferred Shares will remain outstanding indefinitely unless the board of directors of the company decides to cause the trust to redeem or repurchase them.</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Redemption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trust may not redeem the Series C Preferred Shares prior to January 30, 2025. On or after January 30, 2025, the board of directors of the company may cause the trust, at its option, out of funds legally available to redeem the Series C Preferred Shares, in whole or in part, upon not less than 30 nor more than 60 days' notice, at a price of $25.00 per Series C Preferred Share plus any accumulated and unpaid distributions thereon (whether or not authorized or declared) to, but excluding, the redemption date.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Immediately prior to any redemption of Series C Preferred Shares, we will pay, in cash, any accumulated and unpaid distributions to, but excluding, the redemption date, unless a redemption date falls after a distribution record date and prior to the corresponding distribution payment date, in which case each holder of Series C Preferred Shares at the close of business on such distribution record date will be entitled to the distribution payable on such shares on the corresponding distribution payment date notwithstanding the redemption of such shares before such distribution payment date. Except as provided above, we will make no payment or allowance for unpaid distributions, whether or not in arrears, on the Series C Preferred Shares to be redeemed.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Unless full cumulative distributions on all Series C Preferred Shares have been or contemporaneously are declared and paid or declared and a sum sufficient for the payment thereof has been or contemporaneously is set apart for payment for all past distribution periods, no Series C Preferred Shares may be redeemed unless all outstanding Series C Preferred Shares are simultaneously redeemed, and we may not purchase or otherwise acquire directly or indirectly any Series C Preferred Shares (except by conversion into or exchange for shares of, or options, warrants or rights to purchase or subscribe for, our common stock or other Series C junior shares we may issue or pursuant to a purchase or exchange offer made on the same terms to all holders of Series C Preferred Shares and all Series C parity shares).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Holders of the Series C Preferred Shares have no right to require the redemption of the Series C Preferred Shares.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Repurchase at the Option of Holders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If a Series C Fundamental Change (as defined below) occurs, unless, prior to or concurrently with the time the board of directors of the company is required to cause the trust to make a Series C Fundamental Change Offer (as described below), the board of directors of the company has caused the company to previously or concurrently mail or transmit electronically a redemption notice with respect to all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60655"/>
                <wp:effectExtent l="0" t="0" r="0" b="0"/>
                <wp:wrapNone/>
                <wp:docPr id="236" name="Frame2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outstanding Series C Preferred Shares, the board of directors of the company will cause the trust to make an offer to purchase all of the Series C Preferred Shares pursuant to the offer described below (the "Series C Fundamental Change Offer"), out of funds received by the trust on the Series C Trust Preferred Interests (as defined below under "—Series C Trust Preferred Interests") and legally available, at a price in cash (the “Series C Fundamental Change Payment”) of $25.25 per Series C Preferred Share, plus any accumulated and unpaid distributions thereon (whether or not authorized or declared) to, but excluding, the Series C Fundamental Change Payment Date (as defined below). Within 30 days following any Series C Fundamental Change, the board of directors of the company will cause the trust to send notice of such Series C Fundamental Change Offer by first class mail to each holder of Series C Preferred Shares or otherwise in accordance with the procedures of the Depository Trust Company with the following information:</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(1)that a Series C Fundamental Change Offer is being made pursuant to the share designation designating the Series C Preferred Shares and that all Series C Preferred Shares properly tendered pursuant to such Series C Fundamental Change Offer will be accepted for payment by the trust;</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purchase price and the purchase date, which will be no earlier than 30 days nor later than 60 days from the date such notice is mailed (the “Series C Fundamental Change Payment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(3)that any Series C Preferred Share not properly tendered will remain outstanding and distributions will continue to accumulate on such shares;</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(4)that, unless the trust defaults in the payment pursuant to the Series C Fundamental Change Offer, all Series C Preferred Shares accepted for payment pursuant to the Series C Fundamental Change Offer will be cancelled and cease to be outstanding on the Series C Fundamental Change Payment Date;</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(5)the instructions determined by the company, consistent with this covenant, that a holder of Series C Preferred Shares must follow in order to have its Series C Preferred Shares purchased; and</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(6)if such notice is mailed prior to the occurrence of a Series C Fundamental Change, that such offer is conditioned on the occurrence of such Series C Fundamental Change.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will not be required to cause the trust to make a Series C Fundamental Change Offer upon a Series C Fundamental Change if a third party makes the Series C Fundamental Change Offer in the manner, at the times and otherwise in compliance with the requirements set forth in the share designation designating the Series C Preferred Shares applicable to a Series C Fundamental Change Offer made by the trust and purchases all Series C Preferred Shares validly tendered and not withdrawn under such Series C Fundamental Change Offer.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and the trust will comply, to the extent applicable, with the requirements of Section 14(e) of the Exchange Act and any other securities laws or regulations in connection with the repurchase of Series C Preferred Shares pursuant to this covenant. To the extent the provisions of any securities laws or regulations conflict with provisions of the share designation designating the Series C Preferred Shares, the company and the trust will comply with the applicable securities laws and regulations and will not be deemed to have breached their obligations described in such share designation by virtue thereof.</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On the Series C Fundamental Change Payment Date, the board of directors of the company shall cause the trust, to the extent permitted by law and to the extent of funds received by the trust on the Series C Trust Preferred Interests, to:</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(1)accept for payment all Series C Preferred Shares properly tendered pursuant to the Series C Fundamental Change Offer;</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60655"/>
                <wp:effectExtent l="0" t="0" r="0" b="0"/>
                <wp:wrapNone/>
                <wp:docPr id="237" name="Frame2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(2)deposit with the paying agent an amount equal to the aggregate payment pursuant to the Series C Fundamental Change Offer in respect of all Series C Preferred Shares so tendered; and</w:t>
      </w:r>
    </w:p>
    <w:p>
      <w:pPr>
        <w:pStyle w:val="TextBody"/>
        <w:bidi w:val="0"/>
        <w:spacing w:lineRule="auto" w:line="288" w:before="12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(3)cancel the Series C Preferred Shares so accepted.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(i) a Series C Fundamental Change occurs and (ii) (x) we do not give notice prior to the 31st day following the Series C Fundamental Change of either (1) a Series C Fundamental Change Offer or (2) the intention to redeem all the outstanding Series C Preferred Shares or (y) we default upon our obligation to repurchase or redeem the Series C Preferred Shares on the Series C Fundamental Change Payment Date or redemption date, the distribution rate per annum on the Series C Preferred Shares will increase by 5.00%, beginning on the 31st day following such Series C Fundamental Change. Notwithstanding any requirement that we offer to repurchase or redeem all the outstanding Series C Preferred Shares, the increase in the distribution rate per annum described in the immediately preceding sentence is the sole remedy to holders of Series C Preferred Shares upon the occurrence of any of the events described in the immediately preceding sentence. Following any such increase in the distribution rate per annum, we will be under no further obligation to offer to repurchase or redeem any Series C Preferred Shares.</w:t>
      </w:r>
    </w:p>
    <w:p>
      <w:pPr>
        <w:pStyle w:val="TextBody"/>
        <w:bidi w:val="0"/>
        <w:spacing w:lineRule="auto" w:line="288" w:before="120" w:after="283"/>
        <w:jc w:val="both"/>
        <w:rPr>
          <w:color w:val="000000"/>
        </w:rPr>
      </w:pPr>
      <w:r>
        <w:rPr>
          <w:color w:val="000000"/>
        </w:rPr>
        <w:t>“</w:t>
      </w:r>
      <w:r>
        <w:rPr>
          <w:rFonts w:ascii="Times New Roman;serif" w:hAnsi="Times New Roman;serif"/>
          <w:b w:val="false"/>
          <w:color w:val="000000"/>
          <w:sz w:val="22"/>
        </w:rPr>
        <w:t>Fundamental Change” means the occurrence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Series C Preferred Shares (or preferred shares into which the Series C Preferred Shares have been converted or for which the Series C Preferred Shares have been exchanged in accordance with the provisions described below under “— Voting Rights”) cease to be listed or quoted on any of the New York Stock Exchange, the Nasdaq Global Select Market or the Nasdaq Global Market (or any of their successors) or another U.S. national securities exchange for a period of 20 consecutive trading days;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company and the trust (or the issuer of preferred shares into which the Series C Preferred Shares have been converted or for which the Series C Preferred Shares have been exchanged in accordance with the provisions described below under “— Voting Rights”) are no longer subject to, and are not voluntarily filing the annual reports, information, documents and other reports that the company and the trust would be so required to file if so subject to, the reporting requirements of Section 13(a) or 15(d) of the Exchange Act.</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Voting Rights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Holders of the Series C Preferred Shares generally have no voting rights. However, if and whenever distributions on any Series C Preferred Shares are in arrears for six or more full quarterly distribution periods (whether or not consecutive), the number of directors then constituting the board of directors of the company will be increased by two (if not already increased by two by reason of the election of directors by the holders of any other class or series of Series C parity shares upon which like voting rights have been conferred and are exercisable) and the holders of the Series C Preferred Shares, voting together as a single class with the holders of any other series of Series C parity shares then outstanding upon which like voting rights have been conferred and are exercisable (any such other series, the "Series C voting preferred shares"), will have the right to elect these two additional directors at a meeting of the holders of the Series C Preferred Shares and such other Series C voting preferred shares. When all distributions accumulated on the Series C Preferred Shares for all past distribution periods and the then current distribution period have been fully paid, the right of the holders of the Series C Preferred Shares and any other Series C voting preferred shares to elect these two additional directors will cease and, unless there are other classes or series of Series C parity shares upon which like voting rights have been conferred and are exercisable, the terms of office of these two directors will terminate and the number of directors constituting the board of directors of the company will be reduced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60655"/>
                <wp:effectExtent l="0" t="0" r="0" b="0"/>
                <wp:wrapNone/>
                <wp:docPr id="238" name="Frame2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approval of two-thirds of the votes entitled to be cast by the holders of outstanding Series C Preferred Shares and all other series of Series C voting preferred shares, acting as a single class regardless of series, at a meeting of shareholders, is required in order (i) to amend, alter or repeal any provisions of the trust agreement relating to the Series C Preferred Shares or other series of Series C voting preferred shares, whether by merger, consolidation or otherwise, to affect materially and adversely the voting powers, rights or preferences of the holders of the Series C Preferred Shares or other series of Series C voting preferred shares, unless in connection with any such amendment, alteration or repeal, each Series C Preferred Share and any other Series C voting preferred share remains outstanding without the terms thereof being materially changed in any respect adverse to the holders thereof or is converted into or exchanged for preferred shares of the surviving entity having preferences, conversion and other rights, voting powers, restrictions, limitations as to distributions, qualifications and terms and conditions of redemption thereof substantially similar to those of the Series C Preferred Shares or any other series of Series C voting preferred shares, as the case may be, or (ii) to authorize, create or increase the authorized amount of, any class or series of preferred shares having rights senior to the Series C Preferred Shares with respect to the payment of distributions or amounts upon liquidation, dissolution or winding up; provided, however, that in the case of clause (i) above, if such amendment affects materially and adversely the rights, preferences, privileges or voting powers of one or more but not all of the classes or series of Series C voting preferred shares (including the Series C Preferred Shares for this purpose), only the consent of the holders of at least two-thirds of the outstanding shares of the classes or series so affected, voting as a class, is required in lieu of (or, if such consent is required by law, in addition to) the consent of the holders of two-thirds of the Series C voting preferred shares (including the Series C Preferred Shares for this purpose) as a class.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Amount Payable in Liquidation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Upon any Liquidation, each holder of the Series C Preferred Shares will be entitled to a payment out of the trust's assets available for distribution to the holders of the Series C Preferred Shares following the satisfaction of all claims ranking senior to the Series C Preferred Shares. Such payment will be equal to their preferred capital account balance (the "Series C Preferred Share Liquidation Value").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capital account balance for each Series C Preferred Share equals $25.00 initially and is increased each year by an allocation of gross income (excluding capital gains) recognized by us (including any gross income recognized in the year of Liquidation). The allocations of gross income to the capital account balances for the Series C Preferred Shares in any year will not exceed the sum of the amount of distributions paid on the Series C Preferred Shares during such year. If the board of directors of the company declares a distribution on the Series C Preferred Shares, the amount of the distribution paid on each such Series C Preferred Share will be deducted from the capital account balance for such Series C Preferred Share, whether or not such capital account balance received an allocation of gross income in respect of such distribution. The allocation of gross income to the capital account balances for the Series C Preferred Shares is intended to entitle the holders of the Series C Preferred Shares to a preference over the holders of outstanding common shares upon the trust's Liquidation, to the extent required to permit each holder of a Series C Preferred Share to receive the Series C Preferred Share Liquidation Value in respect of such share. In addition, a special allocation of gross income (from any source) in the year of Liquidation will be made if necessary so that a holder's preferred capital account balance equals the Series C Preferred Share Liquidation Value. If, however, the trust were to have insufficient gross income to achieve this result, then the amount that a holder of Series C Preferred Shares would receive upon liquidation may be less than the Series C Preferred Share Liquidation Value.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After each holder of Series C Preferred Shares receives a payment equal to the capital account balance for such holder's shares (even if such payment is less than the Series C Preferred Share Liquidation Value of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60655"/>
                <wp:effectExtent l="0" t="0" r="0" b="0"/>
                <wp:wrapNone/>
                <wp:docPr id="239" name="Frame2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such holder's shares), holders will not be entitled to any further participation in any distribution of the trust's assets.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For any period in which the trust is an association taxable as a corporation for U.S. federal income tax purposes, the capital account balance for each Series C Preferred Share will be deemed equal to the sum of $25.00 per Series C Preferred Share and declared and unpaid distributions, if any, to, but excluding, the date of the liquidation, dissolution or winding up of the trust on the Series C Preferred Shares, with the intent to provide holders of Series C Preferred Shares the same rights to liquidation proceeds regardless of whether the trust is taxable as a partnership or a corporation for U.S. federal income tax purposes.</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Conversion</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Series C Preferred Shares are not convertible into common shares or any other class or series of shares or any other security.</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Series C Trust Preferred Interests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Each Series C Preferred Share corresponds to one underlying trust preferred interest of the company held by the trust of the same class and series, and with corresponding rights, powers and duties, as the Series C Preferred Shares (the "Series C Trust Preferred Interests"). Unless the trust is dissolved, it must remain the holder of 100% of the company's trust interests, including the Series C Trust Preferred Interests, and, at all times, the trust will have outstanding the identical number of common shares and preferred shares, including the Series C Preferred Shares, as the number of outstanding trust common interests and trust preferred interests, including the Series C Trust Preferred Interests, of the company that are of the corresponding class and series.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Anti-Takeover Provisions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Certain provisions of the management services agreement, the trust agreement and the LLC agreement may make it more difficult for third parties to acquire control of the trust and the company by various means. These provisions could deprive the shareholders of the trust of opportunities to realize a premium on the shares owned by them. In addition, these provisions may adversely affect the prevailing market price of the shares. These provisions are intended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protect our manager and its economic interests in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protect the position of our manager and its rights to manage the business and affairs of the company under the management services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enhance the likelihood of continuity and stability in the composition of the company's board of directors and in the policies formulated by the company's board of directors;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discourage certain types of transactions which may involve an actual or threatened change in control of the trust and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discourage certain tactics that may be used in proxy fights;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encourage persons seeking to acquire control of the trust and the company to consult first with the company's board of directors to negotiate the terms of any proposed business combination or offer;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reduce the vulnerability of the trust and the company to an unsolicited proposal for a takeover that does not contemplate the acquisition of all of the outstanding shares or that is otherwise unfair to shareholders of the trust.</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60655"/>
                <wp:effectExtent l="0" t="0" r="0" b="0"/>
                <wp:wrapNone/>
                <wp:docPr id="240" name="Frame2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180" w:after="283"/>
        <w:jc w:val="left"/>
        <w:rPr/>
      </w:pPr>
      <w:r>
        <w:rPr/>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Anti-Takeover Effects of the Management Services Agreement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limited circumstances in which our manager may be terminated means that it will be very difficult for a potential acquirer of the company to take over the management and operation of our business. Under the terms of the management services agreement, our manager may only be terminated by the company in certain limited circumstances.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Furthermore, our manager has the right to resign and terminate the management services agreement upon 180 days' notice. Upon the termination of the management services agreement, seconded officers, employees, representatives and delegates of our manager and its affiliates who are performing the services that are the subject of the management services agreement will resign their respective position with the company and cease to work at the date of our manager's termination or at any other time as determined by our manager. Any appointed director may continue serving on the company's board of directors subject to our Allocation Member's continued ownership of the allocation interests.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we terminate the management services agreement, the company and the trust will agree, and the company will agree to cause its businesses, to cease using the term "Compass," including any trademarks based on the name of the company and trust owned by our manager, entirely in their businesses and operations within 180 days of such termination. This agreement would require the trust, the company and its businesses to change their names to remove any reference to the term "Compass" or any trademarks owned by our manager.</w:t>
      </w:r>
    </w:p>
    <w:p>
      <w:pPr>
        <w:pStyle w:val="TextBody"/>
        <w:bidi w:val="0"/>
        <w:spacing w:lineRule="auto" w:line="288" w:before="180" w:after="283"/>
        <w:jc w:val="left"/>
        <w:rPr>
          <w:rFonts w:ascii="Times New Roman;serif" w:hAnsi="Times New Roman;serif"/>
          <w:b/>
          <w:i/>
          <w:color w:val="000000"/>
          <w:sz w:val="22"/>
        </w:rPr>
      </w:pPr>
      <w:r>
        <w:rPr>
          <w:rFonts w:ascii="Times New Roman;serif" w:hAnsi="Times New Roman;serif"/>
          <w:b/>
          <w:i/>
          <w:color w:val="000000"/>
          <w:sz w:val="22"/>
        </w:rPr>
        <w:t>Anti-Takeover Provisions in the Trust Agreement and the LLC Agreement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A number of provisions of the trust agreement and the LLC agreement also could have the effect of making it more difficult for a third party to acquire, or of discouraging a third party from acquiring, control of the trust and the company. The trust agreement and the LLC agreement prohibit the merger or consolidation of the trust and the company with or into any limited liability company, corporation, statutory trust, business trust or association, real estate investment trust, common-law trust or any other unincorporated business, including a partnership, or the sale, lease or exchange of all or substantially all of the trust's or the company's property or assets unless, in each case, the company's board of directors adopts a resolution by a majority vote approving such action and unless (i) in the case of the company, such action is approved by the affirmative vote of the holders of a majority of each of the outstanding trust interests and allocation interests entitled to vote thereon or (ii) in the case of the trust, such action is approved by the affirmative vote of the holders of a majority of the outstanding shares entitled to vote thereon.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addition, the trust agreement and the LLC agreement each contain provisions based on Section 203 of the DGCL which prohibit the company and the trust from engaging in a business combination with an interested shareholder unless (i) in the case of the company, such business combination is approved by the affirmative vote of the holders of 66 2/3% of each of the outstanding trust interests and allocation interests entitled to vote thereon ,or (ii) in the case of the trust, such business combination is approved by the affirmative vote of the holders of 66 2/3% of the outstanding shares entitled to vote thereon, in each case, excluding shares or trust interests, as the case may be, held by the interested shareholder or any affiliate or associate of the interested shareholder.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the right of our manager to appoint directors and any successor in the event of a vacancy, the LLC agreement authorizes the company's board of directors to fill vacancies. This provision could prevent a shareholder of the trust from effectively obtaining an indirect majority representation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60655"/>
                <wp:effectExtent l="0" t="0" r="0" b="0"/>
                <wp:wrapNone/>
                <wp:docPr id="241" name="Frame2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company's board of directors by permitting the existing board of directors to increase the number of directors and to fill the vacancies with its own nominees. The LLC agreement also provides that directors may be removed, with or without cause, only by the affirmative vote of holders of 85% of the outstanding trust interests entitled to vote thereon that so elected or appointed such director. An appointed director may only be removed by the Allocation Member, as holder of the allocation interests.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trust agreement does not permit holders of the shares to act by written consent. Instead, shareholders may only take action via proxy, which, when the action relates to the trust's exercise of its rights as a member of the company, may be presented at a duly called annual or special meeting of members of the company and will constitute the vote of the trust. For so long as the trust remains the sole owner of the trust interests, the trust will act as a member of the company by written consent, including to vote its trust interests in a manner that reflects the vote by proxy of the holders of the shares. Furthermore, the trust agreement and the LLC agreement provide that special meetings may only be called by the chairman of the company's board of directors or by resolution adopted by the company's board of directors.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trust agreement and the LLC agreement also provide that members, or holders of shares, subject to any applicable share designation or trust interest designation, seeking to bring business before an annual meeting of members or to nominate candidates for election as directors at an annual meeting of members of the company, must provide notice thereof in writing to the company not less than 120 days and not more than 150 days prior to the anniversary date of the preceding year's annual meeting of members or as otherwise required by requirements of the Exchange Act. In addition, the member or holder of shares furnishing such notice must be a member or shareholder, as the case may be, of record on both (i) the date of delivering such notice and (ii) the record date for the determination of members or shareholders, as the case may be, entitled to vote at such meeting. The trust agreement and the LLC agreement specify certain requirements as to the form and content of a member's or shareholder's notice, as the case may be. These provisions may preclude members or holders of shares from bringing matters before members or holders of shares at an annual meeting or from making nominations for directors at an annual or special meeting of members.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addition, the Allocation Member has certain rights with respect to appointing one or more directors, as discussed above.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Authorized but unissued shares are available for future issuance, without approval of the shareholders of the trust. These additional shares may be utilized for a variety of purposes, including future public offerings to raise additional capital or to fund acquisitions, as well as option plans for employees of the company or its businesses. The existence of authorized but unissued shares could render more difficult or discourage an attempt to obtain control of the trust by means of a proxy contest, tender offer, merger or otherwise.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However, the company's board of directors will not, without prior shareholder approval, issue or use any preferred shares for any defensive or anti-takeover purpose or for the purpose of implementing any shareholder rights plan.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addition, the company's board of directors has broad authority to amend the trust agreement and the LLC agreement, as discussed below. The company's board of directors could, in the future, choose to amend the trust agreement or the LLC agreement to include other provisions which have the intention or effect of discouraging takeover attempts.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Amendment of the LLC Agreement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LLC agreement (including the distribution provisions thereof) may be amended only by a majority vote of the board of directors of the company, except that amending the following provisions requires an affirmative vote of at least a majority of the outstanding trust interests entitled to vote thereon:</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60655"/>
                <wp:effectExtent l="0" t="0" r="0" b="0"/>
                <wp:wrapNone/>
                <wp:docPr id="242" name="Frame2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purpose or powers of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authorization of an increase in trust interests;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distribution rights of the trust interests;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provisions regarding the right to acquire trust interests after an acquisition exchange described above;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right of holders of shares to enforce the LLC agreement or to institute any legal proceeding for any remedy available to the trust;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hiring of a replacement manager following the termination of the management services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merger or consolidation of the company, the sale, lease or exchange of all or substantially all of the company's assets and certain other business combinations or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right of holders of trust interests to vote on the dissolution, winding up and liquidation of the company;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provision of the LLC agreement governing amendments thereof;</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provided, however, that the company's board of directors may, without the vote of any outstanding trust interests, adopt any trust interest designation setting forth the terms of the trust preferred interests to be issued, which will amend the LLC agreement, and the board of directors, without the vote of any outstanding trust interests, may otherwise amend the LLC agreement to the extent the board of directors determines that it is necessary or desirable in order to effectuate any issuance of trust preferred interests.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addition, the Allocation Member, as holder of the allocation interests, will have the rights specified above under "— Voting and Consent Rights."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Amendment of the Trust Agreement</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trust agreement may be amended, revised, supplemented or otherwise modified, and provisions of the trust agreement waived by the company, as sponsor of the trust, and the regular trustees acting at the company's direction. However, the company may not, without the affirmative vote of a majority of the outstanding shares entitled to vote thereon, enter into or consent to any modification or waiver of the provisions of the trust agreement that would: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cause the trust to fail or cease to qualify for the exemption from the status of an "investment company" under the Investment Company Act;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cause the trust to issue a class of common equity securities other than the common shares (as described above under "— Common Shares in the Trust"), or issue any debt securities or any derivative securities or amend the provision of the trust agreement prohibiting any such issuances;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affect the exclusive and absolute right of our shareholders entitled to vote to direct the voting of the trust, as a member of the company, with respect to all matters reserved for the vote of members of the company pursuant to the LLC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effect the merger or consolidation of the trust, the sale, lease or exchange of all or substantially all of the trust's property or assets and certain other business combinations or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amend the distribution rights of the shares;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increase the number of authorized shares; or</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60655"/>
                <wp:effectExtent l="0" t="0" r="0" b="0"/>
                <wp:wrapNone/>
                <wp:docPr id="243" name="Frame2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amend the provisions of the trust agreement governing the amendment thereof.</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provided, however, that the company's board of directors may, without the vote of any outstanding shares, adopt any share designation setting forth the terms of the preferred shares to be issued, which will amend the trust agreement, and the board of directors, without the vote of any outstanding shares, may otherwise amend the trust agreement to the extent the board of directors determines that it is necessary or desirable in order to effectuate any issuance of preferred shares.</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Trustees</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Messrs. Elias J. Sabo and Stephen Keller currently serve as the regular trustees of the trust, and BNY Mellon Trust of Delaware currently serves as the Delaware trustee of the trust.</w:t>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The transfer agent and registrar for the shares and the trust interests is Broadridge Corporate Issuer Solutions, Inc.</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21.1</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60655"/>
                <wp:effectExtent l="0" t="0" r="0" b="0"/>
                <wp:wrapNone/>
                <wp:docPr id="244" name="Frame2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tbl>
      <w:tblPr>
        <w:tblW w:w="8429" w:type="dxa"/>
        <w:jc w:val="left"/>
        <w:tblInd w:w="0" w:type="dxa"/>
        <w:tblLayout w:type="fixed"/>
        <w:tblCellMar>
          <w:top w:w="28" w:type="dxa"/>
          <w:left w:w="28" w:type="dxa"/>
          <w:bottom w:w="28" w:type="dxa"/>
          <w:right w:w="28" w:type="dxa"/>
        </w:tblCellMar>
      </w:tblPr>
      <w:tblGrid>
        <w:gridCol w:w="1670"/>
        <w:gridCol w:w="1466"/>
        <w:gridCol w:w="1469"/>
        <w:gridCol w:w="1118"/>
        <w:gridCol w:w="1118"/>
        <w:gridCol w:w="1588"/>
      </w:tblGrid>
      <w:tr>
        <w:trPr/>
        <w:tc>
          <w:tcPr>
            <w:tcW w:w="167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List of Subsidiaries at February 26, 2026:</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State or Country of Organization:</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5.11 ABR Corp.</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 Acquisition Corp.</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5.11 TA, Inc.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5.11, Inc.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 International A.B.</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Sweden</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 Tactical de Mexico, S. de R.L. de C.V.</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 Panama S. de R.L</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Panama</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AlphaOne Holdings Ltd.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British Virgin Islands</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5.11 Sourcing, Limited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Invigour8 Global Service Company Limited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Beyond Clothing, LLC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 Do Brasil Comercio Ltda.</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 Germany GmbH</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 Australia Pty Ltd.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AMTAC Holdings, LLC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AMT Acquisition Corp.</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 Technologies Holdings Corporation</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 Technologies Corporation</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Flexmag Industries, Inc.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Ohio</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Arnold Engineering Co.</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Illinois</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Magnetic Technologies Corporation</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Precision Magnetics LLC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Investments, Ltd.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 Technologies UK Limited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 Technologies UK Partnership, LP</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 Technologies UK, LLC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 Technologies AG</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Precision Magnetics (Ganzhou) Co. Ltd.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 (owns 50%)</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 Technologies Limited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 (owns one ordinary share)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Swift Levick Magnets</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Magnetics Asia Ltd.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Jade Magnetics Limited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British Virgin Islands</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Asia LLC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Arnold Magnetics (Shenzhen) Co., Ltd.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Ramco Holdings, LLC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Ohio</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Ramco Electric Motors, Inc.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Ohio</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BOA Holdings Inc.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 Parent Inc.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Reel Holding Corp</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 Technology Inc.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 Technology Japan Inc.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 Technology Korea Inc.</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Boatechnology GmbH</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Austria</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 Technology Hong Kong Limited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BOA Technology (Shanghai) Ltd.</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BOA Technology (Shenzen) Ltd.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730" w:type="dxa"/>
        <w:jc w:val="left"/>
        <w:tblInd w:w="0" w:type="dxa"/>
        <w:tblLayout w:type="fixed"/>
        <w:tblCellMar>
          <w:top w:w="28" w:type="dxa"/>
          <w:left w:w="28" w:type="dxa"/>
          <w:bottom w:w="28" w:type="dxa"/>
          <w:right w:w="28" w:type="dxa"/>
        </w:tblCellMar>
      </w:tblPr>
      <w:tblGrid>
        <w:gridCol w:w="1523"/>
        <w:gridCol w:w="1335"/>
        <w:gridCol w:w="1342"/>
        <w:gridCol w:w="447"/>
        <w:gridCol w:w="447"/>
        <w:gridCol w:w="636"/>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FFI Compass,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Foam Fabricators, Inc. d/b/a Altor Solutions</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Foam Fab, Inc.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Polyfoam,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Plymouth Foam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Wisconsin</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Lifoam Industries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Carolina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Rational Packaging,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Tennessee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Foam Fabricators Mexico, S. de R.L. de C.V.</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Foam Fabricators Services, S. de R.L. de C.V.</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Lugano Holding,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Lugano Buyer,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Lugano Diamonds &amp; Jewelry,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California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Lugano Prive,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Lugano Prive Investment Trust</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K.L.D. Jewelry,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Lugano Diamonds UK Limited</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Lugano Canada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Relentless Topco,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Relentless Intermediate,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PrimaLoft Intermediate,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PrimaLoft Technologies Holdings,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PrimaLoft,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PrimaLoft (Xiamen) Trading Co. LTD</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PrimaLoft GmbH</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 VAT Services SRL</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SternoCandleLamp Holdings,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Sterno Group Companies,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Sterno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Sterno Delivery,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Rimports,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Rimports (Canada) LTD</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Rimports (Shenzen)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CBCP Products,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CBCP Acquisition Corp.</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Velocity Outdoor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Ravin Crossbows,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Wisconsin</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King's Camo,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THP Topco,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THP Intermediate,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Honey Pot Holdco, Inc.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Honey Pot Company Holdings,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Honey Pot Company (DE), LLC</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00" w:after="283"/>
        <w:jc w:val="center"/>
        <w:rPr>
          <w:rFonts w:ascii="Arial;sans-serif" w:hAnsi="Arial;sans-serif"/>
          <w:b/>
          <w:color w:val="000000"/>
          <w:sz w:val="19"/>
        </w:rPr>
      </w:pPr>
      <w:r>
        <w:rPr>
          <w:rFonts w:ascii="Arial;sans-serif" w:hAnsi="Arial;sans-serif"/>
          <w:b/>
          <w:color w:val="000000"/>
          <w:sz w:val="19"/>
        </w:rPr>
        <w:t>CERTIFICATIONS PURSUANT TO SECTION 302 OF THE SARBANES-OXLEY ACT OF 2002</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I, Elias J. Sabo, certify that:</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1.I have reviewed this annual report on Form 10-K/A of Compass Diversified Holdings and Compass Group Diversified Holdings LLC;</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tbl>
      <w:tblPr>
        <w:tblW w:w="6296"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098"/>
        <w:gridCol w:w="1098"/>
        <w:gridCol w:w="1554"/>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Elias J. Sabo</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Elias J. Sabo</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Executive Officer</w:t>
              <w:br/>
              <w:t>Compass Group Diversified Holdings LLC</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00" w:after="283"/>
        <w:jc w:val="center"/>
        <w:rPr>
          <w:rFonts w:ascii="Arial;sans-serif" w:hAnsi="Arial;sans-serif"/>
          <w:b/>
          <w:color w:val="000000"/>
          <w:sz w:val="19"/>
        </w:rPr>
      </w:pPr>
      <w:r>
        <w:rPr>
          <w:rFonts w:ascii="Arial;sans-serif" w:hAnsi="Arial;sans-serif"/>
          <w:b/>
          <w:color w:val="000000"/>
          <w:sz w:val="19"/>
        </w:rPr>
        <w:t>CERTIFICATIONS PURSUANT TO SECTION 302 OF THE SARBANES-OXLEY ACT OF 2002</w:t>
      </w:r>
    </w:p>
    <w:p>
      <w:pPr>
        <w:pStyle w:val="TextBody"/>
        <w:bidi w:val="0"/>
        <w:spacing w:lineRule="auto" w:line="288" w:before="240" w:after="283"/>
        <w:jc w:val="both"/>
        <w:rPr>
          <w:rFonts w:ascii="Arial;sans-serif" w:hAnsi="Arial;sans-serif"/>
          <w:b w:val="false"/>
          <w:color w:val="000000"/>
          <w:sz w:val="19"/>
        </w:rPr>
      </w:pPr>
      <w:r>
        <w:rPr>
          <w:rFonts w:ascii="Arial;sans-serif" w:hAnsi="Arial;sans-serif"/>
          <w:b w:val="false"/>
          <w:color w:val="000000"/>
          <w:sz w:val="19"/>
        </w:rPr>
        <w:t>I, Stephen Keller, certify that:</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1.I have reviewed this annual report on Form 10-K/A of Compass Diversified Holdings and Compass Group Diversified Holdings LLC;</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Arial;sans-serif" w:hAnsi="Arial;sans-serif"/>
          <w:b w:val="false"/>
          <w:color w:val="000000"/>
          <w:sz w:val="19"/>
        </w:rPr>
      </w:pPr>
      <w:r>
        <w:rPr>
          <w:rFonts w:ascii="Arial;sans-serif" w:hAnsi="Arial;sans-serif"/>
          <w:b w:val="false"/>
          <w:color w:val="000000"/>
          <w:sz w:val="19"/>
        </w:rPr>
        <w:t>(b)Any fraud, whether or not material, that involves management or other employees who have a significant role in the registrant’s internal control over financial reporting.</w:t>
      </w:r>
    </w:p>
    <w:tbl>
      <w:tblPr>
        <w:tblW w:w="6970" w:type="dxa"/>
        <w:jc w:val="left"/>
        <w:tblInd w:w="0" w:type="dxa"/>
        <w:tblLayout w:type="fixed"/>
        <w:tblCellMar>
          <w:top w:w="28" w:type="dxa"/>
          <w:left w:w="28" w:type="dxa"/>
          <w:bottom w:w="28" w:type="dxa"/>
          <w:right w:w="28" w:type="dxa"/>
        </w:tblCellMar>
      </w:tblPr>
      <w:tblGrid>
        <w:gridCol w:w="803"/>
        <w:gridCol w:w="704"/>
        <w:gridCol w:w="712"/>
        <w:gridCol w:w="109"/>
        <w:gridCol w:w="109"/>
        <w:gridCol w:w="109"/>
        <w:gridCol w:w="1294"/>
        <w:gridCol w:w="1294"/>
        <w:gridCol w:w="1836"/>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Stephen Keller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Stephen Keller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Regular Trustee of Compass Diversified Holdings</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Chief Financial Officer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Compass Group Diversified Holdings LLC</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180" w:after="283"/>
        <w:jc w:val="center"/>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300" w:after="283"/>
        <w:jc w:val="both"/>
        <w:rPr>
          <w:rFonts w:ascii="Arial;sans-serif" w:hAnsi="Arial;sans-serif"/>
          <w:b w:val="false"/>
          <w:color w:val="000000"/>
          <w:sz w:val="20"/>
        </w:rPr>
      </w:pPr>
      <w:r>
        <w:rPr>
          <w:rFonts w:ascii="Arial;sans-serif" w:hAnsi="Arial;sans-serif"/>
          <w:b w:val="false"/>
          <w:color w:val="000000"/>
          <w:sz w:val="20"/>
        </w:rPr>
        <w:t>In connection with the Compass Diversified Holdings and Compass Group Diversified Holdings LLC Annual Report on Form 10-K/A for the period ended December 31, 2025 as filed with the Securities and Exchange Commission on the date hereof (the “Report”), I, Elias J. Sabo,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700" w:type="dxa"/>
        <w:jc w:val="left"/>
        <w:tblInd w:w="0" w:type="dxa"/>
        <w:tblLayout w:type="fixed"/>
        <w:tblCellMar>
          <w:top w:w="28" w:type="dxa"/>
          <w:left w:w="28" w:type="dxa"/>
          <w:bottom w:w="28" w:type="dxa"/>
          <w:right w:w="28" w:type="dxa"/>
        </w:tblCellMar>
      </w:tblPr>
      <w:tblGrid>
        <w:gridCol w:w="803"/>
        <w:gridCol w:w="704"/>
        <w:gridCol w:w="712"/>
        <w:gridCol w:w="134"/>
        <w:gridCol w:w="134"/>
        <w:gridCol w:w="136"/>
        <w:gridCol w:w="109"/>
        <w:gridCol w:w="109"/>
        <w:gridCol w:w="109"/>
        <w:gridCol w:w="1098"/>
        <w:gridCol w:w="1098"/>
        <w:gridCol w:w="1554"/>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Elias J. Sabo</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Elias J. Sabo</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Compass Group Diversified Holdings LLC</w:t>
            </w:r>
          </w:p>
        </w:tc>
      </w:tr>
    </w:tbl>
    <w:p>
      <w:pPr>
        <w:pStyle w:val="TextBody"/>
        <w:bidi w:val="0"/>
        <w:spacing w:before="240" w:after="283"/>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foregoing certification is being furnished to accompany Compass Diversified Holdings and Compass Group Diversified Holdings LLC’s Annual Report on Form 10-K/A for the year ended December 31, 2025 (the “Report”)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180" w:after="283"/>
        <w:jc w:val="center"/>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Compass Diversified Holdings and Compass Group Diversified Holdings LLC Annual Report on Form 10-K/A for the period ended December 31, 2025 as filed with the Securities and Exchange Commission on the date hereof (the “Report”), I, Stephen Keller, Chief Financial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374" w:type="dxa"/>
        <w:jc w:val="left"/>
        <w:tblInd w:w="0" w:type="dxa"/>
        <w:tblLayout w:type="fixed"/>
        <w:tblCellMar>
          <w:top w:w="28" w:type="dxa"/>
          <w:left w:w="28" w:type="dxa"/>
          <w:bottom w:w="28" w:type="dxa"/>
          <w:right w:w="28" w:type="dxa"/>
        </w:tblCellMar>
      </w:tblPr>
      <w:tblGrid>
        <w:gridCol w:w="803"/>
        <w:gridCol w:w="704"/>
        <w:gridCol w:w="712"/>
        <w:gridCol w:w="134"/>
        <w:gridCol w:w="134"/>
        <w:gridCol w:w="136"/>
        <w:gridCol w:w="109"/>
        <w:gridCol w:w="109"/>
        <w:gridCol w:w="109"/>
        <w:gridCol w:w="1294"/>
        <w:gridCol w:w="1294"/>
        <w:gridCol w:w="1836"/>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Stephen Keller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Stephen Keller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Regular Trustee of Compass Diversified Holdings</w:t>
              <w:br/>
              <w:t>Chief Financial Officer</w:t>
              <w:br/>
              <w:t>Compass Group Diversified Holdings LLC</w:t>
            </w:r>
          </w:p>
        </w:tc>
      </w:tr>
    </w:tbl>
    <w:p>
      <w:pPr>
        <w:pStyle w:val="TextBody"/>
        <w:bidi w:val="0"/>
        <w:spacing w:before="240" w:after="283"/>
        <w:jc w:val="both"/>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foregoing certification is being furnished to accompany Compass Diversified Holdings and Compass Group Diversified Holdings LLC’s Annual Report on Form 10-K/A for the year ended December 31, 2025 (the “Report”)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345122/000095013306003467/w23746exv2w1.htm" TargetMode="External"/><Relationship Id="rId5" Type="http://schemas.openxmlformats.org/officeDocument/2006/relationships/hyperlink" Target="https://www.sec.gov/Archives/edgar/data/1345126/000095013308002315/0000950133-08-002315-index.htm" TargetMode="External"/><Relationship Id="rId6" Type="http://schemas.openxmlformats.org/officeDocument/2006/relationships/hyperlink" Target="https://www.sec.gov/Archives/edgar/data/1345126/000119312511273246/0001193125-11-273246-index.htm" TargetMode="External"/><Relationship Id="rId7" Type="http://schemas.openxmlformats.org/officeDocument/2006/relationships/hyperlink" Target="https://www.sec.gov/Archives/edgar/data/1345126/000119312512203179/0001193125-12-203179-index.htm" TargetMode="External"/><Relationship Id="rId8" Type="http://schemas.openxmlformats.org/officeDocument/2006/relationships/hyperlink" Target="https://www.sec.gov/Archives/edgar/data/1345122/000134512619000023/cleanearthspa.htm" TargetMode="External"/><Relationship Id="rId9" Type="http://schemas.openxmlformats.org/officeDocument/2006/relationships/hyperlink" Target="https://www.sec.gov/Archives/edgar/data/1345122/000095013306001836/w15027a3exv2w1.htm" TargetMode="External"/><Relationship Id="rId10" Type="http://schemas.openxmlformats.org/officeDocument/2006/relationships/hyperlink" Target="https://www.sec.gov/Archives/edgar/data/0001345126/000134512621000023/ex21stockpurchaseagreement.htm" TargetMode="External"/><Relationship Id="rId11" Type="http://schemas.openxmlformats.org/officeDocument/2006/relationships/hyperlink" Target="https://www.sec.gov/Archives/edgar/data/0001345126/000134512621000031/ex21amendmenttolibertystoc.htm" TargetMode="External"/><Relationship Id="rId12" Type="http://schemas.openxmlformats.org/officeDocument/2006/relationships/hyperlink" Target="https://www.sec.gov/Archives/edgar/data/0001345126/000119312521298886/d214107dex21.htm" TargetMode="External"/><Relationship Id="rId13" Type="http://schemas.openxmlformats.org/officeDocument/2006/relationships/hyperlink" Target="https://www.sec.gov/Archives/edgar/data/1345126/000134512623000006/ex21aciagreementandplanofm.htm" TargetMode="External"/><Relationship Id="rId14" Type="http://schemas.openxmlformats.org/officeDocument/2006/relationships/hyperlink" Target="https://www.sec.gov/Archives/edgar/data/1345126/000134512623000056/ex21marucciagreementandpla.htm" TargetMode="External"/><Relationship Id="rId15" Type="http://schemas.openxmlformats.org/officeDocument/2006/relationships/hyperlink" Target="https://www.sec.gov/ix?doc=/Archives/edgar/data/1345126/000134512624000066/codi-20241227.htm" TargetMode="External"/><Relationship Id="rId16" Type="http://schemas.openxmlformats.org/officeDocument/2006/relationships/hyperlink" Target="https://www.sec.gov/Archives/edgar/data/1345126/000095013305005575/0000950133-05-005575-index.htm" TargetMode="External"/><Relationship Id="rId17" Type="http://schemas.openxmlformats.org/officeDocument/2006/relationships/hyperlink" Target="https://www.sec.gov/Archives/edgar/data/1345126/000095013307003816/0000950133-07-003816-index.htm" TargetMode="External"/><Relationship Id="rId18" Type="http://schemas.openxmlformats.org/officeDocument/2006/relationships/hyperlink" Target="https://www.sec.gov/Archives/edgar/data/1345126/000095013305005575/0000950133-05-005575-index.htm" TargetMode="External"/><Relationship Id="rId19" Type="http://schemas.openxmlformats.org/officeDocument/2006/relationships/hyperlink" Target="https://www.sec.gov/Archives/edgar/data/1345126/000095013306002045/0000950133-06-002045-index.htm" TargetMode="External"/><Relationship Id="rId20" Type="http://schemas.openxmlformats.org/officeDocument/2006/relationships/hyperlink" Target="https://www.sec.gov/Archives/edgar/data/1345126/000095013307002479/0000950133-07-002479-index.htm" TargetMode="External"/><Relationship Id="rId21" Type="http://schemas.openxmlformats.org/officeDocument/2006/relationships/hyperlink" Target="https://www.sec.gov/Archives/edgar/data/1345126/000095013307003816/0000950133-07-003816-index.htm" TargetMode="External"/><Relationship Id="rId22" Type="http://schemas.openxmlformats.org/officeDocument/2006/relationships/hyperlink" Target="https://www.sec.gov/Archives/edgar/data/1345126/000095013307005042/0000950133-07-005042-index.htm" TargetMode="External"/><Relationship Id="rId23" Type="http://schemas.openxmlformats.org/officeDocument/2006/relationships/hyperlink" Target="https://www.sec.gov/Archives/edgar/data/1345126/000095012310102216/0000950123-10-102216-index.htm" TargetMode="External"/><Relationship Id="rId24" Type="http://schemas.openxmlformats.org/officeDocument/2006/relationships/hyperlink" Target="https://www.sec.gov/Archives/edgar/data/1345126/000119312516786893/0001193125-16-786893-index.htm" TargetMode="External"/><Relationship Id="rId25" Type="http://schemas.openxmlformats.org/officeDocument/2006/relationships/hyperlink" Target="https://www.sec.gov/Archives/edgar/data/0001345126/000119312521235786/d57259dex31.htm" TargetMode="External"/><Relationship Id="rId26" Type="http://schemas.openxmlformats.org/officeDocument/2006/relationships/hyperlink" Target="https://www.sec.gov/ix?doc=/Archives/edgar/data/0001345126/000134512624000048/codi-20240831.htm" TargetMode="External"/><Relationship Id="rId27" Type="http://schemas.openxmlformats.org/officeDocument/2006/relationships/hyperlink" Target="https://www.sec.gov/Archives/edgar/data/1345126/000095013307000088/0000950133-07-000088-index.htm" TargetMode="External"/><Relationship Id="rId28" Type="http://schemas.openxmlformats.org/officeDocument/2006/relationships/hyperlink" Target="https://www.sec.gov/Archives/edgar/data/1345126/000095012310102216/0000950123-10-102216-index.htm" TargetMode="External"/><Relationship Id="rId29" Type="http://schemas.openxmlformats.org/officeDocument/2006/relationships/hyperlink" Target="https://www.sec.gov/Archives/edgar/data/1345126/000119312513204397/0001193125-13-204397-index.htm" TargetMode="External"/><Relationship Id="rId30" Type="http://schemas.openxmlformats.org/officeDocument/2006/relationships/hyperlink" Target="https://www.sec.gov/Archives/edgar/data/1345126/000119312516786893/0001193125-16-786893-index.htm" TargetMode="External"/><Relationship Id="rId31" Type="http://schemas.openxmlformats.org/officeDocument/2006/relationships/hyperlink" Target="https://www.sec.gov/Archives/edgar/data/0001345126/000119312521235786/d57259dex32.htm" TargetMode="External"/><Relationship Id="rId32" Type="http://schemas.openxmlformats.org/officeDocument/2006/relationships/hyperlink" Target="https://www.sec.gov/Archives/edgar/data/0001345126/000134512622000008/ex31firstamendmenttothesix.htm" TargetMode="External"/><Relationship Id="rId33" Type="http://schemas.openxmlformats.org/officeDocument/2006/relationships/hyperlink" Target="https://www.sec.gov/ix?doc=/Archives/edgar/data/0001345126/000134512624000048/codi-20240831.htm" TargetMode="External"/><Relationship Id="rId34" Type="http://schemas.openxmlformats.org/officeDocument/2006/relationships/hyperlink" Target="https://www.sec.gov/Archives/edgar/data/0001345126/000119312521235786/d57259dex33.htm" TargetMode="External"/><Relationship Id="rId35" Type="http://schemas.openxmlformats.org/officeDocument/2006/relationships/hyperlink" Target="https://www.sec.gov/ix?doc=/Archives/edgar/data/0001345126/000119312524072850/d800897d8k.htm" TargetMode="External"/><Relationship Id="rId36" Type="http://schemas.openxmlformats.org/officeDocument/2006/relationships/hyperlink" Target="https://www.sec.gov/Archives/edgar/data/1345126/000119312524213116/d878317dex411.htm" TargetMode="External"/><Relationship Id="rId37" Type="http://schemas.openxmlformats.org/officeDocument/2006/relationships/hyperlink" Target="https://www.sec.gov/Archives/edgar/data/1345126/000134512617000038/0001345126-17-000038-index.htm" TargetMode="External"/><Relationship Id="rId38" Type="http://schemas.openxmlformats.org/officeDocument/2006/relationships/hyperlink" Target="https://www.sec.gov/ix?doc=/Archives/edgar/data/0001345126/000119312524072850/d800897d8k.htm" TargetMode="External"/><Relationship Id="rId39" Type="http://schemas.openxmlformats.org/officeDocument/2006/relationships/hyperlink" Target="https://www.sec.gov/Archives/edgar/data/1345126/000119312524213116/d878317dex414.htm" TargetMode="External"/><Relationship Id="rId40" Type="http://schemas.openxmlformats.org/officeDocument/2006/relationships/hyperlink" Target="https://www.sec.gov/Archives/edgar/data/0001345126/000119312521235786/d57259dex34.htm" TargetMode="External"/><Relationship Id="rId41" Type="http://schemas.openxmlformats.org/officeDocument/2006/relationships/hyperlink" Target="https://www.sec.gov/ix?doc=/Archives/edgar/data/0001345126/000119312524072850/d800897d8k.htm" TargetMode="External"/><Relationship Id="rId42" Type="http://schemas.openxmlformats.org/officeDocument/2006/relationships/hyperlink" Target="https://www.sec.gov/Archives/edgar/data/1345126/000119312524213116/d878317dex417.htm" TargetMode="External"/><Relationship Id="rId43" Type="http://schemas.openxmlformats.org/officeDocument/2006/relationships/hyperlink" Target="https://www.sec.gov/Archives/edgar/data/1345126/000119312518080755/d436474dex32.htm" TargetMode="External"/><Relationship Id="rId44" Type="http://schemas.openxmlformats.org/officeDocument/2006/relationships/hyperlink" Target="https://www.sec.gov/ix?doc=/Archives/edgar/data/0001345126/000119312524072850/d800897d8k.htm" TargetMode="External"/><Relationship Id="rId45" Type="http://schemas.openxmlformats.org/officeDocument/2006/relationships/hyperlink" Target="https://www.sec.gov/Archives/edgar/data/1345126/000119312524213116/d878317dex420.htm" TargetMode="External"/><Relationship Id="rId46" Type="http://schemas.openxmlformats.org/officeDocument/2006/relationships/hyperlink" Target="https://www.sec.gov/Archives/edgar/data/0001345126/000119312521235786/d57259dex35.htm" TargetMode="External"/><Relationship Id="rId47" Type="http://schemas.openxmlformats.org/officeDocument/2006/relationships/hyperlink" Target="https://www.sec.gov/ix?doc=/Archives/edgar/data/0001345126/000119312524072850/d800897d8k.htm" TargetMode="External"/><Relationship Id="rId48" Type="http://schemas.openxmlformats.org/officeDocument/2006/relationships/hyperlink" Target="https://www.sec.gov/Archives/edgar/data/1345126/000119312524213116/d878317dex423.htm" TargetMode="External"/><Relationship Id="rId49" Type="http://schemas.openxmlformats.org/officeDocument/2006/relationships/hyperlink" Target="https://www.sec.gov/Archives/edgar/data/0001345126/000119312519296560/d835497dex32.htm" TargetMode="External"/><Relationship Id="rId50" Type="http://schemas.openxmlformats.org/officeDocument/2006/relationships/hyperlink" Target="https://www.sec.gov/ix?doc=/Archives/edgar/data/0001345126/000119312524072850/d800897d8k.htm" TargetMode="External"/><Relationship Id="rId51" Type="http://schemas.openxmlformats.org/officeDocument/2006/relationships/hyperlink" Target="https://www.sec.gov/Archives/edgar/data/1345126/000119312524213116/d878317dex426.htm" TargetMode="External"/><Relationship Id="rId52" Type="http://schemas.openxmlformats.org/officeDocument/2006/relationships/hyperlink" Target="https://www.sec.gov/Archives/edgar/data/0001345126/000119312521091235/d129192dex41.htm" TargetMode="External"/><Relationship Id="rId53" Type="http://schemas.openxmlformats.org/officeDocument/2006/relationships/hyperlink" Target="https://www.sec.gov/ix?doc=/Archives/edgar/data/0001345126/000134512625000008/codi-20250115.htm" TargetMode="External"/><Relationship Id="rId54" Type="http://schemas.openxmlformats.org/officeDocument/2006/relationships/hyperlink" Target="https://www.sec.gov/Archives/edgar/data/1345126/000134512625000052/exhibit41-secondsupplement.htm" TargetMode="External"/><Relationship Id="rId55" Type="http://schemas.openxmlformats.org/officeDocument/2006/relationships/hyperlink" Target="https://www.sec.gov/Archives/edgar/data/1345126/000134512625000052/exhibit41-secondsupplement.htm" TargetMode="External"/><Relationship Id="rId56" Type="http://schemas.openxmlformats.org/officeDocument/2006/relationships/hyperlink" Target="https://www.sec.gov/Archives/edgar/data/0001345126/000134512621000053/codihynotesnovember2021-ex.htm" TargetMode="External"/><Relationship Id="rId57" Type="http://schemas.openxmlformats.org/officeDocument/2006/relationships/hyperlink" Target="https://www.sec.gov/ix?doc=/Archives/edgar/data/0001345126/000134512625000008/codi-20250115.htm" TargetMode="External"/><Relationship Id="rId58" Type="http://schemas.openxmlformats.org/officeDocument/2006/relationships/hyperlink" Target="https://www.sec.gov/Archives/edgar/data/1345126/000134512625000052/exhibit42-secondsupplement.htm" TargetMode="External"/><Relationship Id="rId59" Type="http://schemas.openxmlformats.org/officeDocument/2006/relationships/hyperlink" Target="https://www.sec.gov/Archives/edgar/data/1345126/000095012311079930/0000950123-11-079930-index.htm" TargetMode="External"/><Relationship Id="rId60" Type="http://schemas.openxmlformats.org/officeDocument/2006/relationships/hyperlink" Target="https://www.sec.gov/ix?doc=/Archives/edgar/data/0001345126/000134512625000008/codi-20250115.htm" TargetMode="External"/><Relationship Id="rId61" Type="http://schemas.openxmlformats.org/officeDocument/2006/relationships/hyperlink" Target="https://www.sec.gov/ix?doc=/Archives/edgar/data/0001345126/000134512624000052/codi-20240912.htm" TargetMode="External"/><Relationship Id="rId62" Type="http://schemas.openxmlformats.org/officeDocument/2006/relationships/hyperlink" Target="https://www.sec.gov/ix?doc=/Archives/edgar/data/0001345126/000134512624000045/codi-20240826.htm" TargetMode="External"/><Relationship Id="rId63" Type="http://schemas.openxmlformats.org/officeDocument/2006/relationships/hyperlink" Target="https://www.sec.gov/Archives/edgar/data/1345126/000134512625000015/a12312024ex1013.htm" TargetMode="External"/><Relationship Id="rId64" Type="http://schemas.openxmlformats.org/officeDocument/2006/relationships/hyperlink" Target="https://www.sec.gov/Archives/edgar/data/1345126/000134512622000037/exhibit101-amendedandresta.htm" TargetMode="External"/><Relationship Id="rId65" Type="http://schemas.openxmlformats.org/officeDocument/2006/relationships/hyperlink" Target="https://www.sec.gov/Archives/edgar/data/1345126/000134512625000006/exhibit101-incrementalcred.htm" TargetMode="External"/><Relationship Id="rId66" Type="http://schemas.openxmlformats.org/officeDocument/2006/relationships/hyperlink" Target="https://www.sec.gov/Archives/edgar/data/1345126/000134512625000029/exhibit101-forbearanceandc.htm" TargetMode="External"/><Relationship Id="rId67" Type="http://schemas.openxmlformats.org/officeDocument/2006/relationships/hyperlink" Target="https://www.sec.gov/Archives/edgar/data/1345126/000134512625000042/exhibit101-forbearanceandc.htm" TargetMode="External"/><Relationship Id="rId68" Type="http://schemas.openxmlformats.org/officeDocument/2006/relationships/hyperlink" Target="https://www.sec.gov/Archives/edgar/data/1345126/000134512625000050/exhibit101-seniornotesforb.htm" TargetMode="External"/><Relationship Id="rId69" Type="http://schemas.openxmlformats.org/officeDocument/2006/relationships/hyperlink" Target="https://www.sec.gov/Archives/edgar/data/1345126/000134512625000057/exhibit101-forbearanceandc.htm" TargetMode="External"/><Relationship Id="rId70" Type="http://schemas.openxmlformats.org/officeDocument/2006/relationships/hyperlink" Target="https://www.sec.gov/Archives/edgar/data/1345126/000134512625000073/exhibit101-forbearanceandf.htm" TargetMode="External"/><Relationship Id="rId71" Type="http://schemas.openxmlformats.org/officeDocument/2006/relationships/hyperlink" Target="https://www.sec.gov/Archives/edgar/data/1345126/000134512625000073/exhibit102-fifthforbearanc.htm" TargetMode="External"/><Relationship Id="rId72" Type="http://schemas.openxmlformats.org/officeDocument/2006/relationships/hyperlink" Target="https://www.sec.gov/Archives/edgar/data/1345126/000134512625000089/exhibit101-fifthcreditfaci.htm" TargetMode="External"/><Relationship Id="rId73" Type="http://schemas.openxmlformats.org/officeDocument/2006/relationships/hyperlink" Target="https://www.sec.gov/Archives/edgar/data/1345126/000134512625000089/exhibit102-fifthamendmentt.htm" TargetMode="External"/><Relationship Id="rId74" Type="http://schemas.openxmlformats.org/officeDocument/2006/relationships/hyperlink" Target="https://www.sec.gov/ix?doc=/Archives/edgar/data/0001345126/000134512623000062/codi-20231215.htm" TargetMode="External"/><Relationship Id="rId75" Type="http://schemas.openxmlformats.org/officeDocument/2006/relationships/hyperlink" Target="https://www.sec.gov/ix?doc=/Archives/edgar/data/0001345126/000134512623000062/codi-20231215.htm" TargetMode="External"/><Relationship Id="rId76" Type="http://schemas.openxmlformats.org/officeDocument/2006/relationships/hyperlink" Target="https://www.sec.gov/ix?doc=/Archives/edgar/data/0001345126/000134512623000062/codi-20231215.htm" TargetMode="External"/><Relationship Id="rId77" Type="http://schemas.openxmlformats.org/officeDocument/2006/relationships/hyperlink" Target="https://www.sec.gov/Archives/edgar/data/1345126/000134512625000015/a12312024ex191.htm" TargetMode="External"/><Relationship Id="rId78" Type="http://schemas.openxmlformats.org/officeDocument/2006/relationships/hyperlink" Target="https://www.sec.gov/Archives/edgar/data/1345122/000134512624000016/a12312023ex971.htm" TargetMode="External"/><Relationship Id="rId79" Type="http://schemas.openxmlformats.org/officeDocument/2006/relationships/hyperlink" Target="https://www.sec.gov/Archives/edgar/data/1345126/000095012310031230/0000950123-10-031230-index.htm" TargetMode="External"/><Relationship Id="rId80" Type="http://schemas.openxmlformats.org/officeDocument/2006/relationships/hyperlink" Target="https://www.sec.gov/Archives/edgar/data/1345126/000095012310086934/0000950123-10-086934-index.htm" TargetMode="External"/><Relationship Id="rId81" Type="http://schemas.openxmlformats.org/officeDocument/2006/relationships/hyperlink" Target="https://www.sec.gov/Archives/edgar/data/1345126/000119312512099286/0001193125-12-099286-index.htm" TargetMode="External"/><Relationship Id="rId82" Type="http://schemas.openxmlformats.org/officeDocument/2006/relationships/hyperlink" Target="https://www.sec.gov/Archives/edgar/data/1345126/000134512614000021/0001345126-14-000021-index.htm" TargetMode="External"/><Relationship Id="rId83" Type="http://schemas.openxmlformats.org/officeDocument/2006/relationships/hyperlink" Target="https://www.sec.gov/Archives/edgar/data/1345126/000134512616000076/0001345126-16-000076-index.htm" TargetMode="External"/><Relationship Id="rId84" Type="http://schemas.openxmlformats.org/officeDocument/2006/relationships/hyperlink" Target="https://www.sec.gov/Archives/edgar/data/1345126/000134512617000034/0001345126-17-000034-index.htm" TargetMode="External"/><Relationship Id="rId85" Type="http://schemas.openxmlformats.org/officeDocument/2006/relationships/hyperlink" Target="https://www.sec.gov/Archives/edgar/data/1345126/000134512618000004/0001345126-18-000004-index.htm" TargetMode="External"/><Relationship Id="rId86" Type="http://schemas.openxmlformats.org/officeDocument/2006/relationships/hyperlink" Target="https://www.sec.gov/Archives/edgar/data/1345122/000134512619000005/manitobaharvestplanofarran.htm" TargetMode="External"/><Relationship Id="rId87" Type="http://schemas.openxmlformats.org/officeDocument/2006/relationships/hyperlink" Target="https://www.sec.gov/Archives/edgar/data/1345122/000134512620000014/ex991maruccispa.htm" TargetMode="External"/><Relationship Id="rId88" Type="http://schemas.openxmlformats.org/officeDocument/2006/relationships/hyperlink" Target="https://www.sec.gov/Archives/edgar/data/1345122/000134512620000057/ex993boaagreementandpl.htm" TargetMode="External"/><Relationship Id="rId89" Type="http://schemas.openxmlformats.org/officeDocument/2006/relationships/hyperlink" Target="https://www.sec.gov/Archives/edgar/data/1345122/000119312520271713/d10734dex992.htm" TargetMode="External"/><Relationship Id="rId90" Type="http://schemas.openxmlformats.org/officeDocument/2006/relationships/hyperlink" Target="https://www.sec.gov/Archives/edgar/data/0001345126/000134512621000039/ex992luganostockpurchaseag.htm" TargetMode="External"/><Relationship Id="rId91" Type="http://schemas.openxmlformats.org/officeDocument/2006/relationships/hyperlink" Target="https://www.sec.gov/Archives/edgar/data/1345126/000134512622000029/ex993primaloftstockpurchas.htm" TargetMode="External"/><Relationship Id="rId92" Type="http://schemas.openxmlformats.org/officeDocument/2006/relationships/hyperlink" Target="https://www.sec.gov/ix?doc=/Archives/edgar/data/0001345126/000134512624000005/codi-20240114.htm" TargetMode="External"/><Relationship Id="rId93" Type="http://schemas.openxmlformats.org/officeDocument/2006/relationships/hyperlink" Target="https://www.sec.gov/Archives/edgar/data/1345122/000095013306003467/w23746exv2w1.htm" TargetMode="External"/><Relationship Id="rId94" Type="http://schemas.openxmlformats.org/officeDocument/2006/relationships/hyperlink" Target="https://www.sec.gov/Archives/edgar/data/1345126/000095013308002315/0000950133-08-002315-index.htm" TargetMode="External"/><Relationship Id="rId95" Type="http://schemas.openxmlformats.org/officeDocument/2006/relationships/hyperlink" Target="https://www.sec.gov/Archives/edgar/data/1345126/000119312511273246/0001193125-11-273246-index.htm" TargetMode="External"/><Relationship Id="rId96" Type="http://schemas.openxmlformats.org/officeDocument/2006/relationships/hyperlink" Target="https://www.sec.gov/Archives/edgar/data/1345126/000119312512203179/0001193125-12-203179-index.htm" TargetMode="External"/><Relationship Id="rId97" Type="http://schemas.openxmlformats.org/officeDocument/2006/relationships/hyperlink" Target="https://www.sec.gov/Archives/edgar/data/1345122/000134512619000023/cleanearthspa.htm" TargetMode="External"/><Relationship Id="rId98" Type="http://schemas.openxmlformats.org/officeDocument/2006/relationships/hyperlink" Target="https://www.sec.gov/Archives/edgar/data/1345122/000095013306001836/w15027a3exv2w1.htm" TargetMode="External"/><Relationship Id="rId99" Type="http://schemas.openxmlformats.org/officeDocument/2006/relationships/hyperlink" Target="https://www.sec.gov/Archives/edgar/data/0001345126/000134512621000023/ex21stockpurchaseagreement.htm" TargetMode="External"/><Relationship Id="rId100" Type="http://schemas.openxmlformats.org/officeDocument/2006/relationships/hyperlink" Target="https://www.sec.gov/Archives/edgar/data/0001345126/000134512621000031/ex21amendmenttolibertystoc.htm" TargetMode="External"/><Relationship Id="rId101" Type="http://schemas.openxmlformats.org/officeDocument/2006/relationships/hyperlink" Target="https://www.sec.gov/Archives/edgar/data/0001345126/000119312521298886/d214107dex21.htm" TargetMode="External"/><Relationship Id="rId102" Type="http://schemas.openxmlformats.org/officeDocument/2006/relationships/hyperlink" Target="https://www.sec.gov/Archives/edgar/data/1345126/000134512623000006/ex21aciagreementandplanofm.htm" TargetMode="External"/><Relationship Id="rId103" Type="http://schemas.openxmlformats.org/officeDocument/2006/relationships/hyperlink" Target="https://www.sec.gov/Archives/edgar/data/1345126/000134512623000056/ex21marucciagreementandpla.htm" TargetMode="External"/><Relationship Id="rId104" Type="http://schemas.openxmlformats.org/officeDocument/2006/relationships/hyperlink" Target="https://www.sec.gov/ix?doc=/Archives/edgar/data/1345126/000134512624000066/codi-20241227.htm" TargetMode="External"/><Relationship Id="rId105" Type="http://schemas.openxmlformats.org/officeDocument/2006/relationships/hyperlink" Target="https://www.sec.gov/Archives/edgar/data/1345126/000095013305005575/0000950133-05-005575-index.htm" TargetMode="External"/><Relationship Id="rId106" Type="http://schemas.openxmlformats.org/officeDocument/2006/relationships/hyperlink" Target="https://www.sec.gov/Archives/edgar/data/1345126/000095013307003816/0000950133-07-003816-index.htm" TargetMode="External"/><Relationship Id="rId107" Type="http://schemas.openxmlformats.org/officeDocument/2006/relationships/hyperlink" Target="https://www.sec.gov/Archives/edgar/data/1345126/000095013305005575/0000950133-05-005575-index.htm" TargetMode="External"/><Relationship Id="rId108" Type="http://schemas.openxmlformats.org/officeDocument/2006/relationships/hyperlink" Target="https://www.sec.gov/Archives/edgar/data/1345126/000095013306002045/0000950133-06-002045-index.htm" TargetMode="External"/><Relationship Id="rId109" Type="http://schemas.openxmlformats.org/officeDocument/2006/relationships/hyperlink" Target="https://www.sec.gov/Archives/edgar/data/1345126/000095013307002479/0000950133-07-002479-index.htm" TargetMode="External"/><Relationship Id="rId110" Type="http://schemas.openxmlformats.org/officeDocument/2006/relationships/hyperlink" Target="https://www.sec.gov/Archives/edgar/data/1345126/000095013307003816/0000950133-07-003816-index.htm" TargetMode="External"/><Relationship Id="rId111" Type="http://schemas.openxmlformats.org/officeDocument/2006/relationships/hyperlink" Target="https://www.sec.gov/Archives/edgar/data/1345126/000095013307005042/0000950133-07-005042-index.htm" TargetMode="External"/><Relationship Id="rId112" Type="http://schemas.openxmlformats.org/officeDocument/2006/relationships/hyperlink" Target="https://www.sec.gov/Archives/edgar/data/1345126/000095012310102216/0000950123-10-102216-index.htm" TargetMode="External"/><Relationship Id="rId113" Type="http://schemas.openxmlformats.org/officeDocument/2006/relationships/hyperlink" Target="https://www.sec.gov/Archives/edgar/data/1345126/000119312516786893/0001193125-16-786893-index.htm" TargetMode="External"/><Relationship Id="rId114" Type="http://schemas.openxmlformats.org/officeDocument/2006/relationships/hyperlink" Target="https://www.sec.gov/Archives/edgar/data/0001345126/000119312521235786/d57259dex31.htm" TargetMode="External"/><Relationship Id="rId115" Type="http://schemas.openxmlformats.org/officeDocument/2006/relationships/hyperlink" Target="https://www.sec.gov/ix?doc=/Archives/edgar/data/0001345126/000134512624000048/codi-20240831.htm" TargetMode="External"/><Relationship Id="rId116" Type="http://schemas.openxmlformats.org/officeDocument/2006/relationships/hyperlink" Target="https://www.sec.gov/Archives/edgar/data/1345126/000095013307000088/0000950133-07-000088-index.htm" TargetMode="External"/><Relationship Id="rId117" Type="http://schemas.openxmlformats.org/officeDocument/2006/relationships/hyperlink" Target="https://www.sec.gov/Archives/edgar/data/1345126/000095012310102216/0000950123-10-102216-index.htm" TargetMode="External"/><Relationship Id="rId118" Type="http://schemas.openxmlformats.org/officeDocument/2006/relationships/hyperlink" Target="https://www.sec.gov/Archives/edgar/data/1345126/000119312513204397/0001193125-13-204397-index.htm" TargetMode="External"/><Relationship Id="rId119" Type="http://schemas.openxmlformats.org/officeDocument/2006/relationships/hyperlink" Target="https://www.sec.gov/Archives/edgar/data/1345126/000119312516786893/0001193125-16-786893-index.htm" TargetMode="External"/><Relationship Id="rId120" Type="http://schemas.openxmlformats.org/officeDocument/2006/relationships/hyperlink" Target="https://www.sec.gov/Archives/edgar/data/0001345126/000119312521235786/d57259dex32.htm" TargetMode="External"/><Relationship Id="rId121" Type="http://schemas.openxmlformats.org/officeDocument/2006/relationships/hyperlink" Target="https://www.sec.gov/Archives/edgar/data/0001345126/000134512622000008/ex31firstamendmenttothesix.htm" TargetMode="External"/><Relationship Id="rId122" Type="http://schemas.openxmlformats.org/officeDocument/2006/relationships/hyperlink" Target="https://www.sec.gov/ix?doc=/Archives/edgar/data/0001345126/000134512624000048/codi-20240831.htm" TargetMode="External"/><Relationship Id="rId123" Type="http://schemas.openxmlformats.org/officeDocument/2006/relationships/hyperlink" Target="https://www.sec.gov/Archives/edgar/data/0001345126/000119312521235786/d57259dex33.htm" TargetMode="External"/><Relationship Id="rId124" Type="http://schemas.openxmlformats.org/officeDocument/2006/relationships/hyperlink" Target="https://www.sec.gov/ix?doc=/Archives/edgar/data/0001345126/000119312524072850/d800897d8k.htm" TargetMode="External"/><Relationship Id="rId125" Type="http://schemas.openxmlformats.org/officeDocument/2006/relationships/hyperlink" Target="https://www.sec.gov/Archives/edgar/data/1345126/000119312524213116/d878317dex411.htm" TargetMode="External"/><Relationship Id="rId126" Type="http://schemas.openxmlformats.org/officeDocument/2006/relationships/hyperlink" Target="https://www.sec.gov/Archives/edgar/data/1345126/000134512617000038/0001345126-17-000038-index.htm" TargetMode="External"/><Relationship Id="rId127" Type="http://schemas.openxmlformats.org/officeDocument/2006/relationships/hyperlink" Target="https://www.sec.gov/ix?doc=/Archives/edgar/data/0001345126/000119312524072850/d800897d8k.htm" TargetMode="External"/><Relationship Id="rId128" Type="http://schemas.openxmlformats.org/officeDocument/2006/relationships/hyperlink" Target="https://www.sec.gov/Archives/edgar/data/1345126/000119312524213116/d878317dex414.htm" TargetMode="External"/><Relationship Id="rId129" Type="http://schemas.openxmlformats.org/officeDocument/2006/relationships/hyperlink" Target="https://www.sec.gov/Archives/edgar/data/0001345126/000119312521235786/d57259dex34.htm" TargetMode="External"/><Relationship Id="rId130" Type="http://schemas.openxmlformats.org/officeDocument/2006/relationships/hyperlink" Target="https://www.sec.gov/ix?doc=/Archives/edgar/data/0001345126/000119312524072850/d800897d8k.htm" TargetMode="External"/><Relationship Id="rId131" Type="http://schemas.openxmlformats.org/officeDocument/2006/relationships/hyperlink" Target="https://www.sec.gov/Archives/edgar/data/1345126/000119312524213116/d878317dex417.htm" TargetMode="External"/><Relationship Id="rId132" Type="http://schemas.openxmlformats.org/officeDocument/2006/relationships/hyperlink" Target="https://www.sec.gov/Archives/edgar/data/1345126/000119312518080755/d436474dex32.htm" TargetMode="External"/><Relationship Id="rId133" Type="http://schemas.openxmlformats.org/officeDocument/2006/relationships/hyperlink" Target="https://www.sec.gov/ix?doc=/Archives/edgar/data/0001345126/000119312524072850/d800897d8k.htm" TargetMode="External"/><Relationship Id="rId134" Type="http://schemas.openxmlformats.org/officeDocument/2006/relationships/hyperlink" Target="https://www.sec.gov/Archives/edgar/data/1345126/000119312524213116/d878317dex420.htm" TargetMode="External"/><Relationship Id="rId135" Type="http://schemas.openxmlformats.org/officeDocument/2006/relationships/hyperlink" Target="https://www.sec.gov/Archives/edgar/data/0001345126/000119312521235786/d57259dex35.htm" TargetMode="External"/><Relationship Id="rId136" Type="http://schemas.openxmlformats.org/officeDocument/2006/relationships/hyperlink" Target="https://www.sec.gov/ix?doc=/Archives/edgar/data/0001345126/000119312524072850/d800897d8k.htm" TargetMode="External"/><Relationship Id="rId137" Type="http://schemas.openxmlformats.org/officeDocument/2006/relationships/hyperlink" Target="https://www.sec.gov/Archives/edgar/data/1345126/000119312524213116/d878317dex423.htm" TargetMode="External"/><Relationship Id="rId138" Type="http://schemas.openxmlformats.org/officeDocument/2006/relationships/hyperlink" Target="https://www.sec.gov/Archives/edgar/data/0001345126/000119312519296560/d835497dex32.htm" TargetMode="External"/><Relationship Id="rId139" Type="http://schemas.openxmlformats.org/officeDocument/2006/relationships/hyperlink" Target="https://www.sec.gov/ix?doc=/Archives/edgar/data/0001345126/000119312524072850/d800897d8k.htm" TargetMode="External"/><Relationship Id="rId140" Type="http://schemas.openxmlformats.org/officeDocument/2006/relationships/hyperlink" Target="https://www.sec.gov/Archives/edgar/data/1345126/000119312524213116/d878317dex426.htm" TargetMode="External"/><Relationship Id="rId141" Type="http://schemas.openxmlformats.org/officeDocument/2006/relationships/hyperlink" Target="https://www.sec.gov/Archives/edgar/data/0001345126/000119312521091235/d129192dex41.htm" TargetMode="External"/><Relationship Id="rId142" Type="http://schemas.openxmlformats.org/officeDocument/2006/relationships/hyperlink" Target="https://www.sec.gov/ix?doc=/Archives/edgar/data/0001345126/000134512625000008/codi-20250115.htm" TargetMode="External"/><Relationship Id="rId143" Type="http://schemas.openxmlformats.org/officeDocument/2006/relationships/hyperlink" Target="https://www.sec.gov/Archives/edgar/data/1345126/000134512625000052/exhibit41-secondsupplement.htm" TargetMode="External"/><Relationship Id="rId144" Type="http://schemas.openxmlformats.org/officeDocument/2006/relationships/hyperlink" Target="https://www.sec.gov/Archives/edgar/data/0001345126/000134512621000053/codihynotesnovember2021-ex.htm" TargetMode="External"/><Relationship Id="rId145" Type="http://schemas.openxmlformats.org/officeDocument/2006/relationships/hyperlink" Target="https://www.sec.gov/ix?doc=/Archives/edgar/data/0001345126/000134512625000008/codi-20250115.htm" TargetMode="External"/><Relationship Id="rId146" Type="http://schemas.openxmlformats.org/officeDocument/2006/relationships/hyperlink" Target="https://www.sec.gov/Archives/edgar/data/1345126/000134512625000052/exhibit42-secondsupplement.htm" TargetMode="External"/><Relationship Id="rId147" Type="http://schemas.openxmlformats.org/officeDocument/2006/relationships/hyperlink" Target="https://www.sec.gov/Archives/edgar/data/1345126/000095012311079930/0000950123-11-079930-index.htm" TargetMode="External"/><Relationship Id="rId148" Type="http://schemas.openxmlformats.org/officeDocument/2006/relationships/hyperlink" Target="https://www.sec.gov/ix?doc=/Archives/edgar/data/0001345126/000134512625000008/codi-20250115.htm" TargetMode="External"/><Relationship Id="rId149" Type="http://schemas.openxmlformats.org/officeDocument/2006/relationships/hyperlink" Target="https://www.sec.gov/ix?doc=/Archives/edgar/data/0001345126/000134512624000052/codi-20240912.htm" TargetMode="External"/><Relationship Id="rId150" Type="http://schemas.openxmlformats.org/officeDocument/2006/relationships/hyperlink" Target="https://www.sec.gov/ix?doc=/Archives/edgar/data/0001345126/000134512624000045/codi-20240826.htm" TargetMode="External"/><Relationship Id="rId151" Type="http://schemas.openxmlformats.org/officeDocument/2006/relationships/hyperlink" Target="https://www.sec.gov/Archives/edgar/data/1345126/000134512625000015/a12312024ex1013.htm" TargetMode="External"/><Relationship Id="rId152" Type="http://schemas.openxmlformats.org/officeDocument/2006/relationships/hyperlink" Target="https://www.sec.gov/Archives/edgar/data/1345126/000134512622000037/exhibit101-amendedandresta.htm" TargetMode="External"/><Relationship Id="rId153" Type="http://schemas.openxmlformats.org/officeDocument/2006/relationships/hyperlink" Target="https://www.sec.gov/Archives/edgar/data/1345126/000134512625000006/exhibit101-incrementalcred.htm" TargetMode="External"/><Relationship Id="rId154" Type="http://schemas.openxmlformats.org/officeDocument/2006/relationships/hyperlink" Target="https://www.sec.gov/Archives/edgar/data/1345126/000134512625000029/exhibit101-forbearanceandc.htm" TargetMode="External"/><Relationship Id="rId155" Type="http://schemas.openxmlformats.org/officeDocument/2006/relationships/hyperlink" Target="https://www.sec.gov/Archives/edgar/data/1345126/000134512625000042/exhibit101-forbearanceandc.htm" TargetMode="External"/><Relationship Id="rId156" Type="http://schemas.openxmlformats.org/officeDocument/2006/relationships/hyperlink" Target="https://www.sec.gov/Archives/edgar/data/1345126/000134512625000050/exhibit101-seniornotesforb.htm" TargetMode="External"/><Relationship Id="rId157" Type="http://schemas.openxmlformats.org/officeDocument/2006/relationships/hyperlink" Target="https://www.sec.gov/Archives/edgar/data/1345126/000134512625000057/exhibit101-forbearanceandc.htm" TargetMode="External"/><Relationship Id="rId158" Type="http://schemas.openxmlformats.org/officeDocument/2006/relationships/hyperlink" Target="https://www.sec.gov/Archives/edgar/data/1345126/000134512625000073/exhibit101-forbearanceandf.htm" TargetMode="External"/><Relationship Id="rId159" Type="http://schemas.openxmlformats.org/officeDocument/2006/relationships/hyperlink" Target="https://www.sec.gov/Archives/edgar/data/1345126/000134512625000073/exhibit102-fifthforbearanc.htm" TargetMode="External"/><Relationship Id="rId160" Type="http://schemas.openxmlformats.org/officeDocument/2006/relationships/hyperlink" Target="https://www.sec.gov/Archives/edgar/data/1345126/000134512625000089/exhibit101-fifthcreditfaci.htm" TargetMode="External"/><Relationship Id="rId161" Type="http://schemas.openxmlformats.org/officeDocument/2006/relationships/hyperlink" Target="https://www.sec.gov/Archives/edgar/data/1345126/000134512625000089/exhibit102-fifthamendmentt.htm" TargetMode="External"/><Relationship Id="rId162" Type="http://schemas.openxmlformats.org/officeDocument/2006/relationships/hyperlink" Target="https://www.sec.gov/ix?doc=/Archives/edgar/data/0001345126/000134512623000062/codi-20231215.htm" TargetMode="External"/><Relationship Id="rId163" Type="http://schemas.openxmlformats.org/officeDocument/2006/relationships/hyperlink" Target="https://www.sec.gov/Archives/edgar/data/1345126/000134512625000015/a12312024ex191.htm" TargetMode="External"/><Relationship Id="rId164" Type="http://schemas.openxmlformats.org/officeDocument/2006/relationships/hyperlink" Target="https://www.sec.gov/Archives/edgar/data/1345122/000134512624000016/a12312023ex971.htm" TargetMode="External"/><Relationship Id="rId165" Type="http://schemas.openxmlformats.org/officeDocument/2006/relationships/hyperlink" Target="https://www.sec.gov/Archives/edgar/data/1345126/000095012310031230/0000950123-10-031230-index.htm" TargetMode="External"/><Relationship Id="rId166" Type="http://schemas.openxmlformats.org/officeDocument/2006/relationships/hyperlink" Target="https://www.sec.gov/Archives/edgar/data/1345126/000095012310086934/0000950123-10-086934-index.htm" TargetMode="External"/><Relationship Id="rId167" Type="http://schemas.openxmlformats.org/officeDocument/2006/relationships/hyperlink" Target="https://www.sec.gov/Archives/edgar/data/1345126/000119312512099286/0001193125-12-099286-index.htm" TargetMode="External"/><Relationship Id="rId168" Type="http://schemas.openxmlformats.org/officeDocument/2006/relationships/hyperlink" Target="https://www.sec.gov/Archives/edgar/data/1345126/000134512614000021/0001345126-14-000021-index.htm" TargetMode="External"/><Relationship Id="rId169" Type="http://schemas.openxmlformats.org/officeDocument/2006/relationships/hyperlink" Target="https://www.sec.gov/Archives/edgar/data/1345126/000134512616000076/0001345126-16-000076-index.htm" TargetMode="External"/><Relationship Id="rId170" Type="http://schemas.openxmlformats.org/officeDocument/2006/relationships/hyperlink" Target="https://www.sec.gov/Archives/edgar/data/1345126/000134512617000034/0001345126-17-000034-index.htm" TargetMode="External"/><Relationship Id="rId171" Type="http://schemas.openxmlformats.org/officeDocument/2006/relationships/hyperlink" Target="https://www.sec.gov/Archives/edgar/data/1345126/000134512618000004/0001345126-18-000004-index.htm" TargetMode="External"/><Relationship Id="rId172" Type="http://schemas.openxmlformats.org/officeDocument/2006/relationships/hyperlink" Target="https://www.sec.gov/Archives/edgar/data/1345122/000134512619000005/manitobaharvestplanofarran.htm" TargetMode="External"/><Relationship Id="rId173" Type="http://schemas.openxmlformats.org/officeDocument/2006/relationships/hyperlink" Target="https://www.sec.gov/Archives/edgar/data/1345122/000134512620000014/ex991maruccispa.htm" TargetMode="External"/><Relationship Id="rId174" Type="http://schemas.openxmlformats.org/officeDocument/2006/relationships/hyperlink" Target="https://www.sec.gov/Archives/edgar/data/1345122/000134512620000057/ex993boaagreementandpl.htm" TargetMode="External"/><Relationship Id="rId175" Type="http://schemas.openxmlformats.org/officeDocument/2006/relationships/hyperlink" Target="https://www.sec.gov/Archives/edgar/data/1345122/000119312520271713/d10734dex992.htm" TargetMode="External"/><Relationship Id="rId176" Type="http://schemas.openxmlformats.org/officeDocument/2006/relationships/hyperlink" Target="https://www.sec.gov/Archives/edgar/data/0001345126/000134512621000039/ex992luganostockpurchaseag.htm" TargetMode="External"/><Relationship Id="rId177" Type="http://schemas.openxmlformats.org/officeDocument/2006/relationships/hyperlink" Target="https://www.sec.gov/Archives/edgar/data/1345126/000134512622000029/ex993primaloftstockpurchas.htm" TargetMode="External"/><Relationship Id="rId178" Type="http://schemas.openxmlformats.org/officeDocument/2006/relationships/hyperlink" Target="https://www.sec.gov/ix?doc=/Archives/edgar/data/0001345126/000134512624000005/codi-20240114.htm" TargetMode="External"/><Relationship Id="rId179" Type="http://schemas.openxmlformats.org/officeDocument/2006/relationships/fontTable" Target="fontTable.xml"/><Relationship Id="rId1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138030</Words>
  <Characters>765738</Characters>
  <CharactersWithSpaces>897951</CharactersWithSpaces>
  <Paragraphs>10577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