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SHAFFER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 SECOND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12.2511</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13,201</w:t>
            </w:r>
            <w:r>
              <w:rPr>
                <w:rFonts w:ascii="Times;serif" w:hAnsi="Times;serif"/>
                <w:color w:val="008000"/>
                <w:position w:val="7"/>
                <w:sz w:val="16"/>
                <w:sz w:val="20"/>
                <w:shd w:fill="FFFFFF" w:val="clear"/>
              </w:rPr>
              <w:t>(3)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living trust</w:t>
            </w:r>
            <w:r>
              <w:rPr>
                <w:rFonts w:ascii="Times;serif" w:hAnsi="Times;serif"/>
                <w:color w:val="008000"/>
                <w:position w:val="7"/>
                <w:sz w:val="16"/>
                <w:sz w:val="20"/>
                <w:shd w:fill="FFFFFF" w:val="clear"/>
              </w:rPr>
              <w:t>(4)</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$11.93 to $12.40, inclusive. Full information regarding the number of shares purchased at each separate price will be provided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1,320 shares previously reported as directly held on prior filings, and are now reported as indirectly held. No change in beneficial ownership has occurred.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John Kenneth Shaffer Jr., Terri R. Shaffer, UA 12-22-2015 Living Trust, of which the Reporting Person is a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Ms. Shaffer is a Director of Compass Group Diversified Holdings LLC, Sponsor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Teri Shaffer, by Carrie W. Ryan and Stephen Keller as attorneys-in-fact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3506"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4002</Characters>
  <CharactersWithSpaces>4663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