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80645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89535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5"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55"/>
        </w:trPr>
        <w:tc>
          <w:tcPr>
            <w:tcW w:w="2380" w:type="dxa"/>
            <w:vAlign w:val="bottom"/>
          </w:tcPr>
          <w:p>
            <w:pPr>
              <w:jc w:val="center"/>
              <w:ind w:right="26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110"/>
        </w:trPr>
        <w:tc>
          <w:tcPr>
            <w:tcW w:w="238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r>
    </w:tbl>
    <w:p>
      <w:pPr>
        <w:spacing w:after="0" w:line="17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9"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51"/>
        </w:trPr>
        <w:tc>
          <w:tcPr>
            <w:tcW w:w="2860" w:type="dxa"/>
            <w:vAlign w:val="bottom"/>
          </w:tcPr>
          <w:p>
            <w:pPr>
              <w:jc w:val="center"/>
              <w:ind w:right="7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51"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6"/>
          <w:szCs w:val="16"/>
          <w:b w:val="1"/>
          <w:bCs w:val="1"/>
          <w:color w:val="auto"/>
        </w:rPr>
        <w:t>203</w:t>
      </w:r>
      <w:r>
        <w:rPr>
          <w:rFonts w:ascii="Times New Roman" w:cs="Times New Roman" w:eastAsia="Times New Roman" w:hAnsi="Times New Roman"/>
          <w:sz w:val="18"/>
          <w:szCs w:val="18"/>
          <w:color w:val="auto"/>
        </w:rPr>
        <w:t xml:space="preserve">) </w:t>
      </w:r>
      <w:r>
        <w:rPr>
          <w:rFonts w:ascii="Arial" w:cs="Arial" w:eastAsia="Arial" w:hAnsi="Arial"/>
          <w:sz w:val="16"/>
          <w:szCs w:val="16"/>
          <w:b w:val="1"/>
          <w:bCs w:val="1"/>
          <w:color w:val="auto"/>
        </w:rPr>
        <w:t>221-1703</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92075</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35"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5720" w:type="dxa"/>
            <w:vAlign w:val="bottom"/>
            <w:tcBorders>
              <w:left w:val="single" w:sz="8" w:color="auto"/>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6"/>
        </w:trPr>
        <w:tc>
          <w:tcPr>
            <w:tcW w:w="5720" w:type="dxa"/>
            <w:vAlign w:val="bottom"/>
            <w:tcBorders>
              <w:left w:val="single" w:sz="8" w:color="auto"/>
            </w:tcBorders>
          </w:tcPr>
          <w:p>
            <w:pPr>
              <w:ind w:left="40"/>
              <w:spacing w:after="0" w:line="146"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5"/>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720" w:type="dxa"/>
            <w:vAlign w:val="bottom"/>
            <w:tcBorders>
              <w:left w:val="single" w:sz="8" w:color="auto"/>
            </w:tcBorders>
          </w:tcPr>
          <w:p>
            <w:pPr>
              <w:ind w:left="40"/>
              <w:spacing w:after="0" w:line="142"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76"/>
        </w:trPr>
        <w:tc>
          <w:tcPr>
            <w:tcW w:w="5720" w:type="dxa"/>
            <w:vAlign w:val="bottom"/>
            <w:tcBorders>
              <w:left w:val="single" w:sz="8" w:color="auto"/>
              <w:bottom w:val="single" w:sz="8" w:color="auto"/>
            </w:tcBorders>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9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right="260"/>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24" w:lineRule="exact"/>
        <w:rPr>
          <w:sz w:val="24"/>
          <w:szCs w:val="24"/>
          <w:color w:val="auto"/>
        </w:rPr>
      </w:pPr>
    </w:p>
    <w:p>
      <w:pPr>
        <w:ind w:right="6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1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8" w:right="379" w:bottom="1440" w:gutter="0" w:footer="0" w:header="0"/>
        </w:sectPr>
      </w:pPr>
    </w:p>
    <w:p>
      <w:pPr>
        <w:spacing w:after="0" w:line="26"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tabs>
          <w:tab w:leader="none" w:pos="480" w:val="left"/>
        </w:tabs>
        <w:rPr>
          <w:sz w:val="20"/>
          <w:szCs w:val="20"/>
          <w:color w:val="auto"/>
        </w:rPr>
      </w:pP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ectPr>
          <w:pgSz w:w="11900" w:h="16838" w:orient="portrait"/>
          <w:cols w:equalWidth="0" w:num="5">
            <w:col w:w="3080" w:space="720"/>
            <w:col w:w="2260" w:space="720"/>
            <w:col w:w="140" w:space="220"/>
            <w:col w:w="1540" w:space="720"/>
            <w:col w:w="1800"/>
          </w:cols>
          <w:pgMar w:left="320" w:top="908" w:right="379" w:bottom="1440" w:gutter="0" w:footer="0" w:header="0"/>
          <w:type w:val="continuous"/>
        </w:sectPr>
      </w:pPr>
    </w:p>
    <w:p>
      <w:pPr>
        <w:spacing w:after="0" w:line="2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ectPr>
          <w:pgSz w:w="11900" w:h="16838" w:orient="portrait"/>
          <w:cols w:equalWidth="0" w:num="4">
            <w:col w:w="3080" w:space="720"/>
            <w:col w:w="160" w:space="340"/>
            <w:col w:w="1760" w:space="720"/>
            <w:col w:w="4420"/>
          </w:cols>
          <w:pgMar w:left="320" w:top="908" w:right="379" w:bottom="1440" w:gutter="0" w:footer="0" w:header="0"/>
          <w:type w:val="continuous"/>
        </w:sect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26" w:lineRule="exact"/>
        <w:rPr>
          <w:sz w:val="24"/>
          <w:szCs w:val="24"/>
          <w:color w:val="auto"/>
        </w:rPr>
      </w:pPr>
    </w:p>
    <w:p>
      <w:pPr>
        <w:ind w:left="1860"/>
        <w:spacing w:after="0"/>
        <w:rPr>
          <w:sz w:val="20"/>
          <w:szCs w:val="20"/>
          <w:color w:val="auto"/>
        </w:rPr>
      </w:pPr>
      <w:r>
        <w:rPr>
          <w:rFonts w:ascii="Arial" w:cs="Arial" w:eastAsia="Arial" w:hAnsi="Arial"/>
          <w:sz w:val="15"/>
          <w:szCs w:val="15"/>
          <w:color w:val="auto"/>
        </w:rPr>
        <w:t>As of December 22, 2025, there were 75,235,966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0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9"/>
              </w:rPr>
              <w:t>For the period ended June 30, 2025</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25"/>
        </w:trPr>
        <w:tc>
          <w:tcPr>
            <w:tcW w:w="10300" w:type="dxa"/>
            <w:vAlign w:val="bottom"/>
            <w:gridSpan w:val="18"/>
            <w:vMerge w:val="restart"/>
          </w:tcPr>
          <w:p>
            <w:pPr>
              <w:spacing w:after="0"/>
              <w:rPr>
                <w:sz w:val="20"/>
                <w:szCs w:val="20"/>
                <w:color w:val="auto"/>
              </w:rPr>
            </w:pPr>
            <w:r>
              <w:rPr>
                <w:rFonts w:ascii="Arial" w:cs="Arial" w:eastAsia="Arial" w:hAnsi="Arial"/>
                <w:sz w:val="17"/>
                <w:szCs w:val="17"/>
                <w:color w:val="0000FF"/>
              </w:rPr>
              <w:t>FORWARD-LOOKING STATEMENTS</w:t>
            </w: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5"/>
        </w:trPr>
        <w:tc>
          <w:tcPr>
            <w:tcW w:w="10300" w:type="dxa"/>
            <w:vAlign w:val="bottom"/>
            <w:gridSpan w:val="18"/>
            <w:vMerge w:val="continue"/>
          </w:tcPr>
          <w:p>
            <w:pPr>
              <w:spacing w:after="0"/>
              <w:rPr>
                <w:sz w:val="15"/>
                <w:szCs w:val="15"/>
                <w:color w:val="auto"/>
              </w:rPr>
            </w:pPr>
          </w:p>
        </w:tc>
        <w:tc>
          <w:tcPr>
            <w:tcW w:w="500" w:type="dxa"/>
            <w:vAlign w:val="bottom"/>
            <w:gridSpan w:val="3"/>
          </w:tcPr>
          <w:p>
            <w:pPr>
              <w:jc w:val="center"/>
              <w:ind w:left="335"/>
              <w:spacing w:after="0" w:line="142" w:lineRule="exact"/>
              <w:rPr>
                <w:sz w:val="20"/>
                <w:szCs w:val="20"/>
                <w:color w:val="auto"/>
              </w:rPr>
            </w:pPr>
            <w:r>
              <w:rPr>
                <w:rFonts w:ascii="Arial" w:cs="Arial" w:eastAsia="Arial" w:hAnsi="Arial"/>
                <w:sz w:val="16"/>
                <w:szCs w:val="16"/>
                <w:color w:val="0000FF"/>
                <w:w w:val="89"/>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3"/>
        </w:trPr>
        <w:tc>
          <w:tcPr>
            <w:tcW w:w="2880" w:type="dxa"/>
            <w:vAlign w:val="bottom"/>
            <w:tcBorders>
              <w:top w:val="single" w:sz="8" w:color="0000FF"/>
            </w:tcBorders>
            <w:gridSpan w:val="6"/>
          </w:tcPr>
          <w:p>
            <w:pPr>
              <w:spacing w:after="0"/>
              <w:rPr>
                <w:sz w:val="20"/>
                <w:szCs w:val="20"/>
                <w:color w:val="auto"/>
              </w:rPr>
            </w:pPr>
            <w:r>
              <w:rPr>
                <w:rFonts w:ascii="Arial" w:cs="Arial" w:eastAsia="Arial" w:hAnsi="Arial"/>
                <w:sz w:val="17"/>
                <w:szCs w:val="17"/>
                <w:b w:val="1"/>
                <w:bCs w:val="1"/>
                <w:color w:val="auto"/>
              </w:rPr>
              <w:t>PART I. FINANCIAL INFORMATION</w:t>
            </w:r>
          </w:p>
        </w:tc>
        <w:tc>
          <w:tcPr>
            <w:tcW w:w="742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40" w:type="dxa"/>
            <w:vAlign w:val="bottom"/>
            <w:gridSpan w:val="2"/>
          </w:tcPr>
          <w:p>
            <w:pPr>
              <w:spacing w:after="0" w:line="185" w:lineRule="exact"/>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line="185" w:lineRule="exact"/>
              <w:rPr>
                <w:sz w:val="20"/>
                <w:szCs w:val="20"/>
                <w:color w:val="auto"/>
              </w:rPr>
            </w:pPr>
            <w:r>
              <w:rPr>
                <w:rFonts w:ascii="Arial" w:cs="Arial" w:eastAsia="Arial" w:hAnsi="Arial"/>
                <w:sz w:val="17"/>
                <w:szCs w:val="17"/>
                <w:color w:val="0000FF"/>
              </w:rPr>
              <w:t>FINANCIAL STATEMENTS (UNAUDITED)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7"/>
                <w:szCs w:val="17"/>
                <w:color w:val="0000FF"/>
                <w:w w:val="99"/>
              </w:rPr>
              <w:t>CONDENSED CONSOLIDATED BALANCE SHEETS</w:t>
            </w:r>
          </w:p>
        </w:tc>
        <w:tc>
          <w:tcPr>
            <w:tcW w:w="4700" w:type="dxa"/>
            <w:vAlign w:val="bottom"/>
            <w:gridSpan w:val="8"/>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9"/>
          </w:tcPr>
          <w:p>
            <w:pPr>
              <w:spacing w:after="0"/>
              <w:rPr>
                <w:sz w:val="20"/>
                <w:szCs w:val="20"/>
                <w:color w:val="auto"/>
              </w:rPr>
            </w:pPr>
            <w:r>
              <w:rPr>
                <w:rFonts w:ascii="Arial" w:cs="Arial" w:eastAsia="Arial" w:hAnsi="Arial"/>
                <w:sz w:val="17"/>
                <w:szCs w:val="17"/>
                <w:color w:val="0000FF"/>
                <w:w w:val="99"/>
              </w:rPr>
              <w:t>CONDENSED CONSOLIDATED STATEMENTS OF OPERATIONS</w:t>
            </w:r>
          </w:p>
        </w:tc>
        <w:tc>
          <w:tcPr>
            <w:tcW w:w="3660" w:type="dxa"/>
            <w:vAlign w:val="bottom"/>
            <w:gridSpan w:val="7"/>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gridSpan w:val="14"/>
          </w:tcPr>
          <w:p>
            <w:pPr>
              <w:spacing w:after="0"/>
              <w:rPr>
                <w:sz w:val="20"/>
                <w:szCs w:val="20"/>
                <w:color w:val="auto"/>
              </w:rPr>
            </w:pPr>
            <w:r>
              <w:rPr>
                <w:rFonts w:ascii="Arial" w:cs="Arial" w:eastAsia="Arial" w:hAnsi="Arial"/>
                <w:sz w:val="17"/>
                <w:szCs w:val="17"/>
                <w:color w:val="0000FF"/>
                <w:w w:val="99"/>
              </w:rPr>
              <w:t>CONDENSED CONSOLIDATED STATEMENTS OF COMPREHENSIVE INCOME (LOSS)</w:t>
            </w:r>
          </w:p>
        </w:tc>
        <w:tc>
          <w:tcPr>
            <w:tcW w:w="1920" w:type="dxa"/>
            <w:vAlign w:val="bottom"/>
            <w:gridSpan w:val="2"/>
          </w:tcPr>
          <w:p>
            <w:pPr>
              <w:spacing w:after="0"/>
              <w:rPr>
                <w:sz w:val="18"/>
                <w:szCs w:val="18"/>
                <w:color w:val="auto"/>
              </w:rPr>
            </w:pPr>
          </w:p>
        </w:tc>
        <w:tc>
          <w:tcPr>
            <w:tcW w:w="500" w:type="dxa"/>
            <w:vAlign w:val="bottom"/>
            <w:gridSpan w:val="3"/>
          </w:tcPr>
          <w:p>
            <w:pPr>
              <w:jc w:val="center"/>
              <w:ind w:left="335"/>
              <w:spacing w:after="0"/>
              <w:rPr>
                <w:sz w:val="20"/>
                <w:szCs w:val="20"/>
                <w:color w:val="auto"/>
              </w:rPr>
            </w:pPr>
            <w:r>
              <w:rPr>
                <w:rFonts w:ascii="Arial" w:cs="Arial" w:eastAsia="Arial" w:hAnsi="Arial"/>
                <w:sz w:val="17"/>
                <w:szCs w:val="17"/>
                <w:color w:val="0000FF"/>
                <w:w w:val="84"/>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9"/>
              </w:rPr>
              <w:t>CONDENSED CONSOLIDATED STATEMENTS OF STOCKHOLDERS' EQUITY</w:t>
            </w:r>
          </w:p>
        </w:tc>
        <w:tc>
          <w:tcPr>
            <w:tcW w:w="7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9"/>
              </w:rPr>
              <w:t>CONDENSED CONSOLIDATED STATEMENTS OF CASH FLOWS</w:t>
            </w:r>
          </w:p>
        </w:tc>
        <w:tc>
          <w:tcPr>
            <w:tcW w:w="364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16"/>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MANAGEMENT'S DISCUSSION AND ANALYSIS OF FINANCIAL CONDITION AND RESULTS OF</w:t>
            </w:r>
          </w:p>
        </w:tc>
        <w:tc>
          <w:tcPr>
            <w:tcW w:w="1240" w:type="dxa"/>
            <w:vAlign w:val="bottom"/>
          </w:tcPr>
          <w:p>
            <w:pPr>
              <w:spacing w:after="0"/>
              <w:rPr>
                <w:sz w:val="24"/>
                <w:szCs w:val="24"/>
                <w:color w:val="auto"/>
              </w:rPr>
            </w:pPr>
          </w:p>
        </w:tc>
        <w:tc>
          <w:tcPr>
            <w:tcW w:w="600" w:type="dxa"/>
            <w:vAlign w:val="bottom"/>
            <w:gridSpan w:val="4"/>
            <w:vMerge w:val="restart"/>
          </w:tcPr>
          <w:p>
            <w:pPr>
              <w:jc w:val="center"/>
              <w:ind w:left="235"/>
              <w:spacing w:after="0"/>
              <w:rPr>
                <w:sz w:val="20"/>
                <w:szCs w:val="20"/>
                <w:color w:val="auto"/>
              </w:rPr>
            </w:pPr>
            <w:r>
              <w:rPr>
                <w:rFonts w:ascii="Arial" w:cs="Arial" w:eastAsia="Arial" w:hAnsi="Arial"/>
                <w:sz w:val="17"/>
                <w:szCs w:val="17"/>
                <w:color w:val="0000FF"/>
              </w:rPr>
              <w:t>59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gridSpan w:val="2"/>
            <w:vMerge w:val="restart"/>
          </w:tcPr>
          <w:p>
            <w:pPr>
              <w:spacing w:after="0" w:line="155" w:lineRule="exact"/>
              <w:rPr>
                <w:sz w:val="20"/>
                <w:szCs w:val="20"/>
                <w:color w:val="auto"/>
              </w:rPr>
            </w:pPr>
            <w:r>
              <w:rPr>
                <w:rFonts w:ascii="Arial" w:cs="Arial" w:eastAsia="Arial" w:hAnsi="Arial"/>
                <w:sz w:val="17"/>
                <w:szCs w:val="17"/>
                <w:color w:val="0000FF"/>
                <w:w w:val="98"/>
              </w:rPr>
              <w:t>OPERATIONS</w:t>
            </w:r>
          </w:p>
        </w:tc>
        <w:tc>
          <w:tcPr>
            <w:tcW w:w="7640" w:type="dxa"/>
            <w:vAlign w:val="bottom"/>
            <w:gridSpan w:val="14"/>
            <w:vMerge w:val="restart"/>
          </w:tcPr>
          <w:p>
            <w:pPr>
              <w:spacing w:after="0"/>
              <w:rPr>
                <w:sz w:val="5"/>
                <w:szCs w:val="5"/>
                <w:color w:val="auto"/>
              </w:rPr>
            </w:pPr>
          </w:p>
        </w:tc>
        <w:tc>
          <w:tcPr>
            <w:tcW w:w="6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Borders>
              <w:bottom w:val="single" w:sz="8" w:color="0000FF"/>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9"/>
              </w:rPr>
              <w:t>QUANTITATIVE AND QUALITATIVE DISCLOSURES ABOUT MARKET RISK</w:t>
            </w:r>
          </w:p>
        </w:tc>
        <w:tc>
          <w:tcPr>
            <w:tcW w:w="2880" w:type="dxa"/>
            <w:vAlign w:val="bottom"/>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gridSpan w:val="6"/>
          </w:tcPr>
          <w:p>
            <w:pPr>
              <w:spacing w:after="0"/>
              <w:rPr>
                <w:sz w:val="20"/>
                <w:szCs w:val="20"/>
                <w:color w:val="auto"/>
              </w:rPr>
            </w:pPr>
            <w:r>
              <w:rPr>
                <w:rFonts w:ascii="Arial" w:cs="Arial" w:eastAsia="Arial" w:hAnsi="Arial"/>
                <w:sz w:val="17"/>
                <w:szCs w:val="17"/>
                <w:color w:val="0000FF"/>
              </w:rPr>
              <w:t>CONTROLS AND PROCEDURES</w:t>
            </w:r>
          </w:p>
        </w:tc>
        <w:tc>
          <w:tcPr>
            <w:tcW w:w="6140" w:type="dxa"/>
            <w:vAlign w:val="bottom"/>
            <w:gridSpan w:val="10"/>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gridSpan w:val="3"/>
          </w:tcPr>
          <w:p>
            <w:pPr>
              <w:spacing w:after="0"/>
              <w:rPr>
                <w:sz w:val="20"/>
                <w:szCs w:val="20"/>
                <w:color w:val="auto"/>
              </w:rPr>
            </w:pPr>
            <w:r>
              <w:rPr>
                <w:rFonts w:ascii="Arial" w:cs="Arial" w:eastAsia="Arial" w:hAnsi="Arial"/>
                <w:sz w:val="17"/>
                <w:szCs w:val="17"/>
                <w:color w:val="0000FF"/>
                <w:w w:val="98"/>
              </w:rPr>
              <w:t>RISK FACTORS</w:t>
            </w:r>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7500" w:type="dxa"/>
            <w:vAlign w:val="bottom"/>
            <w:gridSpan w:val="13"/>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4"/>
          </w:tcPr>
          <w:p>
            <w:pPr>
              <w:jc w:val="center"/>
              <w:ind w:left="235"/>
              <w:spacing w:after="0"/>
              <w:rPr>
                <w:sz w:val="20"/>
                <w:szCs w:val="20"/>
                <w:color w:val="auto"/>
              </w:rPr>
            </w:pPr>
            <w:r>
              <w:rPr>
                <w:rFonts w:ascii="Arial" w:cs="Arial" w:eastAsia="Arial" w:hAnsi="Arial"/>
                <w:sz w:val="17"/>
                <w:szCs w:val="17"/>
                <w:color w:val="0000FF"/>
                <w:w w:val="98"/>
              </w:rPr>
              <w:t>104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TO READER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refers to Compass Group Diversified Holdings LLC;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Compass Diversified Holdings and Compass Group Diversified Holdings LLC, collectively;</w:t>
      </w:r>
    </w:p>
    <w:p>
      <w:pPr>
        <w:spacing w:after="0" w:line="76"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refers to Compass Group Management LLC (“CGM”);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refers to the Third Amended and Restated Trust Agreement of the Trust dated as of August 3, 2021, as further amended;</w:t>
      </w:r>
    </w:p>
    <w:p>
      <w:pPr>
        <w:spacing w:after="0" w:line="4"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spacing w:after="0" w:line="35"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Revolving Credit Facility" refers to the revolving loans, swing line loans and letters of credit provided by the 2022 Credit Facility that matures in 2027;</w:t>
      </w:r>
    </w:p>
    <w:p>
      <w:pPr>
        <w:spacing w:after="0" w:line="44" w:lineRule="exact"/>
        <w:rPr>
          <w:rFonts w:ascii="Arial" w:cs="Arial" w:eastAsia="Arial" w:hAnsi="Arial"/>
          <w:sz w:val="18"/>
          <w:szCs w:val="18"/>
          <w:color w:val="auto"/>
        </w:rPr>
      </w:pPr>
    </w:p>
    <w:p>
      <w:pPr>
        <w:ind w:left="660" w:right="80" w:hanging="328"/>
        <w:spacing w:after="0" w:line="24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"2022 Term Loan" refers to the $400 million term loan provided by the 2022 Credit Facility, plus the additional $200 million term loan provided pursuant to a First Incremental Facility Amendment dated as of January 9, 2025 (“First Amendment”), plus up to $100 million delay draw term loan that could be drawn and provided pursuant to the First Amendment</w:t>
      </w:r>
      <w:r>
        <w:rPr>
          <w:rFonts w:ascii="Arial" w:cs="Arial" w:eastAsia="Arial" w:hAnsi="Arial"/>
          <w:sz w:val="21"/>
          <w:szCs w:val="21"/>
          <w:color w:val="auto"/>
        </w:rPr>
        <w:t>;</w:t>
      </w:r>
    </w:p>
    <w:p>
      <w:pPr>
        <w:spacing w:after="0" w:line="41" w:lineRule="exact"/>
        <w:rPr>
          <w:rFonts w:ascii="Arial" w:cs="Arial" w:eastAsia="Arial" w:hAnsi="Arial"/>
          <w:sz w:val="22"/>
          <w:szCs w:val="22"/>
          <w:color w:val="auto"/>
        </w:rPr>
      </w:pPr>
    </w:p>
    <w:p>
      <w:pPr>
        <w:ind w:left="660" w:right="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refers to the Sixth Amended and Restated Operating Agreement of the Company dated as of August 3, 2021, as further amended;</w:t>
      </w:r>
    </w:p>
    <w:p>
      <w:pPr>
        <w:spacing w:after="0" w:line="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“Management Services Agreement” or “MSA” refer to the Management Services Agreement with CGM effective May 16, 2006, as amended; and</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Quarterly Report on Form 10-Q (this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 net income, Adjusted EBITDA, and Adjusted Earnings and ability to make quarterly distributions, and (ii) our plans, strategies and objectives for future operations, including our business outlook and planned capital expenditures and (iii) our plans to maintain covenant compliance under the 2022 Credit Facility. Forward-looking statements in this Form 10-Q are subject to a number of risks and uncertainties, such as those disclosed or incorporated by reference in our filings with the SEC, including, but not limited to, those described under the sections entitled “Risk Factors” and “Management’s Discussion and Analysis of Financial Condition and Results of Operations” in both this Form 10-Q and our Amendment No. 1 to the Annual Report on Form 10-K/A for the year ended December 31, 2024 filed with the United States Securities and Exchange Commission (“SEC”) on December 8, 2025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21" w:lineRule="exact"/>
        <w:rPr>
          <w:sz w:val="20"/>
          <w:szCs w:val="20"/>
          <w:color w:val="auto"/>
        </w:rPr>
      </w:pPr>
    </w:p>
    <w:p>
      <w:pPr>
        <w:jc w:val="both"/>
        <w:ind w:left="50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spacing w:after="0" w:line="18" w:lineRule="exact"/>
        <w:rPr>
          <w:rFonts w:ascii="Arial" w:cs="Arial" w:eastAsia="Arial" w:hAnsi="Arial"/>
          <w:sz w:val="18"/>
          <w:szCs w:val="18"/>
          <w:color w:val="auto"/>
        </w:rPr>
      </w:pPr>
    </w:p>
    <w:p>
      <w:pPr>
        <w:ind w:left="500" w:right="2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control deficiencies identified in the future will result in additional material weaknesses in our internal control over financial reporting;</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credit agreements or incur additional borrowings on terms we deem attractive;</w:t>
      </w:r>
    </w:p>
    <w:p>
      <w:pPr>
        <w:spacing w:after="0" w:line="4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intercompany loan to Lugano (as defined herein) may be subject to loss;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and our Manager’s ability to retain or replace qualified employees of our subsidiaries and Manager;</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difficulties and delays in identifying, integrating, and managing acquisitions or an inability to fully realize cost savings and other benefits related thereto;</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finance future acquisitions on acceptable terms;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cause, in its sole discretion, the Trust to be converted into a corporation;</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reduce or eliminate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receipts from our subsidiaries to make distributions to our shareholders;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ability to change the terms of the Company’s shares in its sole discretion;</w:t>
      </w:r>
    </w:p>
    <w:p>
      <w:pPr>
        <w:spacing w:after="0" w:line="18"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provisions in our governing documents and the governing documents of the Trust which may limit a third party’s ability to acquire control of the Company and Trust;</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to arise between the Company and the boards of directors of its respective businesses;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service our debt obligations;</w:t>
      </w:r>
    </w:p>
    <w:p>
      <w:pPr>
        <w:spacing w:after="0" w:line="18"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indebtedness may limit our ability to obtain financing in the future, increase the cost of future borrowings, limit our ability to use operating cash, and increase our vulnerability to adverse economic conditions;</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interest rate fluctuations;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conflicts of interest in acquisition opportunities;</w:t>
      </w:r>
    </w:p>
    <w:p>
      <w:pPr>
        <w:spacing w:after="0" w:line="18"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we may be deemed to be an investment company under the Investment Company Act of 1940, as amended, if we cease to control and operate our businesses in the future;</w:t>
      </w:r>
    </w:p>
    <w:p>
      <w:pPr>
        <w:spacing w:after="0" w:line="4"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dependence of some of our businesses on a limited number of customers for a significant percentage of revenue;</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lack of long-term customer contracts;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changes to tariffs and import/export regulations;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the Trust’s tax reclassification;</w:t>
      </w:r>
    </w:p>
    <w:p>
      <w:pPr>
        <w:spacing w:after="0" w:line="18" w:lineRule="exact"/>
        <w:rPr>
          <w:rFonts w:ascii="Times New Roman" w:cs="Times New Roman" w:eastAsia="Times New Roman" w:hAnsi="Times New Roman"/>
          <w:sz w:val="22"/>
          <w:szCs w:val="22"/>
          <w:color w:val="auto"/>
        </w:rPr>
      </w:pPr>
    </w:p>
    <w:p>
      <w:pPr>
        <w:ind w:left="500" w:hanging="330"/>
        <w:spacing w:after="0" w:line="249" w:lineRule="auto"/>
        <w:tabs>
          <w:tab w:leader="none" w:pos="49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future changes to tax laws and the potential for the Trust to be taxed at rates higher than expected or for the Trust to fail to realize the anticipated benefits of its tax election;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discretionary and non-cumulative nature of distributions on Series A Preferred Shares;</w:t>
      </w:r>
    </w:p>
    <w:p>
      <w:pPr>
        <w:spacing w:after="0" w:line="7"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subordination of our Series A, Series B, and Series C Preferred Shares to our existing and future indebtedness;</w:t>
      </w:r>
    </w:p>
    <w:p>
      <w:pPr>
        <w:spacing w:after="0" w:line="8" w:lineRule="exact"/>
        <w:rPr>
          <w:rFonts w:ascii="Times New Roman" w:cs="Times New Roman" w:eastAsia="Times New Roman" w:hAnsi="Times New Roman"/>
          <w:sz w:val="22"/>
          <w:szCs w:val="22"/>
          <w:color w:val="auto"/>
        </w:rPr>
      </w:pPr>
    </w:p>
    <w:p>
      <w:pPr>
        <w:ind w:left="480" w:hanging="310"/>
        <w:spacing w:after="0" w:line="235" w:lineRule="auto"/>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members of management to allocate their time to the operations of other businesses;</w:t>
      </w:r>
    </w:p>
    <w:p>
      <w:pPr>
        <w:spacing w:after="0" w:line="45"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our Manager, its affiliates, and members of the Company’s management team to engage in activities that compete with us or our businesses;</w:t>
      </w:r>
    </w:p>
    <w:p>
      <w:pPr>
        <w:spacing w:after="0" w:line="31" w:lineRule="exact"/>
        <w:rPr>
          <w:rFonts w:ascii="Times New Roman" w:cs="Times New Roman" w:eastAsia="Times New Roman" w:hAnsi="Times New Roman"/>
          <w:sz w:val="22"/>
          <w:szCs w:val="22"/>
          <w:color w:val="auto"/>
        </w:rPr>
      </w:pPr>
    </w:p>
    <w:p>
      <w:pPr>
        <w:ind w:left="500" w:right="2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wide latitude that the Manager possesses in determining whether an acquisition or disposition opportunity does or does not meet the Company’s criteria;</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in removing our Manager for poor performance;</w:t>
      </w:r>
    </w:p>
    <w:p>
      <w:pPr>
        <w:spacing w:after="0" w:line="31" w:lineRule="exact"/>
        <w:rPr>
          <w:rFonts w:ascii="Times New Roman" w:cs="Times New Roman" w:eastAsia="Times New Roman" w:hAnsi="Times New Roman"/>
          <w:sz w:val="22"/>
          <w:szCs w:val="22"/>
          <w:color w:val="auto"/>
        </w:rPr>
      </w:pPr>
    </w:p>
    <w:p>
      <w:pPr>
        <w:ind w:left="500" w:hanging="330"/>
        <w:spacing w:after="0" w:line="244"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ability of our Manager to resign on 180 days’ notice and the possibility that we may be unable to find a suitable replacement in a timely fashion;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requirement to pay our Manager the base management fee regardless of our performance;</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the management fee that will be paid over time;</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uncertainty with respect to determining the amount of profit allocation that will be paid over time;</w:t>
      </w:r>
    </w:p>
    <w:p>
      <w:pPr>
        <w:spacing w:after="0" w:line="44" w:lineRule="exact"/>
        <w:rPr>
          <w:rFonts w:ascii="Times New Roman" w:cs="Times New Roman" w:eastAsia="Times New Roman" w:hAnsi="Times New Roman"/>
          <w:sz w:val="22"/>
          <w:szCs w:val="22"/>
          <w:color w:val="auto"/>
        </w:rPr>
      </w:pPr>
    </w:p>
    <w:p>
      <w:pPr>
        <w:ind w:left="500" w:right="2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payment of the management fee, fees under offsetting management services agreements, and profit allocation may significantly reduce the amount of earnings and cash available for shareholder distributions;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Manager’s influence and ability to increase its fees;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that our management fees or profit allocation may induce our Manager to make suboptimal operations decisions;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obligation to pay management fees and profit allocation may cause the Company to liquidate assets or incur debt;</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potential material environmental liabilities arising from a subsidiary’s operations and the prior operations of predecessor companies;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potential for products liability and products safety claims against some of our businesses;</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cybersecurity-related risks, including system failures, data breaches, and the unauthorized access to and use of our and our customers’ confidential information;</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goodwill impairment;</w:t>
      </w:r>
    </w:p>
    <w:p>
      <w:pPr>
        <w:spacing w:after="0" w:line="44"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disruptions to our business, operations, and supply chains, including as a result of natural disasters, inclement weather, accidents, transportation delays, and other events;</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fluctuations in the cost and availability, and the possibility of shortages, of raw materials, components, or whole goods;</w:t>
      </w:r>
    </w:p>
    <w:p>
      <w:pPr>
        <w:spacing w:after="0" w:line="30"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protect and enforce our intellectual property rights;</w:t>
      </w:r>
    </w:p>
    <w:p>
      <w:pPr>
        <w:spacing w:after="0" w:line="31"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legal and regulatory environment in which we and our subsidiaries operate, particularly with respect to environmental regulations, products safety regulations, and products liability;</w:t>
      </w:r>
    </w:p>
    <w:p>
      <w:pPr>
        <w:spacing w:after="0" w:line="45" w:lineRule="exact"/>
        <w:rPr>
          <w:rFonts w:ascii="Times New Roman" w:cs="Times New Roman" w:eastAsia="Times New Roman" w:hAnsi="Times New Roman"/>
          <w:sz w:val="22"/>
          <w:szCs w:val="22"/>
          <w:color w:val="auto"/>
        </w:rPr>
      </w:pPr>
    </w:p>
    <w:p>
      <w:pPr>
        <w:ind w:left="500" w:hanging="330"/>
        <w:spacing w:after="0" w:line="237" w:lineRule="auto"/>
        <w:tabs>
          <w:tab w:leader="none" w:pos="49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risks inherent in operating a global business, including political and economic volatility, differing or conflicting cross-jurisdictional requirements, and import/export restrictions; and</w:t>
      </w:r>
    </w:p>
    <w:p>
      <w:pPr>
        <w:spacing w:after="0" w:line="17" w:lineRule="exact"/>
        <w:rPr>
          <w:rFonts w:ascii="Times New Roman" w:cs="Times New Roman" w:eastAsia="Times New Roman" w:hAnsi="Times New Roman"/>
          <w:sz w:val="22"/>
          <w:szCs w:val="22"/>
          <w:color w:val="auto"/>
        </w:rPr>
      </w:pPr>
    </w:p>
    <w:p>
      <w:pPr>
        <w:ind w:left="480" w:hanging="310"/>
        <w:spacing w:after="0"/>
        <w:tabs>
          <w:tab w:leader="none" w:pos="4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the importance of maintaining the value and reputation of our branded consumer businesses.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 description of the risks that could cause our actual results to differ appears under the sections entitled “Risk Factors” and “Management’s Discussion and Analysis of Financial Condition and Results of Operations” in both this Form 10-Q and our 2024 Form 10-K/A (as defined below).</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Form 10-Q may not occur. These forward-looking statements are made as of the date of this Form 10-Q. We undertake no obligation to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reported, we were unable to timely file our Quarterly Report on Form 10-Q for the three and six months ended June 30, 2025 as a result of an investigation commenced in April 2025 by the Audit Committee of the Company’s board of directors (the “Audit Committee”) into the financial, accounting, and inventory practices of our Lugano Holding Inc. ("Lugano") subsidiary (the “Lugano Investigation”), as described in the Explanatory Note in Amendment No. 1 to our Annual Report on Form 10-K/A for the fiscal year ended December 31, 2024 filed with the SEC on December 8, 2025 (the “2024 Form 10-K/A”). The Company delayed the filing of this Quarterly Report on Form 10-Q for the quarter ended June 30, 2025 (this “Form 10-Q”) until the completion of the Lugano Investigation and the restatement of the Company’s prior financial information as set forth in the 2024 Form 10-K/A.</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refer to the 2024 Form 10-K/A and subsequent filings with the SEC for more information concerning the Lugano Investigation and its findings (see the “Explanatory Note” in the 2024 Form 10-K/A), certain events subsequent to the period ended June 30, 2025 relating to or resulting from the Lugano Investigation, our restatement of financial information as of December 31, 2024, 2023, and 2022 and for the fiscal years ended December 31, 2024, 2023, and 2022 as well as the interim periods in the fiscal years ended December 31, 2024, 2023, and 2022 (see Notes C and S to the consolidated financial statements of the Company included in Part II, Item 8. of the 2024 Form 10-K/A), and remediation actions taken and contemplated following the Lugano Investigation (see Part II, Item 9A of the 2024 Form 10-K/A).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80" w:type="dxa"/>
            <w:vAlign w:val="bottom"/>
          </w:tcPr>
          <w:p>
            <w:pPr>
              <w:jc w:val="center"/>
              <w:ind w:right="1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jc w:val="center"/>
              <w:ind w:right="168"/>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216,378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207,172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571,248</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126,692</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1,029,619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964,771</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216,587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244,746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895,420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895,916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938,685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983,396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194,279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208,593</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3,274,590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103,239</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311,869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318,476</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related parties (refer to Note O)</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Current portion, long-term debt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1,857,036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1,774,290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Subsidiary financing arrangements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49,617</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2,538,983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2,433,423</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111,840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108,091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225,334</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2,863,860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2,766,848</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(refer to Note N)</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preferred shares, 50,000 authorized; 20,109 shares issued and outstanding at June 30, 2025 and 17,497 shares</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issued and outstanding at December 31, 2024</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A preferred shares, no par value; 4,678 shares issued and outstanding at June 30, 2025 and 4,551 shares</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112,010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109,159</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at December 31, 2024</w:t>
            </w: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Arial" w:cs="Arial" w:eastAsia="Arial" w:hAnsi="Arial"/>
                <w:sz w:val="14"/>
                <w:szCs w:val="14"/>
                <w:color w:val="auto"/>
              </w:rPr>
              <w:t>Series B preferred shares, no par value; 7,524 shares issued and outstanding at June 30, 2025 and and 6,192</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177,771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147,906</w:t>
            </w:r>
          </w:p>
        </w:tc>
        <w:tc>
          <w:tcPr>
            <w:tcW w:w="0" w:type="dxa"/>
            <w:vAlign w:val="bottom"/>
          </w:tcPr>
          <w:p>
            <w:pPr>
              <w:spacing w:after="0"/>
              <w:rPr>
                <w:sz w:val="1"/>
                <w:szCs w:val="1"/>
                <w:color w:val="auto"/>
              </w:rPr>
            </w:pPr>
          </w:p>
        </w:tc>
      </w:tr>
      <w:tr>
        <w:trPr>
          <w:trHeight w:val="189"/>
        </w:trPr>
        <w:tc>
          <w:tcPr>
            <w:tcW w:w="7720" w:type="dxa"/>
            <w:vAlign w:val="bottom"/>
          </w:tcPr>
          <w:p>
            <w:pPr>
              <w:ind w:left="140"/>
              <w:spacing w:after="0"/>
              <w:rPr>
                <w:sz w:val="20"/>
                <w:szCs w:val="20"/>
                <w:color w:val="auto"/>
              </w:rPr>
            </w:pPr>
            <w:r>
              <w:rPr>
                <w:rFonts w:ascii="Arial" w:cs="Arial" w:eastAsia="Arial" w:hAnsi="Arial"/>
                <w:sz w:val="14"/>
                <w:szCs w:val="14"/>
                <w:color w:val="auto"/>
              </w:rPr>
              <w:t>shares issued and outstanding at December 31, 2024</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Series C preferred shares, no par value; 7,907 shares issued and outstanding at June 30, 2025 and 6,754 shares</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188,049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161,767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at December 31, 2024</w:t>
            </w: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Arial" w:cs="Arial" w:eastAsia="Arial" w:hAnsi="Arial"/>
                <w:sz w:val="14"/>
                <w:szCs w:val="14"/>
                <w:color w:val="auto"/>
              </w:rPr>
              <w:t>Trust common shares, no par value, 500,000 authorized; 76,135 shares issued and 75,236 shares outstanding at</w:t>
            </w:r>
          </w:p>
        </w:tc>
        <w:tc>
          <w:tcPr>
            <w:tcW w:w="2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1,288,951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1,289,010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June 30, 2025 and December 31, 2024, respectively.</w:t>
            </w:r>
          </w:p>
        </w:tc>
        <w:tc>
          <w:tcPr>
            <w:tcW w:w="2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at cost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(1,141,951)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0" w:type="dxa"/>
            <w:vAlign w:val="bottom"/>
          </w:tcPr>
          <w:p>
            <w:pPr>
              <w:spacing w:after="0"/>
              <w:rPr>
                <w:sz w:val="1"/>
                <w:szCs w:val="1"/>
                <w:color w:val="auto"/>
              </w:rPr>
            </w:pPr>
          </w:p>
        </w:tc>
      </w:tr>
      <w:tr>
        <w:trPr>
          <w:trHeight w:val="192"/>
        </w:trPr>
        <w:tc>
          <w:tcPr>
            <w:tcW w:w="7720" w:type="dxa"/>
            <w:vAlign w:val="bottom"/>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601,880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678,620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3,274,590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3,297,422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46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Six months ended</w:t>
            </w:r>
          </w:p>
        </w:tc>
      </w:tr>
      <w:tr>
        <w:trPr>
          <w:trHeight w:val="213"/>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7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8"/>
                <w:szCs w:val="18"/>
                <w:color w:val="auto"/>
              </w:rPr>
            </w:pPr>
          </w:p>
        </w:tc>
        <w:tc>
          <w:tcPr>
            <w:tcW w:w="2460" w:type="dxa"/>
            <w:vAlign w:val="bottom"/>
            <w:gridSpan w:val="4"/>
          </w:tcPr>
          <w:p>
            <w:pPr>
              <w:jc w:val="right"/>
              <w:ind w:right="984"/>
              <w:spacing w:after="0"/>
              <w:rPr>
                <w:sz w:val="20"/>
                <w:szCs w:val="20"/>
                <w:color w:val="auto"/>
              </w:rPr>
            </w:pPr>
            <w:r>
              <w:rPr>
                <w:rFonts w:ascii="Arial" w:cs="Arial" w:eastAsia="Arial" w:hAnsi="Arial"/>
                <w:sz w:val="15"/>
                <w:szCs w:val="15"/>
                <w:b w:val="1"/>
                <w:bCs w:val="1"/>
                <w:color w:val="auto"/>
              </w:rPr>
              <w:t>June 30,</w:t>
            </w:r>
          </w:p>
        </w:tc>
      </w:tr>
      <w:tr>
        <w:trPr>
          <w:trHeight w:val="199"/>
        </w:trPr>
        <w:tc>
          <w:tcPr>
            <w:tcW w:w="55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color w:val="auto"/>
              </w:rPr>
              <w:t>Net revenues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478,690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426,705</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932,465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837,531</w:t>
            </w:r>
          </w:p>
        </w:tc>
      </w:tr>
      <w:tr>
        <w:trPr>
          <w:trHeight w:val="20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270,149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238,520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527,892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474,394</w:t>
            </w: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Gross profit</w:t>
            </w:r>
          </w:p>
        </w:tc>
        <w:tc>
          <w:tcPr>
            <w:tcW w:w="30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208,541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188,185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404,573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363,137</w:t>
            </w:r>
          </w:p>
        </w:tc>
      </w:tr>
      <w:tr>
        <w:trPr>
          <w:trHeight w:val="20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162,112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137,581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312,489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275,305</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Management fees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36,681</w:t>
            </w: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Amortization expense</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23,117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24,385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47,596</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Impairment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Operating income (loss)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(27,238)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7,480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(23,797)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(4,627)</w:t>
            </w:r>
          </w:p>
        </w:tc>
      </w:tr>
      <w:tr>
        <w:trPr>
          <w:trHeight w:val="20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(34,096)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(29,596)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(69,947)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(54,863)</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w:t>
            </w: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Loss on debt modification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(loss) on sale of Crosman (refer to Note C)</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(24,606)</w:t>
            </w:r>
          </w:p>
        </w:tc>
      </w:tr>
      <w:tr>
        <w:trPr>
          <w:trHeight w:val="201"/>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income (expense),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(88,084)</w:t>
            </w:r>
          </w:p>
        </w:tc>
      </w:tr>
      <w:tr>
        <w:trPr>
          <w:trHeight w:val="197"/>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from continuing operations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(110,635)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(174,189)</w:t>
            </w:r>
          </w:p>
        </w:tc>
      </w:tr>
      <w:tr>
        <w:trPr>
          <w:trHeight w:val="201"/>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17,358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19,896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18,703</w:t>
            </w:r>
          </w:p>
        </w:tc>
      </w:tr>
      <w:tr>
        <w:trPr>
          <w:trHeight w:val="197"/>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from continuing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(103,961)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(192,892)</w:t>
            </w: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Income from discontinued operations, net of income taxes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1,189</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 net of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r>
      <w:tr>
        <w:trPr>
          <w:trHeight w:val="195"/>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Net loss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(77,972)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(103,089)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(127,682)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(188,358)</w:t>
            </w:r>
          </w:p>
        </w:tc>
      </w:tr>
      <w:tr>
        <w:trPr>
          <w:trHeight w:val="150"/>
        </w:trPr>
        <w:tc>
          <w:tcPr>
            <w:tcW w:w="5560" w:type="dxa"/>
            <w:vAlign w:val="bottom"/>
            <w:shd w:val="clear" w:color="auto" w:fill="CCEEFF"/>
          </w:tcPr>
          <w:p>
            <w:pPr>
              <w:ind w:left="340"/>
              <w:spacing w:after="0" w:line="150" w:lineRule="exact"/>
              <w:rPr>
                <w:sz w:val="20"/>
                <w:szCs w:val="20"/>
                <w:color w:val="auto"/>
              </w:rPr>
            </w:pPr>
            <w:r>
              <w:rPr>
                <w:rFonts w:ascii="Arial" w:cs="Arial" w:eastAsia="Arial" w:hAnsi="Arial"/>
                <w:sz w:val="15"/>
                <w:szCs w:val="15"/>
                <w:color w:val="auto"/>
              </w:rPr>
              <w:t>Less: Net loss from continuing operations attributable to noncontrolling</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6"/>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(58,558)</w:t>
            </w:r>
          </w:p>
        </w:tc>
      </w:tr>
      <w:tr>
        <w:trPr>
          <w:trHeight w:val="149"/>
        </w:trPr>
        <w:tc>
          <w:tcPr>
            <w:tcW w:w="5560" w:type="dxa"/>
            <w:vAlign w:val="bottom"/>
          </w:tcPr>
          <w:p>
            <w:pPr>
              <w:ind w:left="340"/>
              <w:spacing w:after="0" w:line="149" w:lineRule="exact"/>
              <w:rPr>
                <w:sz w:val="20"/>
                <w:szCs w:val="20"/>
                <w:color w:val="auto"/>
              </w:rPr>
            </w:pPr>
            <w:r>
              <w:rPr>
                <w:rFonts w:ascii="Arial" w:cs="Arial" w:eastAsia="Arial" w:hAnsi="Arial"/>
                <w:sz w:val="15"/>
                <w:szCs w:val="15"/>
                <w:color w:val="auto"/>
              </w:rPr>
              <w:t>Less: Net loss from discontinued operations attributable to noncontrolling</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3"/>
        </w:trPr>
        <w:tc>
          <w:tcPr>
            <w:tcW w:w="5560" w:type="dxa"/>
            <w:vAlign w:val="bottom"/>
          </w:tcPr>
          <w:p>
            <w:pPr>
              <w:ind w:left="340"/>
              <w:spacing w:after="0"/>
              <w:rPr>
                <w:sz w:val="20"/>
                <w:szCs w:val="20"/>
                <w:color w:val="auto"/>
              </w:rPr>
            </w:pPr>
            <w:r>
              <w:rPr>
                <w:rFonts w:ascii="Arial" w:cs="Arial" w:eastAsia="Arial" w:hAnsi="Arial"/>
                <w:sz w:val="15"/>
                <w:szCs w:val="15"/>
                <w:color w:val="auto"/>
              </w:rPr>
              <w:t>interest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(571)</w:t>
            </w:r>
          </w:p>
        </w:tc>
      </w:tr>
      <w:tr>
        <w:trPr>
          <w:trHeight w:val="224"/>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loss attributable to Holdings</w:t>
            </w: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(129,229)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Loss from continuing operations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(54,022)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(74,159)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(84,059)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(134,334)</w:t>
            </w:r>
          </w:p>
        </w:tc>
      </w:tr>
      <w:tr>
        <w:trPr>
          <w:trHeight w:val="204"/>
        </w:trPr>
        <w:tc>
          <w:tcPr>
            <w:tcW w:w="5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from discontinued operations, net of income tax</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1,760</w:t>
            </w:r>
          </w:p>
        </w:tc>
      </w:tr>
      <w:tr>
        <w:trPr>
          <w:trHeight w:val="201"/>
        </w:trPr>
        <w:tc>
          <w:tcPr>
            <w:tcW w:w="5560" w:type="dxa"/>
            <w:vAlign w:val="bottom"/>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3,345</w:t>
            </w:r>
          </w:p>
        </w:tc>
      </w:tr>
      <w:tr>
        <w:trPr>
          <w:trHeight w:val="221"/>
        </w:trPr>
        <w:tc>
          <w:tcPr>
            <w:tcW w:w="5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Net loss attributable to Holdings</w:t>
            </w: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(129,229)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48"/>
        </w:trPr>
        <w:tc>
          <w:tcPr>
            <w:tcW w:w="55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Basic income (loss) per common share attributable to Holdings (refer to</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Note I)</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0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0.07</w:t>
            </w:r>
          </w:p>
        </w:tc>
      </w:tr>
      <w:tr>
        <w:trPr>
          <w:trHeight w:val="196"/>
        </w:trPr>
        <w:tc>
          <w:tcPr>
            <w:tcW w:w="5560" w:type="dxa"/>
            <w:vAlign w:val="bottom"/>
          </w:tcPr>
          <w:p>
            <w:pPr>
              <w:ind w:left="20"/>
              <w:spacing w:after="0"/>
              <w:rPr>
                <w:sz w:val="20"/>
                <w:szCs w:val="20"/>
                <w:color w:val="auto"/>
              </w:rPr>
            </w:pPr>
            <w:r>
              <w:rPr>
                <w:rFonts w:ascii="Arial" w:cs="Arial" w:eastAsia="Arial" w:hAnsi="Arial"/>
                <w:sz w:val="15"/>
                <w:szCs w:val="15"/>
                <w:b w:val="1"/>
                <w:bCs w:val="1"/>
                <w:color w:val="auto"/>
              </w:rPr>
              <w:t>Basic loss per common share attributable to Holdings (refer to Note I)</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5"/>
        </w:trPr>
        <w:tc>
          <w:tcPr>
            <w:tcW w:w="5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75,389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75,236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75,332</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5"/>
        </w:trPr>
        <w:tc>
          <w:tcPr>
            <w:tcW w:w="5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03"/>
        </w:trPr>
        <w:tc>
          <w:tcPr>
            <w:tcW w:w="5560" w:type="dxa"/>
            <w:vAlign w:val="bottom"/>
          </w:tcPr>
          <w:p>
            <w:pPr>
              <w:ind w:left="20"/>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0.50</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111125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5"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46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Six months ended</w:t>
            </w:r>
          </w:p>
        </w:tc>
      </w:tr>
      <w:tr>
        <w:trPr>
          <w:trHeight w:val="213"/>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80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8"/>
                <w:szCs w:val="18"/>
                <w:color w:val="auto"/>
              </w:rPr>
            </w:pPr>
          </w:p>
        </w:tc>
        <w:tc>
          <w:tcPr>
            <w:tcW w:w="2460" w:type="dxa"/>
            <w:vAlign w:val="bottom"/>
            <w:gridSpan w:val="4"/>
          </w:tcPr>
          <w:p>
            <w:pPr>
              <w:jc w:val="right"/>
              <w:ind w:right="964"/>
              <w:spacing w:after="0"/>
              <w:rPr>
                <w:sz w:val="20"/>
                <w:szCs w:val="20"/>
                <w:color w:val="auto"/>
              </w:rPr>
            </w:pPr>
            <w:r>
              <w:rPr>
                <w:rFonts w:ascii="Arial" w:cs="Arial" w:eastAsia="Arial" w:hAnsi="Arial"/>
                <w:sz w:val="15"/>
                <w:szCs w:val="15"/>
                <w:b w:val="1"/>
                <w:bCs w:val="1"/>
                <w:color w:val="auto"/>
              </w:rPr>
              <w:t>June 30,</w:t>
            </w:r>
          </w:p>
        </w:tc>
      </w:tr>
      <w:tr>
        <w:trPr>
          <w:trHeight w:val="199"/>
        </w:trPr>
        <w:tc>
          <w:tcPr>
            <w:tcW w:w="5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19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(As Restated)</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(127,682)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(188,358)</w:t>
            </w:r>
          </w:p>
        </w:tc>
      </w:tr>
      <w:tr>
        <w:trPr>
          <w:trHeight w:val="181"/>
        </w:trPr>
        <w:tc>
          <w:tcPr>
            <w:tcW w:w="562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56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(2,565)</w:t>
            </w:r>
          </w:p>
        </w:tc>
      </w:tr>
      <w:tr>
        <w:trPr>
          <w:trHeight w:val="201"/>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Pension benefit liability, net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(2,066)</w:t>
            </w:r>
          </w:p>
        </w:tc>
      </w:tr>
      <w:tr>
        <w:trPr>
          <w:trHeight w:val="197"/>
        </w:trPr>
        <w:tc>
          <w:tcPr>
            <w:tcW w:w="56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(4,631)</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Total comprehensive loss, net of tax</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(77,925)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(105,714)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(126,385)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(192,989)</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loss attributable to noncontrolling interests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(59,129)</w:t>
            </w: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loss attributable to noncontrolling 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r>
      <w:tr>
        <w:trPr>
          <w:trHeight w:val="22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loss attributable to Holdings, net of tax</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(133,754)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1"/>
                <w:szCs w:val="11"/>
                <w:color w:val="auto"/>
              </w:rPr>
            </w:pPr>
          </w:p>
        </w:tc>
        <w:tc>
          <w:tcPr>
            <w:tcW w:w="2100" w:type="dxa"/>
            <w:vAlign w:val="bottom"/>
            <w:gridSpan w:val="6"/>
            <w:vMerge w:val="restart"/>
          </w:tcPr>
          <w:p>
            <w:pPr>
              <w:jc w:val="center"/>
              <w:ind w:right="48"/>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8"/>
              </w:rPr>
              <w:t>Trust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740" w:type="dxa"/>
            <w:vAlign w:val="bottom"/>
          </w:tcPr>
          <w:p>
            <w:pPr>
              <w:jc w:val="right"/>
              <w:ind w:right="23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rPr>
              <w:t>Common</w:t>
            </w:r>
          </w:p>
        </w:tc>
        <w:tc>
          <w:tcPr>
            <w:tcW w:w="80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96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9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 April 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96,600</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96,593</w:t>
            </w: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$ 111,552</w:t>
            </w: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$1,282,521</w:t>
            </w: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(776,206)</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799,718</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(76,126)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16,679</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740,271</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2024, as restated</w:t>
            </w: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(73,052)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(29,802)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(103,089)</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net</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3,275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5,158</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8,976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8,976</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54"/>
        </w:trPr>
        <w:tc>
          <w:tcPr>
            <w:tcW w:w="13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Effect of subsidiary</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(18,846)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(18,846)</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June</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30, 2024, as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97,453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99,558</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$ 116,710</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$1,285,796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(874,205)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(4,628)</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711,345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(102,673)</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16,691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625,363</w:t>
            </w: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restated</w:t>
            </w:r>
          </w:p>
        </w:tc>
        <w:tc>
          <w:tcPr>
            <w:tcW w:w="1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 April 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111,907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177,112</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$ 187,950</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$1,288,975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(1,062,211)</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680,736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(167,091)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513,645</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2025</w:t>
            </w: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(51,217)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(51,217)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(77,972)</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(18,809)</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(9,714)</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June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112,010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177,771</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$ 188,049</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$1,288,951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(1,141,951)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(4,040)</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601,880</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(191,150)</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410,730</w:t>
            </w:r>
          </w:p>
        </w:tc>
        <w:tc>
          <w:tcPr>
            <w:tcW w:w="0" w:type="dxa"/>
            <w:vAlign w:val="bottom"/>
          </w:tcPr>
          <w:p>
            <w:pPr>
              <w:spacing w:after="0"/>
              <w:rPr>
                <w:sz w:val="1"/>
                <w:szCs w:val="1"/>
                <w:color w:val="auto"/>
              </w:rPr>
            </w:pPr>
          </w:p>
        </w:tc>
      </w:tr>
      <w:tr>
        <w:trPr>
          <w:trHeight w:val="158"/>
        </w:trPr>
        <w:tc>
          <w:tcPr>
            <w:tcW w:w="13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30, 2025</w:t>
            </w:r>
          </w:p>
        </w:tc>
        <w:tc>
          <w:tcPr>
            <w:tcW w:w="1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854" w:right="3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111125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54" w:right="3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1"/>
                <w:szCs w:val="11"/>
                <w:color w:val="auto"/>
              </w:rPr>
            </w:pPr>
          </w:p>
        </w:tc>
        <w:tc>
          <w:tcPr>
            <w:tcW w:w="2120" w:type="dxa"/>
            <w:vAlign w:val="bottom"/>
            <w:gridSpan w:val="6"/>
            <w:vMerge w:val="restart"/>
          </w:tcPr>
          <w:p>
            <w:pPr>
              <w:jc w:val="center"/>
              <w:ind w:right="29"/>
              <w:spacing w:after="0"/>
              <w:rPr>
                <w:sz w:val="20"/>
                <w:szCs w:val="20"/>
                <w:color w:val="auto"/>
              </w:rPr>
            </w:pPr>
            <w:r>
              <w:rPr>
                <w:rFonts w:ascii="Arial" w:cs="Arial" w:eastAsia="Arial" w:hAnsi="Arial"/>
                <w:sz w:val="13"/>
                <w:szCs w:val="13"/>
                <w:b w:val="1"/>
                <w:bCs w:val="1"/>
                <w:color w:val="auto"/>
              </w:rPr>
              <w:t>Trust Preferred Shares</w:t>
            </w:r>
          </w:p>
        </w:tc>
        <w:tc>
          <w:tcPr>
            <w:tcW w:w="8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8"/>
              </w:rPr>
              <w:t>Trust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8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0"/>
                <w:szCs w:val="10"/>
                <w:color w:val="auto"/>
              </w:rPr>
            </w:pPr>
          </w:p>
        </w:tc>
        <w:tc>
          <w:tcPr>
            <w:tcW w:w="740" w:type="dxa"/>
            <w:vAlign w:val="bottom"/>
          </w:tcPr>
          <w:p>
            <w:pPr>
              <w:jc w:val="right"/>
              <w:ind w:right="230"/>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rPr>
              <w:t>Common</w:t>
            </w:r>
          </w:p>
        </w:tc>
        <w:tc>
          <w:tcPr>
            <w:tcW w:w="80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96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rPr>
              <w:t>Attributable</w:t>
            </w:r>
          </w:p>
        </w:tc>
        <w:tc>
          <w:tcPr>
            <w:tcW w:w="9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Balance —</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January 1, 2024,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96,417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$1,281,303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(646,225)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929,660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(89,991)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16,756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856,425</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restated</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(129,229)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(129,229)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(58,558)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(188,358)</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4,493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5,713</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9,803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9,803</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8,257</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Acquisition of THP</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41,674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41,674</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Allocation Interests</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(refer to Note I)</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(37,664)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(37,664)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(37,664)</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June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30, 2024, as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97,453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99,558</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$ 116,710</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$1,285,796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(874,205)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(4,628)</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711,345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(102,673)</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16,691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625,363</w:t>
            </w:r>
          </w:p>
        </w:tc>
        <w:tc>
          <w:tcPr>
            <w:tcW w:w="0" w:type="dxa"/>
            <w:vAlign w:val="bottom"/>
          </w:tcPr>
          <w:p>
            <w:pPr>
              <w:spacing w:after="0"/>
              <w:rPr>
                <w:sz w:val="1"/>
                <w:szCs w:val="1"/>
                <w:color w:val="auto"/>
              </w:rPr>
            </w:pPr>
          </w:p>
        </w:tc>
      </w:tr>
      <w:tr>
        <w:trPr>
          <w:trHeight w:val="167"/>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restated</w:t>
            </w: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Balance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109,159</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147,906</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$ 161,767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$1,289,010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(1,004,975)</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678,620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(148,046)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530,574</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1, 2025</w:t>
            </w: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(127,682)</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Total other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comprehensive</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5"/>
        </w:trPr>
        <w:tc>
          <w:tcPr>
            <w:tcW w:w="13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Trust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29,865</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26,282</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58,998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58,998</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tcPr>
          <w:p>
            <w:pPr>
              <w:ind w:left="20"/>
              <w:spacing w:after="0" w:line="13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157"/>
        </w:trPr>
        <w:tc>
          <w:tcPr>
            <w:tcW w:w="1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Effect of subsidiary</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stock option</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Purchase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(6,468)</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Reclassification of</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noncontrolling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shareholder interest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liability</w:t>
            </w: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5" w:lineRule="exact"/>
              <w:rPr>
                <w:sz w:val="20"/>
                <w:szCs w:val="20"/>
                <w:color w:val="auto"/>
              </w:rPr>
            </w:pPr>
            <w:r>
              <w:rPr>
                <w:rFonts w:ascii="Arial" w:cs="Arial" w:eastAsia="Arial" w:hAnsi="Arial"/>
                <w:sz w:val="14"/>
                <w:szCs w:val="14"/>
                <w:color w:val="auto"/>
              </w:rPr>
              <w:t>Trust Common</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(37,618)</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 Preferred</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(18,148)</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 June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112,010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8"/>
              </w:rPr>
              <w:t>177,771</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$ 188,049</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$1,288,951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(1,141,951)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(4,040)</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601,880</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(191,150)</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410,730</w:t>
            </w:r>
          </w:p>
        </w:tc>
        <w:tc>
          <w:tcPr>
            <w:tcW w:w="0" w:type="dxa"/>
            <w:vAlign w:val="bottom"/>
          </w:tcPr>
          <w:p>
            <w:pPr>
              <w:spacing w:after="0"/>
              <w:rPr>
                <w:sz w:val="1"/>
                <w:szCs w:val="1"/>
                <w:color w:val="auto"/>
              </w:rPr>
            </w:pPr>
          </w:p>
        </w:tc>
      </w:tr>
      <w:tr>
        <w:trPr>
          <w:trHeight w:val="158"/>
        </w:trPr>
        <w:tc>
          <w:tcPr>
            <w:tcW w:w="13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30, 2025</w:t>
            </w:r>
          </w:p>
        </w:tc>
        <w:tc>
          <w:tcPr>
            <w:tcW w:w="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638" w:right="39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125730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638" w:right="399" w:bottom="1440" w:gutter="0" w:footer="0" w:header="0"/>
          <w:type w:val="continuous"/>
        </w:sectPr>
      </w:pPr>
    </w:p>
    <w:bookmarkStart w:id="11" w:name="page12"/>
    <w:bookmarkEnd w:id="11"/>
    <w:p>
      <w:pPr>
        <w:jc w:val="center"/>
        <w:ind w:right="159"/>
        <w:spacing w:after="0" w:line="399" w:lineRule="auto"/>
        <w:rPr>
          <w:sz w:val="20"/>
          <w:szCs w:val="20"/>
          <w:color w:val="auto"/>
        </w:rPr>
      </w:pPr>
      <w:r>
        <w:rPr>
          <w:rFonts w:ascii="Arial" w:cs="Arial" w:eastAsia="Arial" w:hAnsi="Arial"/>
          <w:sz w:val="16"/>
          <w:szCs w:val="16"/>
          <w:b w:val="1"/>
          <w:bCs w:val="1"/>
          <w:color w:val="auto"/>
        </w:rPr>
        <w:t>COMPASS DIVERSIFIED HOLDINGS CONDENSED CONSOLIDATED STATEMENTS OF CASH FLOWS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236"/>
        </w:trPr>
        <w:tc>
          <w:tcPr>
            <w:tcW w:w="6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(As Restated)</w:t>
            </w:r>
          </w:p>
        </w:tc>
      </w:tr>
      <w:tr>
        <w:trPr>
          <w:trHeight w:val="212"/>
        </w:trPr>
        <w:tc>
          <w:tcPr>
            <w:tcW w:w="600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(127,682)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(188,358)</w:t>
            </w:r>
          </w:p>
        </w:tc>
      </w:tr>
      <w:tr>
        <w:trPr>
          <w:trHeight w:val="267"/>
        </w:trPr>
        <w:tc>
          <w:tcPr>
            <w:tcW w:w="6000" w:type="dxa"/>
            <w:vAlign w:val="bottom"/>
          </w:tcPr>
          <w:p>
            <w:pPr>
              <w:ind w:left="140"/>
              <w:spacing w:after="0"/>
              <w:rPr>
                <w:sz w:val="20"/>
                <w:szCs w:val="20"/>
                <w:color w:val="auto"/>
              </w:rPr>
            </w:pPr>
            <w:r>
              <w:rPr>
                <w:rFonts w:ascii="Arial" w:cs="Arial" w:eastAsia="Arial" w:hAnsi="Arial"/>
                <w:sz w:val="15"/>
                <w:szCs w:val="15"/>
                <w:color w:val="auto"/>
              </w:rPr>
              <w:t>Income from discontinued operations</w:t>
            </w:r>
          </w:p>
        </w:tc>
        <w:tc>
          <w:tcPr>
            <w:tcW w:w="28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1,189</w:t>
            </w: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2,849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3,345</w:t>
            </w:r>
          </w:p>
        </w:tc>
      </w:tr>
      <w:tr>
        <w:trPr>
          <w:trHeight w:val="250"/>
        </w:trPr>
        <w:tc>
          <w:tcPr>
            <w:tcW w:w="6000" w:type="dxa"/>
            <w:vAlign w:val="bottom"/>
          </w:tcPr>
          <w:p>
            <w:pPr>
              <w:ind w:left="140"/>
              <w:spacing w:after="0"/>
              <w:rPr>
                <w:sz w:val="20"/>
                <w:szCs w:val="20"/>
                <w:color w:val="auto"/>
              </w:rPr>
            </w:pPr>
            <w:r>
              <w:rPr>
                <w:rFonts w:ascii="Arial" w:cs="Arial" w:eastAsia="Arial" w:hAnsi="Arial"/>
                <w:sz w:val="15"/>
                <w:szCs w:val="15"/>
                <w:color w:val="auto"/>
              </w:rPr>
              <w:t>Loss from continuing operations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(130,531)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(192,892)</w:t>
            </w:r>
          </w:p>
        </w:tc>
      </w:tr>
      <w:tr>
        <w:trPr>
          <w:trHeight w:val="259"/>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Depreciation expense</w:t>
            </w:r>
          </w:p>
        </w:tc>
        <w:tc>
          <w:tcPr>
            <w:tcW w:w="28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23,363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21,071</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expense - intangibles</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46,468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47,596</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Amortization expense - inventory step-up</w:t>
            </w:r>
          </w:p>
        </w:tc>
        <w:tc>
          <w:tcPr>
            <w:tcW w:w="28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3,689</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2,096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2,009</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Loss on debt modification</w:t>
            </w:r>
          </w:p>
        </w:tc>
        <w:tc>
          <w:tcPr>
            <w:tcW w:w="28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2,827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expense</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31,515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Loss on sale of Crosman</w:t>
            </w:r>
          </w:p>
        </w:tc>
        <w:tc>
          <w:tcPr>
            <w:tcW w:w="28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24,606</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Noncontrolling stockholder stock based compensation</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8,201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7,751</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Provision for receivable and inventory reserves</w:t>
            </w:r>
          </w:p>
        </w:tc>
        <w:tc>
          <w:tcPr>
            <w:tcW w:w="28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588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(4,555)</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3,629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(1,897)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463</w:t>
            </w:r>
          </w:p>
        </w:tc>
      </w:tr>
      <w:tr>
        <w:trPr>
          <w:trHeight w:val="27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(4,079)</w:t>
            </w:r>
          </w:p>
        </w:tc>
      </w:tr>
      <w:tr>
        <w:trPr>
          <w:trHeight w:val="273"/>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(34,564)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(19,225)</w:t>
            </w:r>
          </w:p>
        </w:tc>
      </w:tr>
      <w:tr>
        <w:trPr>
          <w:trHeight w:val="267"/>
        </w:trPr>
        <w:tc>
          <w:tcPr>
            <w:tcW w:w="6000" w:type="dxa"/>
            <w:vAlign w:val="bottom"/>
          </w:tcPr>
          <w:p>
            <w:pPr>
              <w:ind w:left="460"/>
              <w:spacing w:after="0"/>
              <w:rPr>
                <w:sz w:val="20"/>
                <w:szCs w:val="20"/>
                <w:color w:val="auto"/>
              </w:rPr>
            </w:pPr>
            <w:r>
              <w:rPr>
                <w:rFonts w:ascii="Arial" w:cs="Arial" w:eastAsia="Arial" w:hAnsi="Arial"/>
                <w:sz w:val="15"/>
                <w:szCs w:val="15"/>
                <w:color w:val="auto"/>
              </w:rPr>
              <w:t>Other current and non-current assets</w:t>
            </w:r>
          </w:p>
        </w:tc>
        <w:tc>
          <w:tcPr>
            <w:tcW w:w="280" w:type="dxa"/>
            <w:vAlign w:val="bottom"/>
          </w:tcPr>
          <w:p>
            <w:pPr>
              <w:spacing w:after="0"/>
              <w:rPr>
                <w:sz w:val="23"/>
                <w:szCs w:val="23"/>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4,400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445</w:t>
            </w:r>
          </w:p>
        </w:tc>
      </w:tr>
      <w:tr>
        <w:trPr>
          <w:trHeight w:val="270"/>
        </w:trPr>
        <w:tc>
          <w:tcPr>
            <w:tcW w:w="60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payable and accrued expenses</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12,009</w:t>
            </w:r>
          </w:p>
        </w:tc>
      </w:tr>
      <w:tr>
        <w:trPr>
          <w:trHeight w:val="250"/>
        </w:trPr>
        <w:tc>
          <w:tcPr>
            <w:tcW w:w="6000" w:type="dxa"/>
            <w:vAlign w:val="bottom"/>
          </w:tcPr>
          <w:p>
            <w:pPr>
              <w:ind w:left="660"/>
              <w:spacing w:after="0"/>
              <w:rPr>
                <w:sz w:val="20"/>
                <w:szCs w:val="20"/>
                <w:color w:val="auto"/>
              </w:rPr>
            </w:pPr>
            <w:r>
              <w:rPr>
                <w:rFonts w:ascii="Arial" w:cs="Arial" w:eastAsia="Arial" w:hAnsi="Arial"/>
                <w:sz w:val="15"/>
                <w:szCs w:val="15"/>
                <w:color w:val="auto"/>
              </w:rPr>
              <w:t>Cash used in operating activities - continuing operations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(64,508)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(93,591)</w:t>
            </w:r>
          </w:p>
        </w:tc>
      </w:tr>
      <w:tr>
        <w:trPr>
          <w:trHeight w:val="270"/>
        </w:trPr>
        <w:tc>
          <w:tcPr>
            <w:tcW w:w="60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Cash provided by operating activities - discontinued operations</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6,963</w:t>
            </w:r>
          </w:p>
        </w:tc>
      </w:tr>
      <w:tr>
        <w:trPr>
          <w:trHeight w:val="250"/>
        </w:trPr>
        <w:tc>
          <w:tcPr>
            <w:tcW w:w="6000" w:type="dxa"/>
            <w:vAlign w:val="bottom"/>
          </w:tcPr>
          <w:p>
            <w:pPr>
              <w:ind w:left="660"/>
              <w:spacing w:after="0"/>
              <w:rPr>
                <w:sz w:val="20"/>
                <w:szCs w:val="20"/>
                <w:color w:val="auto"/>
              </w:rPr>
            </w:pPr>
            <w:r>
              <w:rPr>
                <w:rFonts w:ascii="Arial" w:cs="Arial" w:eastAsia="Arial" w:hAnsi="Arial"/>
                <w:sz w:val="15"/>
                <w:szCs w:val="15"/>
                <w:color w:val="auto"/>
              </w:rPr>
              <w:t>Cash used in operating activities</w:t>
            </w: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(64,508)</w:t>
            </w: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(86,628)</w:t>
            </w:r>
          </w:p>
        </w:tc>
      </w:tr>
      <w:tr>
        <w:trPr>
          <w:trHeight w:val="234"/>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39"/>
        </w:trPr>
        <w:tc>
          <w:tcPr>
            <w:tcW w:w="60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9079"/>
          </w:cols>
          <w:pgMar w:left="1380" w:top="1070" w:right="1440" w:bottom="1440" w:gutter="0" w:footer="0" w:header="0"/>
        </w:sectPr>
      </w:pPr>
    </w:p>
    <w:p>
      <w:pPr>
        <w:ind w:left="140"/>
        <w:spacing w:after="0"/>
        <w:rPr>
          <w:sz w:val="20"/>
          <w:szCs w:val="20"/>
          <w:color w:val="auto"/>
        </w:rPr>
      </w:pPr>
      <w:r>
        <w:rPr>
          <w:rFonts w:ascii="Arial" w:cs="Arial" w:eastAsia="Arial" w:hAnsi="Arial"/>
          <w:sz w:val="15"/>
          <w:szCs w:val="15"/>
          <w:color w:val="auto"/>
        </w:rPr>
        <w:t>Acquisitions, net of cash acquired</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56661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6105" cy="171450"/>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 of businesses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56661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105" cy="171450"/>
                    </a:xfrm>
                    <a:prstGeom prst="rect">
                      <a:avLst/>
                    </a:prstGeom>
                    <a:noFill/>
                  </pic:spPr>
                </pic:pic>
              </a:graphicData>
            </a:graphic>
          </wp:anchor>
        </w:drawing>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Cash used in investing activities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56661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171450"/>
                    </a:xfrm>
                    <a:prstGeom prst="rect">
                      <a:avLst/>
                    </a:prstGeom>
                    <a:noFill/>
                  </pic:spPr>
                </pic:pic>
              </a:graphicData>
            </a:graphic>
          </wp:anchor>
        </w:drawing>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Cash used in investing activities - discontinued operations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Cash used in investing activities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400" w:type="dxa"/>
            <w:vAlign w:val="bottom"/>
          </w:tcPr>
          <w:p>
            <w:pPr>
              <w:jc w:val="right"/>
              <w:ind w:right="24"/>
              <w:spacing w:after="0"/>
              <w:rPr>
                <w:sz w:val="20"/>
                <w:szCs w:val="20"/>
                <w:color w:val="auto"/>
              </w:rPr>
            </w:pPr>
            <w:r>
              <w:rPr>
                <w:rFonts w:ascii="Arial" w:cs="Arial" w:eastAsia="Arial" w:hAnsi="Arial"/>
                <w:sz w:val="15"/>
                <w:szCs w:val="15"/>
                <w:color w:val="auto"/>
              </w:rPr>
              <w:t>495</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(379,524)</w:t>
            </w:r>
          </w:p>
        </w:tc>
      </w:tr>
      <w:tr>
        <w:trPr>
          <w:trHeight w:val="270"/>
        </w:trPr>
        <w:tc>
          <w:tcPr>
            <w:tcW w:w="1400" w:type="dxa"/>
            <w:vAlign w:val="bottom"/>
          </w:tcPr>
          <w:p>
            <w:pPr>
              <w:jc w:val="right"/>
              <w:spacing w:after="0"/>
              <w:rPr>
                <w:sz w:val="20"/>
                <w:szCs w:val="20"/>
                <w:color w:val="auto"/>
              </w:rPr>
            </w:pPr>
            <w:r>
              <w:rPr>
                <w:rFonts w:ascii="Arial" w:cs="Arial" w:eastAsia="Arial" w:hAnsi="Arial"/>
                <w:sz w:val="15"/>
                <w:szCs w:val="15"/>
                <w:color w:val="auto"/>
              </w:rPr>
              <w:t>(23,983)</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(18,713)</w:t>
            </w:r>
          </w:p>
        </w:tc>
      </w:tr>
      <w:tr>
        <w:trPr>
          <w:trHeight w:val="270"/>
        </w:trPr>
        <w:tc>
          <w:tcPr>
            <w:tcW w:w="1400" w:type="dxa"/>
            <w:vAlign w:val="bottom"/>
          </w:tcPr>
          <w:p>
            <w:pPr>
              <w:jc w:val="right"/>
              <w:ind w:right="24"/>
              <w:spacing w:after="0"/>
              <w:rPr>
                <w:sz w:val="20"/>
                <w:szCs w:val="20"/>
                <w:color w:val="auto"/>
              </w:rPr>
            </w:pPr>
            <w:r>
              <w:rPr>
                <w:rFonts w:ascii="Arial" w:cs="Arial" w:eastAsia="Arial" w:hAnsi="Arial"/>
                <w:sz w:val="15"/>
                <w:szCs w:val="15"/>
                <w:color w:val="auto"/>
              </w:rPr>
              <w:t>2,849</w:t>
            </w:r>
          </w:p>
        </w:tc>
        <w:tc>
          <w:tcPr>
            <w:tcW w:w="14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64,828</w:t>
            </w:r>
          </w:p>
        </w:tc>
      </w:tr>
      <w:tr>
        <w:trPr>
          <w:trHeight w:val="27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(1,548)</w:t>
            </w:r>
          </w:p>
        </w:tc>
        <w:tc>
          <w:tcPr>
            <w:tcW w:w="1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w:t>
            </w:r>
          </w:p>
        </w:tc>
      </w:tr>
      <w:tr>
        <w:trPr>
          <w:trHeight w:val="247"/>
        </w:trPr>
        <w:tc>
          <w:tcPr>
            <w:tcW w:w="1400" w:type="dxa"/>
            <w:vAlign w:val="bottom"/>
          </w:tcPr>
          <w:p>
            <w:pPr>
              <w:jc w:val="right"/>
              <w:spacing w:after="0"/>
              <w:rPr>
                <w:sz w:val="20"/>
                <w:szCs w:val="20"/>
                <w:color w:val="auto"/>
              </w:rPr>
            </w:pPr>
            <w:r>
              <w:rPr>
                <w:rFonts w:ascii="Arial" w:cs="Arial" w:eastAsia="Arial" w:hAnsi="Arial"/>
                <w:sz w:val="15"/>
                <w:szCs w:val="15"/>
                <w:color w:val="auto"/>
              </w:rPr>
              <w:t>(22,187)</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(335,767)</w:t>
            </w:r>
          </w:p>
        </w:tc>
      </w:tr>
    </w:tbl>
    <w:p>
      <w:pPr>
        <w:spacing w:after="0" w:line="7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—(307)</w:t>
      </w:r>
    </w:p>
    <w:p>
      <w:pPr>
        <w:spacing w:after="0" w:line="9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(22,187)(336,074)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85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185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3079"/>
          </w:cols>
          <w:pgMar w:left="1380" w:top="1070"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102235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79"/>
          </w:cols>
          <w:pgMar w:left="1380" w:top="1070" w:right="1440" w:bottom="1440" w:gutter="0" w:footer="0" w:header="0"/>
          <w:type w:val="continuous"/>
        </w:sectPr>
      </w:pPr>
    </w:p>
    <w:bookmarkStart w:id="12" w:name="page13"/>
    <w:bookmarkEnd w:id="12"/>
    <w:p>
      <w:pPr>
        <w:jc w:val="center"/>
        <w:ind w:right="-900"/>
        <w:spacing w:after="0"/>
        <w:rPr>
          <w:sz w:val="20"/>
          <w:szCs w:val="20"/>
          <w:color w:val="auto"/>
        </w:rPr>
      </w:pPr>
      <w:r>
        <w:rPr>
          <w:rFonts w:ascii="Arial" w:cs="Arial" w:eastAsia="Arial" w:hAnsi="Arial"/>
          <w:sz w:val="16"/>
          <w:szCs w:val="16"/>
          <w:b w:val="1"/>
          <w:bCs w:val="1"/>
          <w:color w:val="auto"/>
        </w:rPr>
        <w:t>COMPASS DIVERSIFIED HOLDINGS</w:t>
      </w:r>
    </w:p>
    <w:p>
      <w:pPr>
        <w:spacing w:after="0" w:line="7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7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(Unaudited)</w:t>
      </w:r>
    </w:p>
    <w:p>
      <w:pPr>
        <w:spacing w:after="0" w:line="337" w:lineRule="exact"/>
        <w:rPr>
          <w:sz w:val="20"/>
          <w:szCs w:val="20"/>
          <w:color w:val="auto"/>
        </w:rPr>
      </w:pPr>
    </w:p>
    <w:tbl>
      <w:tblPr>
        <w:tblLayout w:type="fixed"/>
        <w:tblInd w:w="1060" w:type="dxa"/>
        <w:tblCellMar>
          <w:top w:w="0" w:type="dxa"/>
          <w:left w:w="0" w:type="dxa"/>
          <w:bottom w:w="0" w:type="dxa"/>
          <w:right w:w="0" w:type="dxa"/>
        </w:tblCellMar>
      </w:tblPr>
      <w:tr>
        <w:trPr>
          <w:trHeight w:val="208"/>
        </w:trPr>
        <w:tc>
          <w:tcPr>
            <w:tcW w:w="6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6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Proceeds and expenses from issuance of Trust common shares, net</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4,493</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and expenses from issuance of Trust preferred shares, net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58,998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9,803</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Borrowings - revolving credit facility</w:t>
            </w:r>
          </w:p>
        </w:tc>
        <w:tc>
          <w:tcPr>
            <w:tcW w:w="2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73,500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237,000</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Repayments - revolving credit facility</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(183,000)</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Borrowings - term loan</w:t>
            </w:r>
          </w:p>
        </w:tc>
        <w:tc>
          <w:tcPr>
            <w:tcW w:w="2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200,000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Principal payments - term loan</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Subsidiary financing arrangements - borrowings</w:t>
            </w:r>
          </w:p>
        </w:tc>
        <w:tc>
          <w:tcPr>
            <w:tcW w:w="2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27,092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84,081</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Subsidiary financing arrangements - repayments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(45,836)</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Distributions paid - common shares</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(37,618)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(37,664)</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preferred shares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(18,148)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(12,146)</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2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(48,941)</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1,710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 - acquisitions</w:t>
            </w:r>
          </w:p>
        </w:tc>
        <w:tc>
          <w:tcPr>
            <w:tcW w:w="2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41,680</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noncontrolling interest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(2,859)</w:t>
            </w:r>
          </w:p>
        </w:tc>
      </w:tr>
      <w:tr>
        <w:trPr>
          <w:trHeight w:val="267"/>
        </w:trPr>
        <w:tc>
          <w:tcPr>
            <w:tcW w:w="6020" w:type="dxa"/>
            <w:vAlign w:val="bottom"/>
          </w:tcPr>
          <w:p>
            <w:pPr>
              <w:ind w:left="140"/>
              <w:spacing w:after="0"/>
              <w:rPr>
                <w:sz w:val="20"/>
                <w:szCs w:val="20"/>
                <w:color w:val="auto"/>
              </w:rPr>
            </w:pPr>
            <w:r>
              <w:rPr>
                <w:rFonts w:ascii="Arial" w:cs="Arial" w:eastAsia="Arial" w:hAnsi="Arial"/>
                <w:sz w:val="15"/>
                <w:szCs w:val="15"/>
                <w:color w:val="auto"/>
              </w:rPr>
              <w:t>Debt issuance costs</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(1,241)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70"/>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50"/>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98,378</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41,611</w:t>
            </w:r>
          </w:p>
        </w:tc>
      </w:tr>
      <w:tr>
        <w:trPr>
          <w:trHeight w:val="25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impact on cash</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w:t>
            </w:r>
          </w:p>
        </w:tc>
      </w:tr>
      <w:tr>
        <w:trPr>
          <w:trHeight w:val="267"/>
        </w:trPr>
        <w:tc>
          <w:tcPr>
            <w:tcW w:w="6020" w:type="dxa"/>
            <w:vAlign w:val="bottom"/>
          </w:tcPr>
          <w:p>
            <w:pPr>
              <w:ind w:left="660"/>
              <w:spacing w:after="0"/>
              <w:rPr>
                <w:sz w:val="20"/>
                <w:szCs w:val="20"/>
                <w:color w:val="auto"/>
              </w:rPr>
            </w:pPr>
            <w:r>
              <w:rPr>
                <w:rFonts w:ascii="Arial" w:cs="Arial" w:eastAsia="Arial" w:hAnsi="Arial"/>
                <w:sz w:val="15"/>
                <w:szCs w:val="15"/>
                <w:color w:val="auto"/>
              </w:rPr>
              <w:t>Net (decrease) increase in cash and cash equivalents</w:t>
            </w:r>
          </w:p>
        </w:tc>
        <w:tc>
          <w:tcPr>
            <w:tcW w:w="2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14,098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(382,108)</w:t>
            </w:r>
          </w:p>
        </w:tc>
      </w:tr>
      <w:tr>
        <w:trPr>
          <w:trHeight w:val="27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59,659</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450,409</w:t>
            </w:r>
          </w:p>
        </w:tc>
      </w:tr>
      <w:tr>
        <w:trPr>
          <w:trHeight w:val="223"/>
        </w:trPr>
        <w:tc>
          <w:tcPr>
            <w:tcW w:w="6020" w:type="dxa"/>
            <w:vAlign w:val="bottom"/>
          </w:tcPr>
          <w:p>
            <w:pPr>
              <w:ind w:left="140"/>
              <w:spacing w:after="0" w:line="223" w:lineRule="exact"/>
              <w:rPr>
                <w:sz w:val="20"/>
                <w:szCs w:val="20"/>
                <w:color w:val="auto"/>
              </w:rPr>
            </w:pPr>
            <w:r>
              <w:rPr>
                <w:rFonts w:ascii="Arial" w:cs="Arial" w:eastAsia="Arial" w:hAnsi="Arial"/>
                <w:sz w:val="15"/>
                <w:szCs w:val="15"/>
                <w:color w:val="auto"/>
              </w:rPr>
              <w:t xml:space="preserve">Cash and cash equivalents — end of period </w:t>
            </w:r>
            <w:r>
              <w:rPr>
                <w:rFonts w:ascii="Arial" w:cs="Arial" w:eastAsia="Arial" w:hAnsi="Arial"/>
                <w:sz w:val="23"/>
                <w:szCs w:val="23"/>
                <w:b w:val="1"/>
                <w:bCs w:val="1"/>
                <w:color w:val="auto"/>
                <w:vertAlign w:val="superscript"/>
              </w:rPr>
              <w:t>(2)</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73,757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68,301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Supplemental Cash Flow Disclosure:</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48"/>
        </w:trPr>
        <w:tc>
          <w:tcPr>
            <w:tcW w:w="602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5"/>
                <w:szCs w:val="15"/>
                <w:color w:val="auto"/>
              </w:rPr>
              <w:t xml:space="preserve">Non-cash financing activities </w:t>
            </w:r>
            <w:r>
              <w:rPr>
                <w:rFonts w:ascii="Arial" w:cs="Arial" w:eastAsia="Arial" w:hAnsi="Arial"/>
                <w:sz w:val="23"/>
                <w:szCs w:val="23"/>
                <w:b w:val="1"/>
                <w:bCs w:val="1"/>
                <w:color w:val="auto"/>
                <w:vertAlign w:val="superscript"/>
              </w:rPr>
              <w:t>(3)</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4,534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3,590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(1)</w:t>
      </w:r>
      <w:r>
        <w:rPr>
          <w:rFonts w:ascii="Arial" w:cs="Arial" w:eastAsia="Arial" w:hAnsi="Arial"/>
          <w:sz w:val="16"/>
          <w:szCs w:val="16"/>
          <w:color w:val="auto"/>
        </w:rPr>
        <w:t xml:space="preserve"> Includes cash from discontinued operations of $3.8 million at January 1, 2024.</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(2)</w:t>
      </w:r>
      <w:r>
        <w:rPr>
          <w:rFonts w:ascii="Arial" w:cs="Arial" w:eastAsia="Arial" w:hAnsi="Arial"/>
          <w:sz w:val="16"/>
          <w:szCs w:val="16"/>
          <w:color w:val="auto"/>
        </w:rPr>
        <w:t xml:space="preserve"> Includes cash from discontinued operations of $6.8 million at June 30, 2024.</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perscript"/>
        </w:rPr>
        <w:t>(3)</w:t>
      </w:r>
      <w:r>
        <w:rPr>
          <w:rFonts w:ascii="Arial" w:cs="Arial" w:eastAsia="Arial" w:hAnsi="Arial"/>
          <w:sz w:val="16"/>
          <w:szCs w:val="16"/>
          <w:color w:val="auto"/>
        </w:rPr>
        <w:t xml:space="preserve"> Represents the non-cash settlement of Lugano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0139"/>
          </w:cols>
          <w:pgMar w:left="320" w:top="1070"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0"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2025</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Compass Diversified Holdings, a Delaware statutory trust (the "Trust") and Compass Group Diversified Holdings LLC, a Delaware limited liability company (the "LLC"), were formed to acquire and manage a group of small and middle-market businesses headquartered in North America. Collectively, Compass Diversified Holdings and Compass Group Diversified Holdings, LLC are referred to as the "Company". In accordance with the Third Amended and Restated Trust Agreement, dated as of August 3, 2021 (as further amended and restated, the "Trust Agreement"), the Trust is sole owner of 100% of the Trust Interests (as defined in the LLC’s Sixth Amended and Restated Operating Agreement, dated as of August 3, 2021 (as further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LLC is a controlling owner of nine businesses, or operating segments, at June 30, 2025. The segments are as follows: 5.11 Acquisition Corp. ("5.11"), Boa Holdings Inc. ("BOA"), Lugano Holdings, Inc. ("Lugano Diamonds" or "Lugano"), Relentless Topco, Inc. ("PrimaLoft"), THP Topco, Inc. ("The Honey Pot Co." or "THP"), CBCP Products, LLC ("Velocity Outdoor" or "Velocity"), AMTAC Holdings LLC ("Arnold"), FFI Compass, Inc. ("Altor Solutions" or "Altor"), and SternoCandleLamp Holdings, Inc. ("Sterno"). The segments are referred to interchangeably as “businesses”, “operating segments” or “subsidiaries” throughout the financial statements. Refer to </w:t>
      </w:r>
      <w:r>
        <w:rPr>
          <w:rFonts w:ascii="Arial" w:cs="Arial" w:eastAsia="Arial" w:hAnsi="Arial"/>
          <w:sz w:val="18"/>
          <w:szCs w:val="18"/>
          <w:u w:val="single" w:color="auto"/>
          <w:color w:val="0000FF"/>
        </w:rPr>
        <w:t>Note P - "Operating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Segment Data"</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 operating segments. Compass Group Management LLC, a Delaware limited liability Company</w:t>
      </w:r>
      <w:r>
        <w:rPr>
          <w:rFonts w:ascii="Arial" w:cs="Arial" w:eastAsia="Arial" w:hAnsi="Arial"/>
          <w:sz w:val="18"/>
          <w:szCs w:val="18"/>
          <w:color w:val="0000FF"/>
        </w:rPr>
        <w:t xml:space="preserve"> </w:t>
      </w:r>
      <w:r>
        <w:rPr>
          <w:rFonts w:ascii="Arial" w:cs="Arial" w:eastAsia="Arial" w:hAnsi="Arial"/>
          <w:sz w:val="18"/>
          <w:szCs w:val="18"/>
          <w:color w:val="000000"/>
        </w:rPr>
        <w:t>("CGM" or the "Manager"), manages the day to day operations of the LLC and oversees the management and operations of our businesses pursuant to a management services agreement (the "Management Services Agreement" or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financial statements for the three and six month periods ended June 30, 2025 and June 30, 2024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2024 Form 10-K/A.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its Quarterly Report on Form 10-Q for the fiscal quarter ended March 31, 2025, filed with the Securities and Exchange Commission (the "SEC") on December 18, 2025, and its 2024 Annual Report on Form 10-K/A filed with the SEC on December 8, 2025, the Company disclosed that it was not in compliance with certain financial and other covenants under its 2022 Credit Facility, and that its forbearance agreement providing relief for such events of noncompliance was scheduled to expire on December 19, 2025. On December 19, 2025, the Company entered into the Fifth Amendment to its 2022 Credit Facility, which waived all existing events of default and reset certain financial covenants under the 2022 Credit Facility. Accordingly, as of the date of filing this Form 10-Q, the Company is in compliance with the non-financial covenants under its 2022 Credit Facility, as amended.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2022 Credit Facility provides that the financial covenants thereunder will not be tested again until the Company’s preparation and filing of its consolidated financial statements for the fiscal year ended December 31, 2025, which the Company expects to occur on or before March 31, 2026. Because this Form 10-Q has been filed shortly after execution of the Fifth Amendment, management has had limited ability to forecast its expectations for compliance with the amended covenants over the twelve-month look-forward period specified in Accounting Standard Codification Topic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xml:space="preserve"> (ASC 205-40), and such forecasts are subject to uncertainty.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t>If the Company were unable to comply with the amended financial covenants when they are next tested and is otherwise unable to obtain amendments, waivers, or other relief, the lenders under the 2022 Credit Facility, its lenders could elect to exercise available remedies, including but not limited to declaring borrowings due and payable, discontinuing further lending commitments, imposing cash-management controls, and instructing customers to remit payments directly to the administrative agent. If borrowings under the 2022 Credit Facility were accelerated and the acceleration were not rescinded, annulled, or otherwise cured within thirty (30) days after the notice of acceleration, the holders of the 5.250% Senior Notes due 2029 (the “2029 Notes” or “2029 Senior Notes”) and 5.000% Senior Notes due 2032 (the “2032 Notes” or “2032 Senior Notes”) would have the right to declare the notes due and payable as well.</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Fifth Amendment provides relief from existing events of default, it does not eliminate the risk that the Company may be unable to comply with the amended covenants when they are next tested, and any additional amendments, waivers or other relief that may be required are not fully within the Company’s control and therefore cannot be considered a probable mitigating plan for purposes of alleviating substantial doubt. Accordingly, management has concluded, applying the going-concern guidance under U.S. GAAP, that these conditions continue to raise substantial doubt about the Company’s ability to continue as a going concern within one year after the date the consolidated financial statements included in this Form 10-Q are issued.</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pursue various operational and financial initiatives intended to strengthen liquidity and reduce leverage, including evaluating potential subsidiary divestitures, organic deleveraging actions, potential strategic transactions involving real estate, and actions to maximize recoveries in connection with Lugano’s Chapter 11 proceedings. If successfully executed, these plans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Restatement of Previously Reported Interim Financial Statements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April 2025 the Audit Committee of the Company's board of directors (the “Audit Committee”) of the Company commenced an internal investigation into the financing, accounting, and inventory practices of Lugano Holding, Inc. (“Lugano”), a subsidiary and operating segment of the Company, based on concerns reported to Company management as to these practices. The findings of the investigation (the "Lugano Investigation") identified certain unrecorded financing arrangements and irregularities in sales, cost of sales, inventory, and accounts receivable recorded by Lugano. As a result of these findings, the Company restated its previously issued audited consolidated financial statements as of December 31, 2024, 2023 and 2022 and for the years ended December 31, 2024, 2023 and 2022 as well as the interim periods in the years ended December 31, 2024, 2023 and 2022 (collectively, the “Affected Periods”) for the correction of historical financial information related to Lugano. Management identified misstatements in each of the Affected Periods that the Company deemed to be material as a result of the Lugano Investigation.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Previously reported information as of June 30, 2024 and for the three and six months ended June 30, 2024 in this Form 10-Q have been updated to reflect the restatement.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completed the sale of EBP Lifestyle Brands Holdings, Inc. (“Ergobaby”) during the fourth quarter of 2024. The results of operations of Ergobaby are reported as discontinued operations in the condensed consolidated statements of operations for the three and six months ended June 30, 2024. Refer to </w:t>
      </w:r>
      <w:r>
        <w:rPr>
          <w:rFonts w:ascii="Arial" w:cs="Arial" w:eastAsia="Arial" w:hAnsi="Arial"/>
          <w:sz w:val="18"/>
          <w:szCs w:val="18"/>
          <w:u w:val="single" w:color="auto"/>
          <w:color w:val="0000FF"/>
        </w:rPr>
        <w:t>Note C - "Dispositions"</w:t>
      </w:r>
      <w:r>
        <w:rPr>
          <w:rFonts w:ascii="Arial" w:cs="Arial" w:eastAsia="Arial" w:hAnsi="Arial"/>
          <w:sz w:val="18"/>
          <w:szCs w:val="18"/>
          <w:color w:val="auto"/>
        </w:rPr>
        <w:t xml:space="preserve"> for additional information. Unless otherwise indicated, the disclosures accompanying the condensed consolidated financial statements reflect the Company's continuing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 three years, there has generally been less seasonality in our net sales on a consolidated basis in recent years than there was historically.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Financial Accounting Standards Board ("FASB") issued ASU No. 2023-07, Segment Reporting (Topic 280): Improvements to Reportable Segment Disclosures. This guidance will require, among other things, the following: (i) enhanced disclosures about significant segment expenses that are regularly provided to the chief operating decision maker ("CODM") and included in a segment's reported measure of profit or loss; (ii) disclosure of the amount and description of the composition of other segment items, as defined in ASU 2023-07, by reportable segment; and (iii) reporting the disclosures about each reportable segment's profit or loss and assets on an annual and interim basis. The guidance went into effect for fiscal years beginning after December 15, 2023, and interim periods within fiscal years beginning after December 15, 2024. The Company adopted the new standard as of the year ended December 31, 2024, and applied it retrospectively to all prior periods presented (refer to "</w:t>
      </w:r>
      <w:r>
        <w:rPr>
          <w:rFonts w:ascii="Arial" w:cs="Arial" w:eastAsia="Arial" w:hAnsi="Arial"/>
          <w:sz w:val="18"/>
          <w:szCs w:val="18"/>
          <w:u w:val="single" w:color="auto"/>
          <w:color w:val="0000FF"/>
        </w:rPr>
        <w:t>Note P - Operating Segment Data</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will be effective for annual periods beginning after December 15, 2024 and early adoption is permitted. The Company has determined that this ASU will result in additional disclosures in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Expense Disaggregation Disclosures (Subtopic 220-40). This guidance will require the disclosure of disaggregation of certain relevant expenses included in the consolidated statements of operations. The guidance will be effective for annual reporting periods beginning after December 15, 2026 and for interim reporting periods beginning December 15, 2027, with early adoption permitted. The Company is currently evaluating the impact this standard will have on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NYSE Notice of Failure to Satisfy a Continued Listing Rule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20, 2025, the Company received a notice from the NYSE indicating that the Company was no longer in compliance with the timely filing criteria outlined in Section 802.01E of the NYSE-Listed Company Manual due to the Company’s failure to timely file its Quarterly Report on Form 10-Q for the quarter ended March 31, 2025. Under NYSE rules, the Company was provided with six months to cure its filing delinquencies by filing its delinquent filings with the SEC. Prior to the expiration of the six month cure period, the Company requested that NYSE exercise its discretionary authority to grant the Company additional time to file its delinquent filings. On November 18, 2025, NYSE extended the Company’s compliance period until January 20, 2026.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acquisitions of our businesses are accounted for under the acquisition method of accounting. For each platform acquisition, the Company typically structures the transaction so that a newly created holding company acquires 100% of the equity interests in the acquired business. The entirety of the purchase consideration is paid by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auto"/>
        </w:rPr>
        <w:t>newly created holding company to the selling shareholders. The total purchase consideration is the amount paid to the selling shareholders and we will, from time to time, allow the selling shareholder to reinvest a portion of their proceeds alongside the Company at the same price per share, into the holding company that acquires the target business. Once the acquisition is complete, the selling shareholders no longer hold equity interests in the acquired company, but rather hold noncontrolling interest in the holding company that acquired the target business. Because the selling shareholders are investing in the transaction alongside the Company at the same price per share as the Company and are not retaining their existing equity in the acquired business, the Company includes the amount provided by noncontrolling shareholders in the total purchase consideration.</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typically through our existing credit facility. The debt capital is in the form of “intercompany loans” made by the LLC to the newly created holding company and the acquired business and are due from the newly created holding company and the acquired business, and payable to the LLC by the newly created holding company and the acquired business. The selling shareholders of the acquired businesses are not a party to the intercompany loan agreements nor do they have any obligation to repay the intercompany loans. These intercompany loans eliminate in consolidation and are not reflected on the Company's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 Co.</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2024 (the "Closing Date"), the LLC, through its newly formed acquisition subsidiaries, THP Topco, Inc., a Delaware corporation (“THP Topco”) and THP Intermediate, Inc., a Delaware corporation (“THP Buyer”), acquired The Honey Pot Company Holdings, LLC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with THP surviving such that the separate existence of THP Merger Sub ceased, with THP surviving the Merger as a wholly-owned, indirect subsidiary of the THP Topco. THP is the parent company of The Honey Pot Company (DE), LLC (“The Honey Pot Co.”).</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acquired THP for a total purchase price, including proceeds from noncontrolling shareholders, of approximately $380 million (the “THP Purchase Price”), before working capital and certain other adjustments, at the Closing Date. The Company funded the THP Purchase Price with cash on hand. Certain equity holders of THP invested in the transaction along with the Company, representing 15% of the initial equity interest in THP Topco. The Company directly owns approximately 85% of THP Topco, which in turn indirectly owns all of the issued and outstanding equity interests of THP and The Honey Pot Co. Concurrent with the Closing Date, the Company provided a credit facility to THP Buyer, THP and The Honey Pot Co., as borrowers (the “THP Credit Agreement”), pursuant to which a secured revolving loan commitment and secured term loans were made available to Buyer, THP and The Honey Pot Co. (collectively, the “Borrowers”). The initial amount outstanding under these facilities on the Closing Date was approximately $110 million.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is a feminine care brand that offers an extensive range of holistic wellness products across feminine hygiene, menstrual, consumer health, and sexual wellness categories. The Honey Pot Co.’s mission is to educate, support, and provide consumers around the world with the tools and resources that promote menstrual health and vaginal wellness.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Honey Pot Co. have been included in the consolidated results of operations since the date of acquisition. The Honey Pot Co.'s results of operations are reported as a separate operating segment as a branded consumer business. The table below provides the recording of the fair value of assets acquired and liabilities assumed as of the date of acquisition.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tbl>
      <w:tblPr>
        <w:tblLayout w:type="fixed"/>
        <w:tblInd w:w="240" w:type="dxa"/>
        <w:tblCellMar>
          <w:top w:w="0" w:type="dxa"/>
          <w:left w:w="0" w:type="dxa"/>
          <w:bottom w:w="0" w:type="dxa"/>
          <w:right w:w="0" w:type="dxa"/>
        </w:tblCellMar>
      </w:tblPr>
      <w:tr>
        <w:trPr>
          <w:trHeight w:val="162"/>
        </w:trPr>
        <w:tc>
          <w:tcPr>
            <w:tcW w:w="4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Preliminary Purchase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240"/>
              <w:spacing w:after="0" w:line="162" w:lineRule="exact"/>
              <w:rPr>
                <w:sz w:val="20"/>
                <w:szCs w:val="20"/>
                <w:color w:val="auto"/>
              </w:rPr>
            </w:pPr>
            <w:r>
              <w:rPr>
                <w:rFonts w:ascii="Arial" w:cs="Arial" w:eastAsia="Arial" w:hAnsi="Arial"/>
                <w:sz w:val="15"/>
                <w:szCs w:val="15"/>
                <w:b w:val="1"/>
                <w:bCs w:val="1"/>
                <w:color w:val="auto"/>
              </w:rPr>
              <w:t>Measurement Period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Final Purchase Price</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rPr>
              <w:t>Price Allocation</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5"/>
                <w:szCs w:val="15"/>
                <w:b w:val="1"/>
                <w:bCs w:val="1"/>
                <w:color w:val="auto"/>
              </w:rPr>
              <w:t>Adjustments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Purchase Consideration</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of identifiable assets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Cash</w:t>
            </w:r>
          </w:p>
        </w:tc>
        <w:tc>
          <w:tcPr>
            <w:tcW w:w="3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4,076</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(3,320)</w:t>
            </w:r>
          </w:p>
        </w:tc>
        <w:tc>
          <w:tcPr>
            <w:tcW w:w="3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b w:val="1"/>
                <w:bCs w:val="1"/>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247,000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identifiable assets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292,269</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313,249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Fair value of liabilities assumed: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40,283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42,963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6"/>
                <w:szCs w:val="16"/>
                <w:color w:val="auto"/>
              </w:rPr>
              <w:t>Net identifiable assets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251,986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270,286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(21,096)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107,039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5"/>
                <w:szCs w:val="15"/>
                <w:b w:val="1"/>
                <w:bCs w:val="1"/>
                <w:color w:val="auto"/>
              </w:rPr>
              <w:t>Acquisition consideration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Purchase price</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Estimated cash 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Net working capital 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Other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380,121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fair value of accounts receivable approximates book value acquired.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allocation presented above is based upon management's estimate of the fair values using valuation techniques including income, cost and market approaches. In estimating the fair value of the identifiable acquired assets and assumed liabilities, the fair value estimates are based on, but not limited to, expected future revenue and cash flows, expected future growth rates and estimated discount rates. Current and noncurrent assets, property, plant and equipment and current and other liabilities are estimated at their historical carrying values, which approximates fair value. Inventory is recognized at fair value, with finished goods stated at selling price less an estimated cost to sell. Property, plant and equipment will be depreciated on a straight-line basis over the remaining useful lives of the assets. Goodwill is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goodwill of $107.0 million reflects the strategic fit of The Honey Pot Co. in the Company's branded consumer business and is not expected to be deductible for income tax purposes.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2024, the purchase price allocation for The Honey Pot Co. was adjusted to reflect certain measurement period adjustments due to updated intangible asset valuation and an adjustment to deferred tax liabilities. Customer relationships was increased $24.3 million, with a corresponding decrease to goodwill. Deferred income tax liability increased $2.7 million, with a corresponding decrease to goodwill. In the third quarter of 2024, the purchase price of The Honey Pot Co. was adjusted to reflect the working capital settlement, additional purchase consideration of $0.5 million, and the related tax effect. The purchase price allocation for The Honey Pot Co. was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final as of September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Honey Pot Co. acquisition are as follows (in thousands):</w:t>
      </w:r>
    </w:p>
    <w:p>
      <w:pPr>
        <w:spacing w:after="0" w:line="139"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4"/>
                <w:szCs w:val="14"/>
                <w:color w:val="auto"/>
              </w:rPr>
            </w:pPr>
          </w:p>
        </w:tc>
        <w:tc>
          <w:tcPr>
            <w:tcW w:w="1780" w:type="dxa"/>
            <w:vAlign w:val="bottom"/>
            <w:vMerge w:val="restart"/>
          </w:tcPr>
          <w:p>
            <w:pPr>
              <w:jc w:val="right"/>
              <w:ind w:right="660"/>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Tradename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 years</w:t>
            </w:r>
          </w:p>
        </w:tc>
        <w:tc>
          <w:tcPr>
            <w:tcW w:w="0" w:type="dxa"/>
            <w:vAlign w:val="bottom"/>
          </w:tcPr>
          <w:p>
            <w:pPr>
              <w:spacing w:after="0"/>
              <w:rPr>
                <w:sz w:val="1"/>
                <w:szCs w:val="1"/>
                <w:color w:val="auto"/>
              </w:rPr>
            </w:pPr>
          </w:p>
        </w:tc>
      </w:tr>
      <w:tr>
        <w:trPr>
          <w:trHeight w:val="215"/>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46,300</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13 years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271,300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tradename was considered the primary intangible asset and was valued at $225.0 million using a multi-period excess earnings method. The customer relationships were valued at $46.3 million using a multi-period excess earnings method. The multi-period excess earnings method assumes an asset has value to the extent that it enables its owners to earn a return in excess of the other assets utilized in the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proforma information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proforma data for the six months ended June 30, 2024 gives effect to the acquisition of The Honey Pot Co., as described above, and the disposition of Ergo, as if these transactions had been completed as of January 1, 2024. The proforma data gives effect to historical operating results with adjustments to interest expense, amortization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June 30, 2024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41"/>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848,202</w:t>
            </w: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369,471</w:t>
            </w: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Net loss from 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(193,064)</w:t>
            </w: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(134,727)</w:t>
            </w:r>
          </w:p>
        </w:tc>
        <w:tc>
          <w:tcPr>
            <w:tcW w:w="0" w:type="dxa"/>
            <w:vAlign w:val="bottom"/>
          </w:tcPr>
          <w:p>
            <w:pPr>
              <w:spacing w:after="0"/>
              <w:rPr>
                <w:sz w:val="1"/>
                <w:szCs w:val="1"/>
                <w:color w:val="auto"/>
              </w:rPr>
            </w:pPr>
          </w:p>
        </w:tc>
      </w:tr>
      <w:tr>
        <w:trPr>
          <w:trHeight w:val="162"/>
        </w:trPr>
        <w:tc>
          <w:tcPr>
            <w:tcW w:w="6660" w:type="dxa"/>
            <w:vAlign w:val="bottom"/>
          </w:tcPr>
          <w:p>
            <w:pPr>
              <w:ind w:left="20"/>
              <w:spacing w:after="0" w:line="162" w:lineRule="exact"/>
              <w:rPr>
                <w:sz w:val="20"/>
                <w:szCs w:val="20"/>
                <w:color w:val="auto"/>
              </w:rPr>
            </w:pPr>
            <w:r>
              <w:rPr>
                <w:rFonts w:ascii="Arial" w:cs="Arial" w:eastAsia="Arial" w:hAnsi="Arial"/>
                <w:sz w:val="16"/>
                <w:szCs w:val="16"/>
                <w:color w:val="auto"/>
              </w:rPr>
              <w:t>Basic and fully diluted net loss per share from continuing operations attributable to</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Holdings</w:t>
            </w:r>
          </w:p>
        </w:tc>
        <w:tc>
          <w:tcPr>
            <w:tcW w:w="22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Altor Solutions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Lifoam </w:t>
      </w:r>
      <w:r>
        <w:rPr>
          <w:rFonts w:ascii="Arial" w:cs="Arial" w:eastAsia="Arial" w:hAnsi="Arial"/>
          <w:sz w:val="18"/>
          <w:szCs w:val="18"/>
          <w:color w:val="auto"/>
        </w:rPr>
        <w:t>- On October 1, 2024, Altor Solutions acquired 100% of the outstanding equity interests of Lifoam Industries LLC, a Delaware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(“Lifoam”) pursuant to a Purchase and Sale Agreement entered into on August 19, 2024 (the “Lifoam Acquisition”). Lifoam is a manufacturer and distributor of temperature-controlled shipping solutions. The purchase price was $139.3 million, after working capital settlement and other adjustments to the purchase price. Altor incurred transaction costs of approximately $ 1.8 million, which were included in selling, general and administrative expense in the consolidated statement of operations in the quarter ended December 31, 2024. The acquisition and related transaction costs were funded through additional term loans of $143.7 million under the Altor intercompany credit agreement. The Company funded the additional intercompany loans used for the acquisition of Lifoam with a draw on the 2022 Revolving Credit Facility. Altor recorded a purchase price allocation of $19.4 million in goodwill, which is expected to be deductible for income tax purposes, $49.4 million in intangible assets comprised of $39.5 million in customer relationships and $9.9 million in tradenames, $24 million in capital asset step-up and $1.6 million in inventory step-up. The purchase price allocation was finalized in the first quarter of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Dispositions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Ergobaby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2024, the LLC, solely in its capacity as the representative of the holders of stock and options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EBP Lifestyle Brands Holdings, Inc. (“Ergobaby”), a majority owned subsidiary of the Company, entered into a definitive Agreement and Plan of Merger (the “Ergobaby Merger Agreement”) with ERGO Acquisition LLC (“Ergo Acquirer”), Aloha Merger Sub LLC ( “Aloha Merger Sub”) and Ergobaby, to sell to Ergo Acquirer all of the issued and outstanding securities of Ergobaby, the parent company of the operating entity, The ERGO Baby Carrier, Inc., through a merger of Aloha Merger Sub with and into Ergobaby, with Ergobaby surviving the merger and becoming a wholly owned subsidiary of Acquirer (the “Ergobaby Merger”). On the same day, December 27, 2024, the parties completed the Ergobaby Merger pursuant to the Ergobaby Merger Agreement.</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price of Ergobaby was based on an enterprise value of $ 104 million and was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Ergobaby Merger. After the allocation of the sales price to Ergobaby non-controlling equityholders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 in the fourth quarter of 2024. In the second quarter of 2025, the Company received a net working capital settlement of $2.8 million related to the sale of Ergobaby, which was recognized as additional gain on sale of discontinued operations in the accompanying condensed consolidated statement of operations. The proceeds from the Ergobaby sale were used to pay down outstanding debt under the Company’s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Ergobaby for the three and six months ended June 30, 2024 are as follows (in thousands):</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Arial" w:cs="Arial" w:eastAsia="Arial" w:hAnsi="Arial"/>
                <w:sz w:val="15"/>
                <w:szCs w:val="15"/>
                <w:b w:val="1"/>
                <w:bCs w:val="1"/>
                <w:color w:val="auto"/>
              </w:rPr>
              <w:t>Three months ended June</w:t>
            </w:r>
          </w:p>
        </w:tc>
        <w:tc>
          <w:tcPr>
            <w:tcW w:w="100" w:type="dxa"/>
            <w:vAlign w:val="bottom"/>
          </w:tcPr>
          <w:p>
            <w:pPr>
              <w:spacing w:after="0"/>
              <w:rPr>
                <w:sz w:val="14"/>
                <w:szCs w:val="14"/>
                <w:color w:val="auto"/>
              </w:rPr>
            </w:pPr>
          </w:p>
        </w:tc>
        <w:tc>
          <w:tcPr>
            <w:tcW w:w="1880" w:type="dxa"/>
            <w:vAlign w:val="bottom"/>
          </w:tcPr>
          <w:p>
            <w:pPr>
              <w:jc w:val="right"/>
              <w:ind w:right="64"/>
              <w:spacing w:after="0"/>
              <w:rPr>
                <w:sz w:val="20"/>
                <w:szCs w:val="20"/>
                <w:color w:val="auto"/>
              </w:rPr>
            </w:pPr>
            <w:r>
              <w:rPr>
                <w:rFonts w:ascii="Arial" w:cs="Arial" w:eastAsia="Arial" w:hAnsi="Arial"/>
                <w:sz w:val="15"/>
                <w:szCs w:val="15"/>
                <w:b w:val="1"/>
                <w:bCs w:val="1"/>
                <w:color w:val="auto"/>
              </w:rPr>
              <w:t>Six months ended June</w:t>
            </w:r>
          </w:p>
        </w:tc>
      </w:tr>
      <w:tr>
        <w:trPr>
          <w:trHeight w:val="213"/>
        </w:trPr>
        <w:tc>
          <w:tcPr>
            <w:tcW w:w="55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30, 2024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30, 2024</w:t>
            </w:r>
          </w:p>
        </w:tc>
      </w:tr>
      <w:tr>
        <w:trPr>
          <w:trHeight w:val="199"/>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28,557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49,775</w:t>
            </w:r>
          </w:p>
        </w:tc>
      </w:tr>
      <w:tr>
        <w:trPr>
          <w:trHeight w:val="201"/>
        </w:trPr>
        <w:tc>
          <w:tcPr>
            <w:tcW w:w="55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40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18,393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32,351</w:t>
            </w:r>
          </w:p>
        </w:tc>
      </w:tr>
      <w:tr>
        <w:trPr>
          <w:trHeight w:val="204"/>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1,564</w:t>
            </w:r>
          </w:p>
        </w:tc>
      </w:tr>
      <w:tr>
        <w:trPr>
          <w:trHeight w:val="203"/>
        </w:trPr>
        <w:tc>
          <w:tcPr>
            <w:tcW w:w="558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from operations before income taxes </w:t>
            </w:r>
            <w:r>
              <w:rPr>
                <w:rFonts w:ascii="Arial" w:cs="Arial" w:eastAsia="Arial" w:hAnsi="Arial"/>
                <w:sz w:val="21"/>
                <w:szCs w:val="21"/>
                <w:b w:val="1"/>
                <w:bCs w:val="1"/>
                <w:color w:val="auto"/>
                <w:vertAlign w:val="superscript"/>
              </w:rPr>
              <w:t>(1)</w:t>
            </w:r>
          </w:p>
        </w:tc>
        <w:tc>
          <w:tcPr>
            <w:tcW w:w="40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2,562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1,569</w:t>
            </w: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380</w:t>
            </w:r>
          </w:p>
        </w:tc>
      </w:tr>
      <w:tr>
        <w:trPr>
          <w:trHeight w:val="271"/>
        </w:trPr>
        <w:tc>
          <w:tcPr>
            <w:tcW w:w="5580" w:type="dxa"/>
            <w:vAlign w:val="bottom"/>
          </w:tcPr>
          <w:p>
            <w:pPr>
              <w:ind w:left="20"/>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873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1,189</w:t>
            </w:r>
          </w:p>
        </w:tc>
      </w:tr>
    </w:tbl>
    <w:p>
      <w:pPr>
        <w:spacing w:after="0" w:line="169" w:lineRule="exact"/>
        <w:rPr>
          <w:sz w:val="20"/>
          <w:szCs w:val="20"/>
          <w:color w:val="auto"/>
        </w:rPr>
      </w:pPr>
    </w:p>
    <w:p>
      <w:pPr>
        <w:ind w:firstLine="8"/>
        <w:spacing w:after="0" w:line="293" w:lineRule="auto"/>
        <w:tabs>
          <w:tab w:leader="none" w:pos="175" w:val="left"/>
        </w:tabs>
        <w:numPr>
          <w:ilvl w:val="0"/>
          <w:numId w:val="8"/>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three and six months ended June 30, 2024, excludes $2.2 million and $4.3 million of intercompany interest expense,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Crosman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2024, Velocity Outdoor entered into a stock purchase agreement to sell Crosman Corporation ("Crosman"), its airgun product division, to Daisy Manufacturing Company, for an enterprise value of approximately $63 million. The sale was completed on the same day. The Company recorded a loss of $24.6 million on the sale of Crosman in the quarter ended June 30, 2024, and a gain of $0.4 million in the third quarter of 2024 related to the working capital settlement. Velocity received net proceeds of approximately $61.9 million related to the sale of Crosman, which was used to repay amounts outstanding under its intercompany credit agreement. The results of operation of Crosman are included in the accompanying financial statements through the date of sale.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operating segment and by geography for each strategic business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8"/>
          <w:szCs w:val="18"/>
          <w:color w:val="auto"/>
        </w:rPr>
        <w:t>financial performance to the investors and other users of its financial statements. Each strategic business unit represents the Company’s reportable segments and offers different products and services.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and six months ended June 30, 2025 and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92075</wp:posOffset>
            </wp:positionV>
            <wp:extent cx="6892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June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Europe</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209"/>
        </w:trPr>
        <w:tc>
          <w:tcPr>
            <w:tcW w:w="20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131,442</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48,369</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26,771</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24,855</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32,798</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15,213</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83,305</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38,432</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77,505</w:t>
            </w:r>
          </w:p>
        </w:tc>
        <w:tc>
          <w:tcPr>
            <w:tcW w:w="18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369,273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45,675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40,277</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478,690</w:t>
            </w:r>
          </w:p>
        </w:tc>
        <w:tc>
          <w:tcPr>
            <w:tcW w:w="1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340"/>
              <w:spacing w:after="0"/>
              <w:rPr>
                <w:sz w:val="20"/>
                <w:szCs w:val="20"/>
                <w:color w:val="auto"/>
              </w:rPr>
            </w:pPr>
            <w:r>
              <w:rPr>
                <w:rFonts w:ascii="Arial" w:cs="Arial" w:eastAsia="Arial" w:hAnsi="Arial"/>
                <w:sz w:val="15"/>
                <w:szCs w:val="15"/>
                <w:b w:val="1"/>
                <w:bCs w:val="1"/>
                <w:color w:val="auto"/>
              </w:rPr>
              <w:t>Three months ended June 30, 2024</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5"/>
                <w:szCs w:val="15"/>
                <w:b w:val="1"/>
                <w:bCs w:val="1"/>
                <w:color w:val="auto"/>
              </w:rPr>
              <w:t>Europe</w:t>
            </w:r>
          </w:p>
        </w:tc>
        <w:tc>
          <w:tcPr>
            <w:tcW w:w="26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rPr>
              <w:t>(As restated)</w:t>
            </w:r>
          </w:p>
        </w:tc>
        <w:tc>
          <w:tcPr>
            <w:tcW w:w="180" w:type="dxa"/>
            <w:vAlign w:val="bottom"/>
          </w:tcPr>
          <w:p>
            <w:pPr>
              <w:spacing w:after="0"/>
              <w:rPr>
                <w:sz w:val="17"/>
                <w:szCs w:val="17"/>
                <w:color w:val="auto"/>
              </w:rPr>
            </w:pPr>
          </w:p>
        </w:tc>
      </w:tr>
      <w:tr>
        <w:trPr>
          <w:trHeight w:val="209"/>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123,201</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54,160</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25,291</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24,182</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18,711</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52,213</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43,155</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73,767</w:t>
            </w:r>
          </w:p>
        </w:tc>
        <w:tc>
          <w:tcPr>
            <w:tcW w:w="18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Total (As Restated)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309,911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14,469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47,587</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426,705</w:t>
            </w:r>
          </w:p>
        </w:tc>
        <w:tc>
          <w:tcPr>
            <w:tcW w:w="1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1"/>
        </w:trPr>
        <w:tc>
          <w:tcPr>
            <w:tcW w:w="2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320"/>
              <w:spacing w:after="0"/>
              <w:rPr>
                <w:sz w:val="20"/>
                <w:szCs w:val="20"/>
                <w:color w:val="auto"/>
              </w:rPr>
            </w:pPr>
            <w:r>
              <w:rPr>
                <w:rFonts w:ascii="Arial" w:cs="Arial" w:eastAsia="Arial" w:hAnsi="Arial"/>
                <w:sz w:val="15"/>
                <w:szCs w:val="15"/>
                <w:b w:val="1"/>
                <w:bCs w:val="1"/>
                <w:color w:val="auto"/>
              </w:rPr>
              <w:t>Six months ended June 30, 2025</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5"/>
                <w:szCs w:val="15"/>
                <w:b w:val="1"/>
                <w:bCs w:val="1"/>
                <w:color w:val="auto"/>
              </w:rPr>
              <w:t>Europe</w:t>
            </w:r>
          </w:p>
        </w:tc>
        <w:tc>
          <w:tcPr>
            <w:tcW w:w="26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260,812</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97,246</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53,616</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48,500</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68,989</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28,414</w:t>
            </w:r>
          </w:p>
        </w:tc>
        <w:tc>
          <w:tcPr>
            <w:tcW w:w="180" w:type="dxa"/>
            <w:vAlign w:val="bottom"/>
          </w:tcPr>
          <w:p>
            <w:pPr>
              <w:spacing w:after="0"/>
              <w:rPr>
                <w:sz w:val="18"/>
                <w:szCs w:val="18"/>
                <w:color w:val="auto"/>
              </w:rPr>
            </w:pPr>
          </w:p>
        </w:tc>
      </w:tr>
      <w:tr>
        <w:trPr>
          <w:trHeight w:val="217"/>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159,562</w:t>
            </w:r>
          </w:p>
        </w:tc>
        <w:tc>
          <w:tcPr>
            <w:tcW w:w="180" w:type="dxa"/>
            <w:vAlign w:val="bottom"/>
          </w:tcPr>
          <w:p>
            <w:pPr>
              <w:spacing w:after="0"/>
              <w:rPr>
                <w:sz w:val="18"/>
                <w:szCs w:val="18"/>
                <w:color w:val="auto"/>
              </w:rPr>
            </w:pPr>
          </w:p>
        </w:tc>
      </w:tr>
      <w:tr>
        <w:trPr>
          <w:trHeight w:val="215"/>
        </w:trPr>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72,440</w:t>
            </w: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142,886</w:t>
            </w:r>
          </w:p>
        </w:tc>
        <w:tc>
          <w:tcPr>
            <w:tcW w:w="180" w:type="dxa"/>
            <w:vAlign w:val="bottom"/>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715,632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21,395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89,628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78,819</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932,465</w:t>
            </w:r>
          </w:p>
        </w:tc>
        <w:tc>
          <w:tcPr>
            <w:tcW w:w="1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15"/>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5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7"/>
        </w:trPr>
        <w:tc>
          <w:tcPr>
            <w:tcW w:w="200" w:type="dxa"/>
            <w:vAlign w:val="bottom"/>
            <w:tcBorders>
              <w:bottom w:val="single" w:sz="8" w:color="9A9A9A"/>
            </w:tcBorders>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328295</wp:posOffset>
            </wp:positionH>
            <wp:positionV relativeFrom="page">
              <wp:posOffset>766445</wp:posOffset>
            </wp:positionV>
            <wp:extent cx="68922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2290" cy="8890"/>
                    </a:xfrm>
                    <a:prstGeom prst="rect">
                      <a:avLst/>
                    </a:prstGeom>
                    <a:noFill/>
                  </pic:spPr>
                </pic:pic>
              </a:graphicData>
            </a:graphic>
          </wp:anchor>
        </w:drawing>
        <w:t>Six months ended June 30, 2024</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1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Europe</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Asia Pacific</w:t>
            </w: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Total</w:t>
            </w:r>
          </w:p>
        </w:tc>
      </w:tr>
      <w:tr>
        <w:trPr>
          <w:trHeight w:val="196"/>
        </w:trPr>
        <w:tc>
          <w:tcPr>
            <w:tcW w:w="19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CCEEFF"/>
            </w:tcBorders>
          </w:tcPr>
          <w:p>
            <w:pPr>
              <w:spacing w:after="0"/>
              <w:rPr>
                <w:sz w:val="17"/>
                <w:szCs w:val="17"/>
                <w:color w:val="auto"/>
              </w:rPr>
            </w:pPr>
          </w:p>
        </w:tc>
        <w:tc>
          <w:tcPr>
            <w:tcW w:w="9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248,175</w:t>
            </w: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97,063</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 (as restated)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22,818</w:t>
            </w: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PrimaLoft </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47,832</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44,347</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48,610</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105,617</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84,442</w:t>
            </w:r>
          </w:p>
        </w:tc>
      </w:tr>
      <w:tr>
        <w:trPr>
          <w:trHeight w:val="21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138,627</w:t>
            </w:r>
          </w:p>
        </w:tc>
      </w:tr>
      <w:tr>
        <w:trPr>
          <w:trHeight w:val="210"/>
        </w:trPr>
        <w:tc>
          <w:tcPr>
            <w:tcW w:w="1980" w:type="dxa"/>
            <w:vAlign w:val="bottom"/>
          </w:tcPr>
          <w:p>
            <w:pPr>
              <w:ind w:left="20"/>
              <w:spacing w:after="0"/>
              <w:rPr>
                <w:sz w:val="20"/>
                <w:szCs w:val="20"/>
                <w:color w:val="auto"/>
              </w:rPr>
            </w:pPr>
            <w:r>
              <w:rPr>
                <w:rFonts w:ascii="Arial" w:cs="Arial" w:eastAsia="Arial" w:hAnsi="Arial"/>
                <w:sz w:val="16"/>
                <w:szCs w:val="16"/>
                <w:color w:val="auto"/>
              </w:rPr>
              <w:t>Total (as restated)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612,112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29,467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82,545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88,031</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837,531</w:t>
            </w:r>
          </w:p>
        </w:tc>
      </w:tr>
      <w:tr>
        <w:trPr>
          <w:trHeight w:val="21"/>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8"/>
          <w:szCs w:val="18"/>
          <w:color w:val="auto"/>
        </w:rPr>
        <w:t>For BOA and PrimaLoft, revenue reflects the location of the Brand Partners of each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June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June 30,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2024</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269,367</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69,002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72,721</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120,046</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11,375</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24,807</w:t>
            </w:r>
          </w:p>
        </w:tc>
      </w:tr>
      <w:tr>
        <w:trPr>
          <w:trHeight w:val="210"/>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485,571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498,316</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(253,570)</w:t>
            </w:r>
          </w:p>
        </w:tc>
      </w:tr>
      <w:tr>
        <w:trPr>
          <w:trHeight w:val="210"/>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244,746</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Depreciation expense was $11.1 million and $ 23.4 million for the three and six months ended June 30, 2025, respectively and $10.3 million and $21.1 million for the three and six months ended June 30,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June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June 30, 2025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December 31, 2024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18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(As Restated)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80,145</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25,404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19,672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515,242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1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(43,811)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571,248</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6"/>
                <w:szCs w:val="16"/>
                <w:color w:val="auto"/>
              </w:rPr>
              <w:t>22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200" w:type="dxa"/>
            <w:vAlign w:val="bottom"/>
            <w:tcBorders>
              <w:bottom w:val="single" w:sz="8" w:color="9A9A9A"/>
            </w:tcBorders>
          </w:tcPr>
          <w:p>
            <w:pPr>
              <w:spacing w:after="0"/>
              <w:rPr>
                <w:sz w:val="13"/>
                <w:szCs w:val="13"/>
                <w:color w:val="auto"/>
              </w:rPr>
            </w:pPr>
          </w:p>
        </w:tc>
        <w:tc>
          <w:tcPr>
            <w:tcW w:w="3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an indefinite-lived intangible.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a qualitative approach to test goodwill and indefinite lived intangible assets for impairment by first assessing qualitative factors to determine whether it is more-likely-than-not that the fair value of a reporting unit is less than its carrying amount as a basis for determining whether it is necessary to perform quantitative goodwill impairment testing.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Company's annual impairment testing at March 31, 2025, the Company performed a qualitative assessment of our reporting units with goodwill balances. The results of the qualitative analysis indicated that it was more-likely-than-not that the fair value of each of the reporting units tested except PrimaLoft exceeded their carrying value. Based on our analysis, the Company determined that the PrimaLoft operating segment required quantitative testing because we could not conclude that the fair value of this reporting unit significantly exceeded the carrying value based on qualitative factors alone. The Company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 performed a quantitative test of Velocity and the results of the testing indicated that the fair value of Velocity did not exceed the carrying value, resulting in goodwill impairment expense of $8.2 million as of March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 net carrying amount of goodwill at June 30, 2025 and December 31, 2024,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June 30, 2025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December 31, 2024</w:t>
            </w:r>
          </w:p>
        </w:tc>
      </w:tr>
      <w:tr>
        <w:trPr>
          <w:trHeight w:val="196"/>
        </w:trPr>
        <w:tc>
          <w:tcPr>
            <w:tcW w:w="45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1,311,813</w:t>
            </w:r>
          </w:p>
        </w:tc>
      </w:tr>
      <w:tr>
        <w:trPr>
          <w:trHeight w:val="216"/>
        </w:trPr>
        <w:tc>
          <w:tcPr>
            <w:tcW w:w="4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Accumulated impairment losses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(415,897)</w:t>
            </w:r>
          </w:p>
        </w:tc>
      </w:tr>
      <w:tr>
        <w:trPr>
          <w:trHeight w:val="23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895,916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8"/>
        <w:spacing w:after="0" w:line="247" w:lineRule="auto"/>
        <w:tabs>
          <w:tab w:leader="none" w:pos="188" w:val="left"/>
        </w:tabs>
        <w:numPr>
          <w:ilvl w:val="0"/>
          <w:numId w:val="10"/>
        </w:numPr>
        <w:rPr>
          <w:rFonts w:ascii="Arial" w:cs="Arial" w:eastAsia="Arial" w:hAnsi="Arial"/>
          <w:sz w:val="21"/>
          <w:szCs w:val="21"/>
          <w:b w:val="1"/>
          <w:bCs w:val="1"/>
          <w:color w:val="auto"/>
          <w:vertAlign w:val="superscript"/>
        </w:rPr>
      </w:pPr>
      <w:r>
        <w:rPr>
          <w:rFonts w:ascii="Arial" w:cs="Arial" w:eastAsia="Arial" w:hAnsi="Arial"/>
          <w:sz w:val="18"/>
          <w:szCs w:val="18"/>
          <w:color w:val="auto"/>
        </w:rPr>
        <w:t>Comprised of accumulated goodwill impairment expense of $260.6 million at Lugano (as restated), $72.7 million at Velocity, $24.9 million at Arnold and $57.8 million at PrimaLoft.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3" w:name="page24"/>
    <w:bookmarkEnd w:id="23"/>
    <w:p>
      <w:pPr>
        <w:ind w:right="40"/>
        <w:spacing w:after="0" w:line="287"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six months ended June 30, 2025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720" w:type="dxa"/>
            <w:vAlign w:val="bottom"/>
            <w:tcBorders>
              <w:top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rPr>
              <w:t>Balance at January 1,</w:t>
            </w:r>
          </w:p>
        </w:tc>
        <w:tc>
          <w:tcPr>
            <w:tcW w:w="160" w:type="dxa"/>
            <w:vAlign w:val="bottom"/>
          </w:tcPr>
          <w:p>
            <w:pPr>
              <w:spacing w:after="0"/>
              <w:rPr>
                <w:sz w:val="14"/>
                <w:szCs w:val="14"/>
                <w:color w:val="auto"/>
              </w:rPr>
            </w:pPr>
          </w:p>
        </w:tc>
        <w:tc>
          <w:tcPr>
            <w:tcW w:w="200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Acquisitions/Measurement</w:t>
            </w:r>
          </w:p>
        </w:tc>
        <w:tc>
          <w:tcPr>
            <w:tcW w:w="160" w:type="dxa"/>
            <w:vAlign w:val="bottom"/>
          </w:tcPr>
          <w:p>
            <w:pPr>
              <w:spacing w:after="0"/>
              <w:rPr>
                <w:sz w:val="14"/>
                <w:szCs w:val="14"/>
                <w:color w:val="auto"/>
              </w:rPr>
            </w:pPr>
          </w:p>
        </w:tc>
        <w:tc>
          <w:tcPr>
            <w:tcW w:w="150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Balance at June 30,</w:t>
            </w:r>
          </w:p>
        </w:tc>
      </w:tr>
      <w:tr>
        <w:trPr>
          <w:trHeight w:val="213"/>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59"/>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5"/>
                <w:szCs w:val="15"/>
                <w:b w:val="1"/>
                <w:bCs w:val="1"/>
                <w:color w:val="auto"/>
              </w:rPr>
              <w:t>Period Adjustments</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5"/>
                <w:szCs w:val="15"/>
                <w:b w:val="1"/>
                <w:bCs w:val="1"/>
                <w:color w:val="auto"/>
              </w:rPr>
              <w:t>2025</w:t>
            </w:r>
          </w:p>
        </w:tc>
      </w:tr>
      <w:tr>
        <w:trPr>
          <w:trHeight w:val="212"/>
        </w:trPr>
        <w:tc>
          <w:tcPr>
            <w:tcW w:w="4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CCEEFF"/>
            </w:tcBorders>
          </w:tcPr>
          <w:p>
            <w:pPr>
              <w:spacing w:after="0"/>
              <w:rPr>
                <w:sz w:val="18"/>
                <w:szCs w:val="18"/>
                <w:color w:val="auto"/>
              </w:rPr>
            </w:pPr>
          </w:p>
        </w:tc>
      </w:tr>
      <w:tr>
        <w:trPr>
          <w:trHeight w:val="88"/>
        </w:trPr>
        <w:tc>
          <w:tcPr>
            <w:tcW w:w="4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5.11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92,966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Lugano (as restated)</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232,536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107,039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107,039</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Altor</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114,619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114,123</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39,267</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55,336</w:t>
            </w:r>
          </w:p>
        </w:tc>
      </w:tr>
      <w:tr>
        <w:trPr>
          <w:trHeight w:val="235"/>
        </w:trPr>
        <w:tc>
          <w:tcPr>
            <w:tcW w:w="44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895,916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895,420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the indefinite lived intangible asset in connection with the annual impairment testing for 2025 and 2024. Results of the qualitative analysis indicate that it is more likely than not that the fair value of the reporting unit that maintains an indefinite lived intangible asset exceeded the carrying value.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June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8"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3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center"/>
              <w:ind w:right="47"/>
              <w:spacing w:after="0" w:line="138" w:lineRule="exact"/>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7"/>
              <w:spacing w:after="0" w:line="138"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3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center"/>
              <w:ind w:right="67"/>
              <w:spacing w:after="0" w:line="138"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93"/>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300" w:type="dxa"/>
            <w:vAlign w:val="bottom"/>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center"/>
              <w:ind w:right="6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3"/>
        </w:trPr>
        <w:tc>
          <w:tcPr>
            <w:tcW w:w="26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08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772,033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(337,340)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772,361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461,004</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(85,513)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114,875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198,865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(78,175)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120,690</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454,343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357,624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453,792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370,086</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contractual intangible 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1,428,562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(521,187)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907,375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1,426,816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952,086</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30,810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30,810</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0"/>
              <w:spacing w:after="0" w:line="149" w:lineRule="exact"/>
              <w:rPr>
                <w:sz w:val="20"/>
                <w:szCs w:val="20"/>
                <w:color w:val="auto"/>
              </w:rPr>
            </w:pPr>
            <w:r>
              <w:rPr>
                <w:rFonts w:ascii="Arial" w:cs="Arial" w:eastAsia="Arial" w:hAnsi="Arial"/>
                <w:sz w:val="15"/>
                <w:szCs w:val="15"/>
                <w:color w:val="auto"/>
              </w:rPr>
              <w:t>In-process research and development</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(1)</w:t>
            </w:r>
          </w:p>
        </w:tc>
        <w:tc>
          <w:tcPr>
            <w:tcW w:w="160" w:type="dxa"/>
            <w:vAlign w:val="bottom"/>
          </w:tcPr>
          <w:p>
            <w:pPr>
              <w:spacing w:after="0"/>
              <w:rPr>
                <w:sz w:val="8"/>
                <w:szCs w:val="8"/>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right"/>
              <w:ind w:right="7"/>
              <w:spacing w:after="0" w:line="14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restart"/>
          </w:tcPr>
          <w:p>
            <w:pPr>
              <w:ind w:left="980"/>
              <w:spacing w:after="0" w:line="149" w:lineRule="exact"/>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line="14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54"/>
        </w:trPr>
        <w:tc>
          <w:tcPr>
            <w:tcW w:w="2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1,459,872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(521,187)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938,685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1,458,126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983,396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87" w:lineRule="auto"/>
        <w:tabs>
          <w:tab w:leader="none" w:pos="171" w:val="left"/>
        </w:tabs>
        <w:numPr>
          <w:ilvl w:val="0"/>
          <w:numId w:val="11"/>
        </w:numPr>
        <w:rPr>
          <w:rFonts w:ascii="Arial" w:cs="Arial" w:eastAsia="Arial" w:hAnsi="Arial"/>
          <w:sz w:val="11"/>
          <w:szCs w:val="11"/>
          <w:b w:val="1"/>
          <w:bCs w:val="1"/>
          <w:color w:val="auto"/>
        </w:rPr>
      </w:pPr>
      <w:r>
        <w:rPr>
          <w:rFonts w:ascii="Arial" w:cs="Arial" w:eastAsia="Arial" w:hAnsi="Arial"/>
          <w:sz w:val="18"/>
          <w:szCs w:val="18"/>
          <w:color w:val="auto"/>
        </w:rPr>
        <w:t>In-process research and development is considered indefinite lived until the underlying technology becomes viable, at which point the intangible asset will be amortized over the expected useful life.</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Amortization expense related to intangible assets was $23.1 million and $ 46.5 million for the three and six months ended June 30, 2025, respectively and $24.4 million and $47.6 million for the three and six months ended June 30, 2024,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2025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1" w:lineRule="exact"/>
        <w:rPr>
          <w:sz w:val="20"/>
          <w:szCs w:val="20"/>
          <w:color w:val="auto"/>
        </w:rPr>
      </w:pPr>
    </w:p>
    <w:tbl>
      <w:tblPr>
        <w:tblLayout w:type="fixed"/>
        <w:tblInd w:w="2800" w:type="dxa"/>
        <w:tblCellMar>
          <w:top w:w="0" w:type="dxa"/>
          <w:left w:w="0" w:type="dxa"/>
          <w:bottom w:w="0" w:type="dxa"/>
          <w:right w:w="0" w:type="dxa"/>
        </w:tblCellMar>
      </w:tblPr>
      <w:tr>
        <w:trPr>
          <w:trHeight w:val="217"/>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2029</w:t>
            </w:r>
          </w:p>
        </w:tc>
      </w:tr>
      <w:tr>
        <w:trPr>
          <w:trHeight w:val="34"/>
        </w:trPr>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79,649</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long-lived asset impairment testing</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Lugano - As a result of the preliminary findings of the Lugano Investigation, the Company determined that a triggering event had occurred in the second quarter of 2025 and tested the long-lived assets of Lugano for impairment. The long-lived assets at Lugano are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six months ended June 30, 2025 and the year ended December 31, 2024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1"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right"/>
              <w:ind w:right="41"/>
              <w:spacing w:after="0" w:line="169" w:lineRule="exact"/>
              <w:rPr>
                <w:sz w:val="20"/>
                <w:szCs w:val="20"/>
                <w:color w:val="auto"/>
              </w:rPr>
            </w:pPr>
            <w:r>
              <w:rPr>
                <w:rFonts w:ascii="Arial" w:cs="Arial" w:eastAsia="Arial" w:hAnsi="Arial"/>
                <w:sz w:val="15"/>
                <w:szCs w:val="15"/>
                <w:b w:val="1"/>
                <w:bCs w:val="1"/>
                <w:color w:val="auto"/>
              </w:rPr>
              <w:t>Six months ended June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41"/>
              <w:spacing w:after="0" w:line="169" w:lineRule="exact"/>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8"/>
        </w:trPr>
        <w:tc>
          <w:tcPr>
            <w:tcW w:w="4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01"/>
              <w:spacing w:after="0"/>
              <w:rPr>
                <w:sz w:val="20"/>
                <w:szCs w:val="20"/>
                <w:color w:val="auto"/>
              </w:rPr>
            </w:pPr>
            <w:r>
              <w:rPr>
                <w:rFonts w:ascii="Arial" w:cs="Arial" w:eastAsia="Arial" w:hAnsi="Arial"/>
                <w:sz w:val="15"/>
                <w:szCs w:val="15"/>
                <w:b w:val="1"/>
                <w:bCs w:val="1"/>
                <w:color w:val="auto"/>
              </w:rPr>
              <w:t>30, 2025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5"/>
                <w:szCs w:val="15"/>
                <w:b w:val="1"/>
                <w:bCs w:val="1"/>
                <w:color w:val="auto"/>
              </w:rPr>
              <w:t>31, 2024</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center"/>
              <w:ind w:left="1121"/>
              <w:spacing w:after="0"/>
              <w:rPr>
                <w:sz w:val="20"/>
                <w:szCs w:val="20"/>
                <w:color w:val="auto"/>
              </w:rPr>
            </w:pPr>
            <w:r>
              <w:rPr>
                <w:rFonts w:ascii="Arial" w:cs="Arial" w:eastAsia="Arial" w:hAnsi="Arial"/>
                <w:sz w:val="16"/>
                <w:szCs w:val="16"/>
                <w:color w:val="auto"/>
                <w:w w:val="99"/>
              </w:rPr>
              <w:t>1,258</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121"/>
              <w:spacing w:after="0"/>
              <w:rPr>
                <w:sz w:val="20"/>
                <w:szCs w:val="20"/>
                <w:color w:val="auto"/>
              </w:rPr>
            </w:pPr>
            <w:r>
              <w:rPr>
                <w:rFonts w:ascii="Arial" w:cs="Arial" w:eastAsia="Arial" w:hAnsi="Arial"/>
                <w:sz w:val="16"/>
                <w:szCs w:val="16"/>
                <w:color w:val="auto"/>
                <w:w w:val="99"/>
              </w:rPr>
              <w:t>2,332</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98"/>
              </w:rPr>
              <w:t>(2,469)</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121"/>
              <w:spacing w:after="0"/>
              <w:rPr>
                <w:sz w:val="20"/>
                <w:szCs w:val="20"/>
                <w:color w:val="auto"/>
              </w:rPr>
            </w:pPr>
            <w:r>
              <w:rPr>
                <w:rFonts w:ascii="Arial" w:cs="Arial" w:eastAsia="Arial" w:hAnsi="Arial"/>
                <w:sz w:val="16"/>
                <w:szCs w:val="16"/>
                <w:color w:val="auto"/>
                <w:w w:val="99"/>
              </w:rPr>
              <w:t>1,121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Facility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12, 2022, the LLC entered into the Third Amended and Restated Credit Agreement with the lenders from time to time party thereto (the “Lenders”), Bank of America, N.A., as Administrative Agent, Swing Line Lender and letter of credit issuer (as amended from time to time, the "2022 Credit Facility" or the “Credit Agreement”) to amend and restate the Second Amended and Restated Credit Agreement (the "2021 Credit Facility"). The 2022 Credit Facility provided for revolving loans, swing line loans and letters of credit ("the 2022 Revolving Credit Facility") up to a maximum aggregate amount of $600 million ("the 2022 Revolving Loan Commitment") and a $400 million term loan (the “2022 Term Loan”). All amounts outstanding under the 2022 Revolving Credit Facility will become due on July 12, 2027, which is the termination date of the 2022 Revolving Loan Commitment. The 2022 Credit Facility also permitted the LLC, prior to the applicable maturity date, to increase the 2022 Revolving Loan Commitment and/or obtain additional term loans in an aggregate amount of up to $250 million, subject to certain restrictions and conditions.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LLC may borrow, prepay and reborrow principal under the 2022 Revolving Credit Facility from time to time during its term. Advances under the 2022 Revolving Credit Facility can be either term Secured Overnight Financing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Rate ("SOFR") loans or base rate loans. Term SOFR revolving loans bear interest on the outstanding principal amount thereof for each interest period at a rate per annum based on the applicable SOFR as administered by the Federal Reserve Bank of New York (or a successor administrator), as adjusted,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the applicable SOFR plus 1.0% (the “Base Rate”), plus a margin ranging from 0.50% to 1.50%, based on the Company's Consolidated Total Leverage Ratio.</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Advances under the 2022 Term Loan can be either term SOFR loans or base rate loans. The 2022 Term Loan was advanced in full on the closing date for the 2022 Credit Facility as a Term SOFR loan with an interest period of one month. On the last day of an interest period, Term SOFR loans may be converted to Term SOFR loans of a different interest period or to Base Rate loans. Term SOFR term loans bear interest on the outstanding principal amount thereof for each interest period at a rate per annum based on the Term SOFR for such interest period plus a margin ranging from 1.50% to 2.50%, based on the Consolidated Total Leverage Ratio. Base rate term loans bear interest on the outstanding principal amount thereof from the applicable borrowing date at a rate per annum equal to the Base Rate plus a margin ranging from 0.50% to 1.50%, based on the Consolidated Total Leverage Ratio.</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2022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2022 Revolving Credit Facility.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2022 Revolving Credit Facility is secured by all of the assets of the Company, including all of its equity interests in, and loans to,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2022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of 2022 Credit Facility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9, 2025, the LLC entered into a First Incremental Facility Amendment (the “First Amendment”) to its existing Credit Agreement. The First Amendment was by and among the LLC, the lenders party thereto (the “Lenders”), and Bank of America, N.A., as administrative agent for the Lenders (the “Administrative Agent”).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First Amendment modified the Credit Agreement to provide for (a) an additional advance of the term loan in the aggregate amount of $200 million (the “Incremental Term Loan”) on the date of the First Amendment, and (b) delayed draw term loan commitments in the aggregate amount of $100 million (the “Incremental Delayed Draw Term Loan Commitments,” and the loan drawn thereunder is referred to herein as the “Incremental Delayed Draw Term Loan”), which was able to be reduced or terminated by the LLC upon five business days’ notice and pursuant to which the Company was able to make no more than two draws by July 9, 2025. The proceeds from the Incremental Term Loan and the Incremental Delayed Draw Term Loan were to be used for new acquisitions, working capital, capital expenditures and other general corporate purposes.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Incremental Term Loan, along with the existing term loan under the Credit Agreement, requires quarterly repayments of principal amounts ranging from $3.75 million to $11.25 million, which commenced on March 31, 2025, with a final payment of principal and interest due on July 12, 2027.</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LLC agreed to pay to the Administrative Agent, for the account of each Lender in accordance with its applicable percentage of the Incremental Delayed Draw Term Loan Commitments, a commitment fee equal to the product of (i) a rate ranging from 0.25% to 0.45% per annum, based on the Consolidated Total Leverage Ratio, times (ii) the actual daily amount by which the Incremental Delayed Draw Term Loan Commitments exceed the Incremental Delayed Draw Term Loan. Such commitment fee only accrued during the period when the Incremental Delayed Draw Term Loan Commitments were available (the “Availability Period”), which was the period from January 9, 2025 to the earlier of (a) July 9, 2025 and (b) the date on which the Incremental Delayed Draw Term Loan Commitments were terminated. The Incremental Delayed Draw Term Loan Commitments were terminated early, as further described below.</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Commencing on the first quarter ending after the earlier of (i) the date Incremental Delayed Draw Term Loan is fully drawn and (ii) the end of the Availability Period, the LLC is required to make quarterly repayments of principal amounts ranging from 0.625% to 1.875% of the drawn Incremental Delayed Draw Term Loan (which amounts will be reduced by certain prepayment, if any), unless such loan is accelerated sooner.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8"/>
          <w:szCs w:val="18"/>
          <w:color w:val="auto"/>
        </w:rPr>
        <w:t>The First Amendment contained customary representations and warranties. All other material terms and conditions of the Credit Agreement were unchanged.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Forbearance Agreement with Respect to Credit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2025, the Company indicated its intent to delay the filing of its Quarterly Report on Form 10-Q for the quarter ended March 31, 2025 and disclosed non-reliance on its 2024 financial statements as a result of concerns about financing, accounting, and inventory practices at one of its subsidiaries, Lugano, and irregularities identified in sales, cost of sales, inventory, and accounts receivable recorded by Lugano. Concurrently, the LLC also provided notice to the Administrative Agent, advising of the existence of potential defaults or events of default under the Credit Agreement in respect of Lugano (the “Lugano Events of Default”).</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“First Forbearance Agreement”) with the Administrative Agent and the lenders party thereto representing at least 50% of the total credit exposure of all lenders under the Credit Agreement (the “Consenting Lenders”), pursuant to which the Consenting Lenders agreed to refrain from exercising rights and remedies available to them with respect to the Lugano Events of Default until the earliest of: (a) 11:59 p.m. (Eastern Time) on July 25, 2025; (b) the occurrence of any event of default other than a Lugano Event of Default; (c) the breach by the LLC of any covenant or provision of the First Forbearance Agreement; (d) a declaration by the Trustee (as defined below) or any holders of the LLC’s 5.250% senior notes due 2029 (the “2029 Notes”) of any default or event of default under the Indenture dated as of March 23, 2021 (as amended, restated, supplemented or otherwise modified from time to time, the “2029 Notes Indenture”) between the LLC and U.S. Bank Trust Company National Association (as successor to U.S. Bank National Association), and (e) the declaration by the Trustee or any holder of the LLC’s 5.000% senior notes due 2032 (the “2032 Notes” and together with the 2029 Notes, the “Notes”) of any default or event of default under the Indenture dated as of November 27, 2021 (as amended, restated, supplemented or otherwise modified from time to time, the “2032 Notes Indenture” and together with the 2029 Notes Indenture, the “Indentures”) between the LLC and the Trustee (the “First Forbearance Period”).</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and an interest period of one month; provided, however, that such credit extensions were not to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LLC’s subsidiaries to to no more than $2.0 million per fiscal quarter; (iv) restrict investments by the LLC into Lugano to no more than $5 million in the aggregate; (v) impose additional reporting requirements on the LLC; (vi) prohibit certain acquisitions and dispositions; (vii) require that cash-on hand in excess of $10 million as of the last business day of any week be paid by the LLC to the Administrative Agent, for the account of the Lenders, which payments would be applied to the outstanding revolving loans owing by the LLC; and (vii) terminate the commitment of the Lenders to advance Incremental Delayed Draw Term Loans.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May 22, 2025, the Manager delivered to the Company a waiver agreeing to the management fee limitations described above.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availability under the 2022 Revolving Credit Facility after giving effect to the First Forbearance Agreement and during the First Forbearance Period was approximately $36.7 million at June 30, 2025. Letters of credit outstanding at June 30, 2025 totaled approximately $3.3 million. The First Forbearance Agreement contains customary representations and warranties.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Senior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the Company consummated the issuance and sale of $300 million aggregate principal amount of our 5.000% Senior Notes due 2032 (the “2032 Notes” or "2032 Senior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Company and U.S. Bank National Association, as trustee (the “Trustee”). The 2032 Notes bear interest at the rate of 5.000% per annum and will mature on January 15, 2032. Interest on the 2032 Notes is payable in cash on January 15 and July 15 of each year, beginning on July 15,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of the 2032 Notes were used to repay a portion of our debt outstanding under the 2021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2032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23, 2021, the Company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between the LLC and U.S. Bank National Association, as trustee (the "Trustee"). The 2029 Notes bear interest at the rate of 5.250% per annum and will mature on April 15, 2029. Interest on the 2029 Notes is payable in cash on April 15th and October 15th of each year. The first interest payment date on the 2029 Senior Notes was October 15, 2021. The 2029 Notes are general unsecured obligations of the LLC and are not guaranteed by our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2029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 Financing Arrangements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Lugano entered into various financing arrangements with third parties that were not recorded in the financial statements of Lugano as debt. Pursuant to some of these agreements, the third-party investors agreed to provide a specific amount of cash to purportedly jointly invest with Lugano in a specified jewel or piece of jewelry. The arrangements provided that Lugano would be responsible for purchasing, holding and insuring the jewelry until Lugano found a buyer or the third-party investor otherwise requested a return of their cash contribution. According to the terms of the arrangement, the third-party investors made an upfront payment to Lugano in exchange for the right to receive a return of their initial investment plus either (i) a portion of the profit when the jewelry was sold to a buyer, or (ii) interest on their invested cash if the third-party requested to liquidate their investment prior to the sale of the specified jewelry to a buyer. Lugano also entered into financing arrangements that were not specific to the acquisition of a specified jewel or piece of jewelry. These other financing arrangements involved with third parties involved the receipt of cash by Lugano from third parties and repayment of cash to those third parties, specifically cash receipts that were recorded as payment of accounts receivable balances or customer deposits and cash payments that were recorded as inventory purchases or purchase deposits.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Lugano Investigation, the Company determined that the inventory and sales transactions recorded in connection with these financing agreements were invalid because they were inconsistent with the underlying substance of the agreements. These financing arrangements represent debt and the financing arrangements and related interest expense have been recorded in the restated consolidated financial statements. Interest expense was determined based on documentation related to the underlying arrangement or, when no documentation existed related to the financing arrangement, imputed based on various factors associated with the arrangement. Certain financing arrangements that were entered into during 2024 and the first four months of 2025 contained unique interest terms reflecting a guaranteed return on the arrangements that have resulted in a calculation of interest expense at a higher rate than the historical effective interest rate on the Lugano financing arrangements. The Lugano financing arrangements have been classified as current in the accompanying consolidated balance sheets for the periods ended June 30, 2025 and December 31, 2024.</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provides the Lugano financing arrangements and effective interest rates at June 30, 2025 and December 31,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8" w:name="page29"/>
    <w:bookmarkEnd w:id="28"/>
    <w:tbl>
      <w:tblPr>
        <w:tblLayout w:type="fixed"/>
        <w:tblInd w:w="170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520" w:type="dxa"/>
            <w:vAlign w:val="bottom"/>
            <w:tcBorders>
              <w:top w:val="single" w:sz="8" w:color="auto"/>
              <w:bottom w:val="single" w:sz="8" w:color="auto"/>
            </w:tcBorders>
            <w:gridSpan w:val="4"/>
          </w:tcPr>
          <w:p>
            <w:pPr>
              <w:jc w:val="right"/>
              <w:ind w:right="706"/>
              <w:spacing w:after="0"/>
              <w:rPr>
                <w:sz w:val="20"/>
                <w:szCs w:val="20"/>
                <w:color w:val="auto"/>
              </w:rPr>
            </w:pPr>
            <w:r>
              <w:rPr>
                <w:rFonts w:ascii="Arial" w:cs="Arial" w:eastAsia="Arial" w:hAnsi="Arial"/>
                <w:sz w:val="15"/>
                <w:szCs w:val="15"/>
                <w:b w:val="1"/>
                <w:bCs w:val="1"/>
                <w:color w:val="auto"/>
              </w:rPr>
              <w:t>June 30, 2025</w:t>
            </w:r>
          </w:p>
        </w:tc>
        <w:tc>
          <w:tcPr>
            <w:tcW w:w="100" w:type="dxa"/>
            <w:vAlign w:val="bottom"/>
          </w:tcPr>
          <w:p>
            <w:pPr>
              <w:spacing w:after="0"/>
              <w:rPr>
                <w:sz w:val="18"/>
                <w:szCs w:val="18"/>
                <w:color w:val="auto"/>
              </w:rPr>
            </w:pPr>
          </w:p>
        </w:tc>
        <w:tc>
          <w:tcPr>
            <w:tcW w:w="26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600" w:type="dxa"/>
            <w:vAlign w:val="bottom"/>
            <w:gridSpan w:val="3"/>
          </w:tcPr>
          <w:p>
            <w:pPr>
              <w:jc w:val="center"/>
              <w:ind w:right="284"/>
              <w:spacing w:after="0" w:line="147" w:lineRule="exact"/>
              <w:rPr>
                <w:sz w:val="20"/>
                <w:szCs w:val="20"/>
                <w:color w:val="auto"/>
              </w:rPr>
            </w:pPr>
            <w:r>
              <w:rPr>
                <w:rFonts w:ascii="Arial" w:cs="Arial" w:eastAsia="Arial" w:hAnsi="Arial"/>
                <w:sz w:val="14"/>
                <w:szCs w:val="14"/>
                <w:b w:val="1"/>
                <w:bCs w:val="1"/>
                <w:color w:val="auto"/>
              </w:rPr>
              <w:t>Effective Interest</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3"/>
          </w:tcPr>
          <w:p>
            <w:pPr>
              <w:jc w:val="center"/>
              <w:ind w:right="304"/>
              <w:spacing w:after="0" w:line="147" w:lineRule="exact"/>
              <w:rPr>
                <w:sz w:val="20"/>
                <w:szCs w:val="20"/>
                <w:color w:val="auto"/>
              </w:rPr>
            </w:pPr>
            <w:r>
              <w:rPr>
                <w:rFonts w:ascii="Arial" w:cs="Arial" w:eastAsia="Arial" w:hAnsi="Arial"/>
                <w:sz w:val="14"/>
                <w:szCs w:val="14"/>
                <w:b w:val="1"/>
                <w:bCs w:val="1"/>
                <w:color w:val="auto"/>
              </w:rPr>
              <w:t>Effective Interest</w:t>
            </w:r>
          </w:p>
        </w:tc>
        <w:tc>
          <w:tcPr>
            <w:tcW w:w="100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600" w:type="dxa"/>
            <w:vAlign w:val="bottom"/>
            <w:gridSpan w:val="3"/>
          </w:tcPr>
          <w:p>
            <w:pPr>
              <w:jc w:val="center"/>
              <w:ind w:right="284"/>
              <w:spacing w:after="0"/>
              <w:rPr>
                <w:sz w:val="20"/>
                <w:szCs w:val="20"/>
                <w:color w:val="auto"/>
              </w:rPr>
            </w:pPr>
            <w:r>
              <w:rPr>
                <w:rFonts w:ascii="Arial" w:cs="Arial" w:eastAsia="Arial" w:hAnsi="Arial"/>
                <w:sz w:val="14"/>
                <w:szCs w:val="14"/>
                <w:b w:val="1"/>
                <w:bCs w:val="1"/>
                <w:color w:val="auto"/>
              </w:rPr>
              <w:t>Rate</w:t>
            </w:r>
          </w:p>
        </w:tc>
        <w:tc>
          <w:tcPr>
            <w:tcW w:w="1020" w:type="dxa"/>
            <w:vAlign w:val="bottom"/>
            <w:gridSpan w:val="2"/>
            <w:vMerge w:val="continue"/>
          </w:tcPr>
          <w:p>
            <w:pPr>
              <w:spacing w:after="0"/>
              <w:rPr>
                <w:sz w:val="16"/>
                <w:szCs w:val="16"/>
                <w:color w:val="auto"/>
              </w:rPr>
            </w:pPr>
          </w:p>
        </w:tc>
        <w:tc>
          <w:tcPr>
            <w:tcW w:w="1660" w:type="dxa"/>
            <w:vAlign w:val="bottom"/>
            <w:gridSpan w:val="3"/>
          </w:tcPr>
          <w:p>
            <w:pPr>
              <w:jc w:val="center"/>
              <w:ind w:right="304"/>
              <w:spacing w:after="0"/>
              <w:rPr>
                <w:sz w:val="20"/>
                <w:szCs w:val="20"/>
                <w:color w:val="auto"/>
              </w:rPr>
            </w:pPr>
            <w:r>
              <w:rPr>
                <w:rFonts w:ascii="Arial" w:cs="Arial" w:eastAsia="Arial" w:hAnsi="Arial"/>
                <w:sz w:val="14"/>
                <w:szCs w:val="14"/>
                <w:b w:val="1"/>
                <w:bCs w:val="1"/>
                <w:color w:val="auto"/>
              </w:rPr>
              <w:t>Rate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Lugano financing arrangements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17.24 %</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183,959</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11.43 %</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169,765</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Administrative Agent and the Lenders may exercise any rights or remedies available to them under the 2022 Credit Facility.</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restatement of financial information as of December 31, 2024, 2023, and 2022 and for the fiscal years ended December 31, 2024, 2023, and 2022 as well as the interim periods in the fiscal years ended December 31, 2024, 2023, and 2022, the Company was not in compliance with the financial covenants in the 2022 Credit Facility as of the year ended December 31, 2024, and had not received forbearance or other relief from its lenders as of that date. The Company entered into the First Forbearance Agreement on May 22, 2025, which waived an event of default related to the Company's failure to comply with the financial covenants in the 2022 Credit Facility as of June 30, 2025. However, the Company would have been in violation of the financial covenants in the 2022 Credit Facility without the relief granted by the First Forbearance Agreement. Accordingly, the Company has classified outstanding borrowings under the 2022 Term Loan and 2022 Revolving Credit facility as current at June 30,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June 30, 2025 and December 31, 2024 in the Condensed Consolidated Financial Statements.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provides the Company’s outstanding long-term debt and effective interest rates at June 30, 2025 and December 31,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00" w:type="dxa"/>
            <w:vAlign w:val="bottom"/>
            <w:tcBorders>
              <w:top w:val="single" w:sz="8" w:color="auto"/>
              <w:bottom w:val="single" w:sz="8" w:color="auto"/>
            </w:tcBorders>
            <w:gridSpan w:val="3"/>
          </w:tcPr>
          <w:p>
            <w:pPr>
              <w:jc w:val="center"/>
              <w:ind w:left="1161"/>
              <w:spacing w:after="0"/>
              <w:rPr>
                <w:sz w:val="20"/>
                <w:szCs w:val="20"/>
                <w:color w:val="auto"/>
              </w:rPr>
            </w:pPr>
            <w:r>
              <w:rPr>
                <w:rFonts w:ascii="Arial" w:cs="Arial" w:eastAsia="Arial" w:hAnsi="Arial"/>
                <w:sz w:val="15"/>
                <w:szCs w:val="15"/>
                <w:b w:val="1"/>
                <w:bCs w:val="1"/>
                <w:color w:val="auto"/>
              </w:rPr>
              <w:t>June 30, 2025</w:t>
            </w: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Borders>
              <w:top w:val="single" w:sz="8" w:color="auto"/>
              <w:bottom w:val="single" w:sz="8" w:color="auto"/>
            </w:tcBorders>
            <w:gridSpan w:val="4"/>
          </w:tcPr>
          <w:p>
            <w:pPr>
              <w:ind w:left="1100"/>
              <w:spacing w:after="0"/>
              <w:rPr>
                <w:sz w:val="20"/>
                <w:szCs w:val="20"/>
                <w:color w:val="auto"/>
              </w:rPr>
            </w:pPr>
            <w:r>
              <w:rPr>
                <w:rFonts w:ascii="Arial" w:cs="Arial" w:eastAsia="Arial" w:hAnsi="Arial"/>
                <w:sz w:val="15"/>
                <w:szCs w:val="15"/>
                <w:b w:val="1"/>
                <w:bCs w:val="1"/>
                <w:color w:val="auto"/>
              </w:rPr>
              <w:t>December 31, 2024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300" w:type="dxa"/>
            <w:vAlign w:val="bottom"/>
            <w:gridSpan w:val="3"/>
          </w:tcPr>
          <w:p>
            <w:pPr>
              <w:jc w:val="center"/>
              <w:ind w:right="619"/>
              <w:spacing w:after="0" w:line="142" w:lineRule="exact"/>
              <w:rPr>
                <w:sz w:val="20"/>
                <w:szCs w:val="20"/>
                <w:color w:val="auto"/>
              </w:rPr>
            </w:pPr>
            <w:r>
              <w:rPr>
                <w:rFonts w:ascii="Arial" w:cs="Arial" w:eastAsia="Arial" w:hAnsi="Arial"/>
                <w:sz w:val="15"/>
                <w:szCs w:val="15"/>
                <w:b w:val="1"/>
                <w:bCs w:val="1"/>
                <w:color w:val="auto"/>
              </w:rPr>
              <w:t>Effective Interest</w:t>
            </w:r>
          </w:p>
        </w:tc>
        <w:tc>
          <w:tcPr>
            <w:tcW w:w="1260" w:type="dxa"/>
            <w:vAlign w:val="bottom"/>
            <w:vMerge w:val="restart"/>
          </w:tcPr>
          <w:p>
            <w:pPr>
              <w:jc w:val="right"/>
              <w:ind w:right="56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2"/>
                <w:szCs w:val="12"/>
                <w:color w:val="auto"/>
              </w:rPr>
            </w:pPr>
          </w:p>
        </w:tc>
        <w:tc>
          <w:tcPr>
            <w:tcW w:w="2080" w:type="dxa"/>
            <w:vAlign w:val="bottom"/>
            <w:gridSpan w:val="3"/>
          </w:tcPr>
          <w:p>
            <w:pPr>
              <w:jc w:val="right"/>
              <w:ind w:right="579"/>
              <w:spacing w:after="0" w:line="142" w:lineRule="exact"/>
              <w:rPr>
                <w:sz w:val="20"/>
                <w:szCs w:val="20"/>
                <w:color w:val="auto"/>
              </w:rPr>
            </w:pPr>
            <w:r>
              <w:rPr>
                <w:rFonts w:ascii="Arial" w:cs="Arial" w:eastAsia="Arial" w:hAnsi="Arial"/>
                <w:sz w:val="15"/>
                <w:szCs w:val="15"/>
                <w:b w:val="1"/>
                <w:bCs w:val="1"/>
                <w:color w:val="auto"/>
              </w:rPr>
              <w:t>Effective Interest</w:t>
            </w:r>
          </w:p>
        </w:tc>
        <w:tc>
          <w:tcPr>
            <w:tcW w:w="172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00" w:type="dxa"/>
            <w:vAlign w:val="bottom"/>
            <w:gridSpan w:val="3"/>
          </w:tcPr>
          <w:p>
            <w:pPr>
              <w:jc w:val="center"/>
              <w:ind w:right="619"/>
              <w:spacing w:after="0"/>
              <w:rPr>
                <w:sz w:val="20"/>
                <w:szCs w:val="20"/>
                <w:color w:val="auto"/>
              </w:rPr>
            </w:pPr>
            <w:r>
              <w:rPr>
                <w:rFonts w:ascii="Arial" w:cs="Arial" w:eastAsia="Arial" w:hAnsi="Arial"/>
                <w:sz w:val="15"/>
                <w:szCs w:val="15"/>
                <w:b w:val="1"/>
                <w:bCs w:val="1"/>
                <w:color w:val="auto"/>
                <w:w w:val="98"/>
              </w:rPr>
              <w:t>Rate</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right"/>
              <w:ind w:right="1019"/>
              <w:spacing w:after="0"/>
              <w:rPr>
                <w:sz w:val="20"/>
                <w:szCs w:val="20"/>
                <w:color w:val="auto"/>
              </w:rPr>
            </w:pPr>
            <w:r>
              <w:rPr>
                <w:rFonts w:ascii="Arial" w:cs="Arial" w:eastAsia="Arial" w:hAnsi="Arial"/>
                <w:sz w:val="15"/>
                <w:szCs w:val="15"/>
                <w:b w:val="1"/>
                <w:bCs w:val="1"/>
                <w:color w:val="auto"/>
              </w:rPr>
              <w:t>Rate</w:t>
            </w:r>
          </w:p>
        </w:tc>
        <w:tc>
          <w:tcPr>
            <w:tcW w:w="1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2029</w:t>
            </w:r>
          </w:p>
        </w:tc>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5.25 %</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2032</w:t>
            </w:r>
          </w:p>
        </w:tc>
        <w:tc>
          <w:tcPr>
            <w:tcW w:w="31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620" w:type="dxa"/>
            <w:vAlign w:val="bottom"/>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300,000</w:t>
            </w:r>
          </w:p>
        </w:tc>
        <w:tc>
          <w:tcPr>
            <w:tcW w:w="1720" w:type="dxa"/>
            <w:vAlign w:val="bottom"/>
            <w:gridSpan w:val="2"/>
          </w:tcPr>
          <w:p>
            <w:pPr>
              <w:ind w:left="1200"/>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567,500</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7.60 %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31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ind w:left="1200"/>
              <w:spacing w:after="0"/>
              <w:rPr>
                <w:sz w:val="20"/>
                <w:szCs w:val="20"/>
                <w:color w:val="auto"/>
              </w:rPr>
            </w:pPr>
            <w:r>
              <w:rPr>
                <w:rFonts w:ascii="Arial" w:cs="Arial" w:eastAsia="Arial" w:hAnsi="Arial"/>
                <w:sz w:val="16"/>
                <w:szCs w:val="16"/>
                <w:color w:val="auto"/>
              </w:rPr>
              <w:t>7.62 %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3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1,857,036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1,774,290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 term loan facilities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(1,857,036)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2"/>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gridSpan w:val="3"/>
          </w:tcPr>
          <w:p>
            <w:pPr>
              <w:jc w:val="right"/>
              <w:ind w:right="279"/>
              <w:spacing w:after="0"/>
              <w:rPr>
                <w:sz w:val="20"/>
                <w:szCs w:val="20"/>
                <w:color w:val="auto"/>
              </w:rPr>
            </w:pPr>
            <w:r>
              <w:rPr>
                <w:rFonts w:ascii="Arial" w:cs="Arial" w:eastAsia="Arial" w:hAnsi="Arial"/>
                <w:sz w:val="16"/>
                <w:szCs w:val="16"/>
                <w:color w:val="auto"/>
              </w:rPr>
              <w:t>29</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1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The following table reflects the annual maturities of the Company's debt obligations, including the Lugano financing arrangements which are classified as current in the accompanying condensed consolidated balance sheet. As noted above, the Company was operating under a forbearance agreement from its Lenders as of June 30, 2025 and as a result, the 2022 Revolving Credit Facility, the 2022 Term Loan and the 2029 and 2032 Senior Notes have been classified as current in the accompanying Condensed Consolidated Balance Sheets at June 30, 2025 and December 31, 2024. Annual maturities of the Company's debt obligations are as follows (in thousands):</w:t>
      </w:r>
    </w:p>
    <w:p>
      <w:pPr>
        <w:spacing w:after="0" w:line="200" w:lineRule="exact"/>
        <w:rPr>
          <w:sz w:val="20"/>
          <w:szCs w:val="20"/>
          <w:color w:val="auto"/>
        </w:rPr>
      </w:pPr>
    </w:p>
    <w:tbl>
      <w:tblPr>
        <w:tblLayout w:type="fixed"/>
        <w:tblInd w:w="3620" w:type="dxa"/>
        <w:tblCellMar>
          <w:top w:w="0" w:type="dxa"/>
          <w:left w:w="0" w:type="dxa"/>
          <w:bottom w:w="0" w:type="dxa"/>
          <w:right w:w="0" w:type="dxa"/>
        </w:tblCellMar>
      </w:tblPr>
      <w:tr>
        <w:trPr>
          <w:trHeight w:val="241"/>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xml:space="preserve">Remainder of 2025 </w:t>
            </w:r>
            <w:r>
              <w:rPr>
                <w:rFonts w:ascii="Arial" w:cs="Arial" w:eastAsia="Arial" w:hAnsi="Arial"/>
                <w:sz w:val="21"/>
                <w:szCs w:val="21"/>
                <w:b w:val="1"/>
                <w:bCs w:val="1"/>
                <w:color w:val="auto"/>
                <w:vertAlign w:val="superscript"/>
              </w:rPr>
              <w:t>(1)</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198,959</w:t>
            </w:r>
          </w:p>
        </w:tc>
      </w:tr>
      <w:tr>
        <w:trPr>
          <w:trHeight w:val="215"/>
        </w:trPr>
        <w:tc>
          <w:tcPr>
            <w:tcW w:w="2220" w:type="dxa"/>
            <w:vAlign w:val="bottom"/>
          </w:tcPr>
          <w:p>
            <w:pPr>
              <w:jc w:val="right"/>
              <w:ind w:right="79"/>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37,500</w:t>
            </w:r>
          </w:p>
        </w:tc>
      </w:tr>
      <w:tr>
        <w:trPr>
          <w:trHeight w:val="217"/>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2027</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515,000</w:t>
            </w:r>
          </w:p>
        </w:tc>
      </w:tr>
      <w:tr>
        <w:trPr>
          <w:trHeight w:val="215"/>
        </w:trPr>
        <w:tc>
          <w:tcPr>
            <w:tcW w:w="2220" w:type="dxa"/>
            <w:vAlign w:val="bottom"/>
          </w:tcPr>
          <w:p>
            <w:pPr>
              <w:jc w:val="right"/>
              <w:ind w:right="79"/>
              <w:spacing w:after="0"/>
              <w:rPr>
                <w:sz w:val="20"/>
                <w:szCs w:val="20"/>
                <w:color w:val="auto"/>
              </w:rPr>
            </w:pPr>
            <w:r>
              <w:rPr>
                <w:rFonts w:ascii="Arial" w:cs="Arial" w:eastAsia="Arial" w:hAnsi="Arial"/>
                <w:sz w:val="16"/>
                <w:szCs w:val="16"/>
                <w:color w:val="auto"/>
              </w:rPr>
              <w:t>2028</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2029</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2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2030 and thereafter</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34"/>
        </w:trPr>
        <w:tc>
          <w:tcPr>
            <w:tcW w:w="2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2,051,459</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b w:val="1"/>
          <w:bCs w:val="1"/>
          <w:color w:val="auto"/>
          <w:vertAlign w:val="superscript"/>
        </w:rPr>
      </w:pPr>
      <w:r>
        <w:rPr>
          <w:rFonts w:ascii="Arial" w:cs="Arial" w:eastAsia="Arial" w:hAnsi="Arial"/>
          <w:sz w:val="16"/>
          <w:szCs w:val="16"/>
          <w:color w:val="auto"/>
        </w:rPr>
        <w:t>Debt obligations in 2025 include $184.0 million in Lugano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Senior Notes consisted of the following carrying value and estimated fair value (in thousands):</w:t>
      </w:r>
    </w:p>
    <w:p>
      <w:pPr>
        <w:spacing w:after="0" w:line="170"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Fair Value</w:t>
            </w:r>
          </w:p>
        </w:tc>
        <w:tc>
          <w:tcPr>
            <w:tcW w:w="16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June 30, 2025</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rPr>
              <w:t>Hierarchy</w:t>
            </w: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720" w:type="dxa"/>
            <w:vAlign w:val="bottom"/>
            <w:gridSpan w:val="3"/>
            <w:vMerge w:val="restart"/>
          </w:tcPr>
          <w:p>
            <w:pPr>
              <w:ind w:left="280"/>
              <w:spacing w:after="0"/>
              <w:rPr>
                <w:sz w:val="20"/>
                <w:szCs w:val="20"/>
                <w:color w:val="auto"/>
              </w:rPr>
            </w:pPr>
            <w:r>
              <w:rPr>
                <w:rFonts w:ascii="Arial" w:cs="Arial" w:eastAsia="Arial" w:hAnsi="Arial"/>
                <w:sz w:val="16"/>
                <w:szCs w:val="16"/>
                <w:b w:val="1"/>
                <w:bCs w:val="1"/>
                <w:color w:val="auto"/>
              </w:rPr>
              <w:t>Maturity Date</w:t>
            </w: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Rate</w:t>
            </w:r>
          </w:p>
        </w:tc>
        <w:tc>
          <w:tcPr>
            <w:tcW w:w="12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Carrying Value</w:t>
            </w:r>
          </w:p>
        </w:tc>
        <w:tc>
          <w:tcPr>
            <w:tcW w:w="240" w:type="dxa"/>
            <w:vAlign w:val="bottom"/>
          </w:tcPr>
          <w:p>
            <w:pPr>
              <w:spacing w:after="0"/>
              <w:rPr>
                <w:sz w:val="2"/>
                <w:szCs w:val="2"/>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6"/>
        </w:trPr>
        <w:tc>
          <w:tcPr>
            <w:tcW w:w="196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Level</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2032 Senior Notes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2029 Senior Notes</w:t>
            </w:r>
          </w:p>
        </w:tc>
        <w:tc>
          <w:tcPr>
            <w:tcW w:w="1200" w:type="dxa"/>
            <w:vAlign w:val="bottom"/>
          </w:tcPr>
          <w:p>
            <w:pPr>
              <w:jc w:val="right"/>
              <w:spacing w:after="0"/>
              <w:rPr>
                <w:sz w:val="20"/>
                <w:szCs w:val="20"/>
                <w:color w:val="auto"/>
              </w:rPr>
            </w:pPr>
            <w:r>
              <w:rPr>
                <w:rFonts w:ascii="Arial" w:cs="Arial" w:eastAsia="Arial" w:hAnsi="Arial"/>
                <w:sz w:val="16"/>
                <w:szCs w:val="16"/>
                <w:color w:val="auto"/>
              </w:rPr>
              <w:t>April 15,</w:t>
            </w:r>
          </w:p>
        </w:tc>
        <w:tc>
          <w:tcPr>
            <w:tcW w:w="42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5.250 %</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895,000</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Since the LLC can borrow, repay and reborrow principal under the 2022 Revolving Credit Facility, the debt issuance costs associated with the 2022 Revolving Credit Facility have been classified as other non-current assets in the accompanying condensed consolidated balance sheet. The debt issuance costs associated with the 2022 Term Loan and First Amendment and Senior Notes are classified as a reduction of long-term debt in the accompanying condensed consolidated balance sheets. The Company recorded $1.2 million in deferred debt issuance costs related to the First Amendment of the 2022 Credit Facility in the six months ended June 30, 2025. During the second quarter of 2025, the Company entered into the First Forbearance Agreement, which amended the 2022 Credit Facility to reduce the aggregate borrowing amount available for revolving commitments to $100 million from $600 million. As a result of the reduction in available revolving commitments, the Company wrote-off a portion of the deferred financing costs associated with the 2022 Revolving Credit Facility and recognized $2.8 million in loss on debt modification in the second quarter of 2025.</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debt issuance costs at June 30, 2025 and December 31, 2024,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June 30, 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debt issuance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32,526</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(17,797)</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debt issuance costs,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Balance sheet classification: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LLC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Trust are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common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("ATM")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Common Sales Agreement amended and restated in its entirety the At Market Issuance Sales Agreement (the “Common Sales Agreement”), dated September 7, 2021, between the Company, B. Riley Securities and Goldman, which provided for the offer and sale of Trust common shares up to $500 million under the terms substantially same as those under the Amended Common Sales Agreement.</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and six months ended June 30, 2025, there were no sales of Trust common shares under the Amended Common Sales Agreement.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and six months ended June 30, 2024, the Company sold 151,648 and 205,580 Trust common shares under the Common Sales Agreement, respectively. During the same periods, the Company received total net proceeds of approximately $3.4 million and $4.7 million, respectively, from these sales. The Company incurred approximately $0.1 million in commissions paid to the Common Sales Agents during the three and six months ended June 30, 2024.</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incurred approximately $24.0 thousand and $59.0 thousand in total costs related to the ATM program during the three and six months ended June 30, 2025, respectively. The Company incurred approximately $0.1 million and $0.2 million in total costs related to the ATM programs during the three and six months ended June 30, 2024, respectively.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commencement of the Lugano Investigation and related events, the Company determined during the quarter ended June 30, 2025 that it was unable to continue offering and selling its common shares under the Amended Common Sales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The share repurchase program expired on December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Distribution on Common Shares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light of the Lugano Investigation and related matters, on May 27, 2025, the Company announced that it suspended the quarterly cash distribution historically paid to common shareholders in order to preserve cash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ind w:right="1220"/>
        <w:spacing w:after="0" w:line="406" w:lineRule="auto"/>
        <w:rPr>
          <w:sz w:val="20"/>
          <w:szCs w:val="20"/>
          <w:color w:val="auto"/>
        </w:rPr>
      </w:pPr>
      <w:r>
        <w:rPr>
          <w:rFonts w:ascii="Arial" w:cs="Arial" w:eastAsia="Arial" w:hAnsi="Arial"/>
          <w:sz w:val="18"/>
          <w:szCs w:val="18"/>
          <w:color w:val="auto"/>
        </w:rPr>
        <w:t xml:space="preserve">protect long-term value until such time as the Company’s board of directors deems it appropriate to resume such distributions. </w:t>
      </w:r>
      <w:r>
        <w:rPr>
          <w:rFonts w:ascii="Arial" w:cs="Arial" w:eastAsia="Arial" w:hAnsi="Arial"/>
          <w:sz w:val="18"/>
          <w:szCs w:val="18"/>
          <w:b w:val="1"/>
          <w:bCs w:val="1"/>
          <w:i w:val="1"/>
          <w:iCs w:val="1"/>
          <w:color w:val="auto"/>
        </w:rPr>
        <w:t>Trust Preferred Shares</w:t>
      </w:r>
    </w:p>
    <w:p>
      <w:pPr>
        <w:spacing w:after="0" w:line="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preferred shares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the Series B Preferred Shares, and the Series C Preferred Shares, the “Preferred Shares”), each representing beneficial interests in the Trust.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Preferred Sales Agreement amended and restated in its entirety, the At Market Issuance Sales Agreement, dated March 20, 2024, between the Company and B. Riley Securities, which provided for the offer and sale of Trust preferred shares up to $100 million under the terms substantially the same as those under the Amended Preferred Sales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the preferred share ATM program during the three and six months ended June 30,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June 30, 2024 </w:t>
      </w:r>
      <w:r>
        <w:rPr>
          <w:rFonts w:ascii="Arial" w:cs="Arial" w:eastAsia="Arial" w:hAnsi="Arial"/>
          <w:sz w:val="18"/>
          <w:szCs w:val="18"/>
          <w:i w:val="1"/>
          <w:iCs w:val="1"/>
          <w:color w:val="auto"/>
        </w:rPr>
        <w:t>(in thousands, except share data)</w:t>
      </w:r>
      <w:r>
        <w:rPr>
          <w:rFonts w:ascii="Arial" w:cs="Arial" w:eastAsia="Arial" w:hAnsi="Arial"/>
          <w:sz w:val="18"/>
          <w:szCs w:val="18"/>
          <w:color w:val="auto"/>
        </w:rPr>
        <w:t>:</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4320" w:type="dxa"/>
            <w:vAlign w:val="bottom"/>
            <w:gridSpan w:val="8"/>
          </w:tcPr>
          <w:p>
            <w:pPr>
              <w:ind w:left="820"/>
              <w:spacing w:after="0"/>
              <w:rPr>
                <w:sz w:val="20"/>
                <w:szCs w:val="20"/>
                <w:color w:val="auto"/>
              </w:rPr>
            </w:pPr>
            <w:r>
              <w:rPr>
                <w:rFonts w:ascii="Arial" w:cs="Arial" w:eastAsia="Arial" w:hAnsi="Arial"/>
                <w:sz w:val="15"/>
                <w:szCs w:val="15"/>
                <w:b w:val="1"/>
                <w:bCs w:val="1"/>
                <w:color w:val="auto"/>
              </w:rPr>
              <w:t>Three Months Ended June 30, 2025</w:t>
            </w:r>
          </w:p>
        </w:tc>
        <w:tc>
          <w:tcPr>
            <w:tcW w:w="3680" w:type="dxa"/>
            <w:vAlign w:val="bottom"/>
            <w:gridSpan w:val="6"/>
          </w:tcPr>
          <w:p>
            <w:pPr>
              <w:jc w:val="center"/>
              <w:ind w:left="664"/>
              <w:spacing w:after="0"/>
              <w:rPr>
                <w:sz w:val="20"/>
                <w:szCs w:val="20"/>
                <w:color w:val="auto"/>
              </w:rPr>
            </w:pPr>
            <w:r>
              <w:rPr>
                <w:rFonts w:ascii="Arial" w:cs="Arial" w:eastAsia="Arial" w:hAnsi="Arial"/>
                <w:sz w:val="15"/>
                <w:szCs w:val="15"/>
                <w:b w:val="1"/>
                <w:bCs w:val="1"/>
                <w:color w:val="auto"/>
              </w:rPr>
              <w:t>Six Months ended June 30, 2025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5"/>
                <w:szCs w:val="15"/>
                <w:b w:val="1"/>
                <w:bCs w:val="1"/>
                <w:color w:val="auto"/>
              </w:rPr>
              <w:t>Number of</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Net Proceeds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44"/>
              <w:spacing w:after="0" w:line="142" w:lineRule="exact"/>
              <w:rPr>
                <w:sz w:val="20"/>
                <w:szCs w:val="20"/>
                <w:color w:val="auto"/>
              </w:rPr>
            </w:pPr>
            <w:r>
              <w:rPr>
                <w:rFonts w:ascii="Arial" w:cs="Arial" w:eastAsia="Arial" w:hAnsi="Arial"/>
                <w:sz w:val="15"/>
                <w:szCs w:val="15"/>
                <w:b w:val="1"/>
                <w:bCs w:val="1"/>
                <w:color w:val="auto"/>
              </w:rPr>
              <w:t>Commissions</w:t>
            </w:r>
          </w:p>
        </w:tc>
        <w:tc>
          <w:tcPr>
            <w:tcW w:w="14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Shares Sold</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Paid</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127,078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2,854</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300" w:type="dxa"/>
            <w:vAlign w:val="bottom"/>
          </w:tcPr>
          <w:p>
            <w:pPr>
              <w:jc w:val="right"/>
              <w:spacing w:after="0"/>
              <w:rPr>
                <w:sz w:val="20"/>
                <w:szCs w:val="20"/>
                <w:color w:val="auto"/>
              </w:rPr>
            </w:pPr>
            <w:r>
              <w:rPr>
                <w:rFonts w:ascii="Arial" w:cs="Arial" w:eastAsia="Arial" w:hAnsi="Arial"/>
                <w:sz w:val="15"/>
                <w:szCs w:val="15"/>
                <w:color w:val="auto"/>
              </w:rPr>
              <w:t>29,839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1,331,522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29,869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1,152,584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26,285</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195"/>
        </w:trPr>
        <w:tc>
          <w:tcPr>
            <w:tcW w:w="2420" w:type="dxa"/>
            <w:vAlign w:val="bottom"/>
          </w:tcPr>
          <w:p>
            <w:pPr>
              <w:ind w:left="220"/>
              <w:spacing w:after="0"/>
              <w:rPr>
                <w:sz w:val="20"/>
                <w:szCs w:val="20"/>
                <w:color w:val="auto"/>
              </w:rPr>
            </w:pPr>
            <w:r>
              <w:rPr>
                <w:rFonts w:ascii="Arial" w:cs="Arial" w:eastAsia="Arial" w:hAnsi="Arial"/>
                <w:sz w:val="15"/>
                <w:szCs w:val="15"/>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39,013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2,611,184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59,008</w:t>
            </w:r>
          </w:p>
        </w:tc>
        <w:tc>
          <w:tcPr>
            <w:tcW w:w="80" w:type="dxa"/>
            <w:vAlign w:val="bottom"/>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bl>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4320" w:type="dxa"/>
            <w:vAlign w:val="bottom"/>
            <w:gridSpan w:val="8"/>
          </w:tcPr>
          <w:p>
            <w:pPr>
              <w:ind w:left="820"/>
              <w:spacing w:after="0"/>
              <w:rPr>
                <w:sz w:val="20"/>
                <w:szCs w:val="20"/>
                <w:color w:val="auto"/>
              </w:rPr>
            </w:pPr>
            <w:r>
              <w:rPr>
                <w:rFonts w:ascii="Arial" w:cs="Arial" w:eastAsia="Arial" w:hAnsi="Arial"/>
                <w:sz w:val="15"/>
                <w:szCs w:val="15"/>
                <w:b w:val="1"/>
                <w:bCs w:val="1"/>
                <w:color w:val="auto"/>
              </w:rPr>
              <w:t>Three Months Ended June 30, 2024</w:t>
            </w:r>
          </w:p>
        </w:tc>
        <w:tc>
          <w:tcPr>
            <w:tcW w:w="3740" w:type="dxa"/>
            <w:vAlign w:val="bottom"/>
            <w:gridSpan w:val="6"/>
          </w:tcPr>
          <w:p>
            <w:pPr>
              <w:jc w:val="center"/>
              <w:ind w:left="604"/>
              <w:spacing w:after="0"/>
              <w:rPr>
                <w:sz w:val="20"/>
                <w:szCs w:val="20"/>
                <w:color w:val="auto"/>
              </w:rPr>
            </w:pPr>
            <w:r>
              <w:rPr>
                <w:rFonts w:ascii="Arial" w:cs="Arial" w:eastAsia="Arial" w:hAnsi="Arial"/>
                <w:sz w:val="15"/>
                <w:szCs w:val="15"/>
                <w:b w:val="1"/>
                <w:bCs w:val="1"/>
                <w:color w:val="auto"/>
              </w:rPr>
              <w:t>Six Months ended June 30, 2024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5"/>
                <w:szCs w:val="15"/>
                <w:b w:val="1"/>
                <w:bCs w:val="1"/>
                <w:color w:val="auto"/>
              </w:rPr>
              <w:t>Number of</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Net Proceeds</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44"/>
              <w:spacing w:after="0" w:line="142" w:lineRule="exact"/>
              <w:rPr>
                <w:sz w:val="20"/>
                <w:szCs w:val="20"/>
                <w:color w:val="auto"/>
              </w:rPr>
            </w:pPr>
            <w:r>
              <w:rPr>
                <w:rFonts w:ascii="Arial" w:cs="Arial" w:eastAsia="Arial" w:hAnsi="Arial"/>
                <w:sz w:val="15"/>
                <w:szCs w:val="15"/>
                <w:b w:val="1"/>
                <w:bCs w:val="1"/>
                <w:color w:val="auto"/>
              </w:rPr>
              <w:t>Commissions</w:t>
            </w:r>
          </w:p>
        </w:tc>
        <w:tc>
          <w:tcPr>
            <w:tcW w:w="14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5"/>
                <w:szCs w:val="15"/>
                <w:b w:val="1"/>
                <w:bCs w:val="1"/>
                <w:color w:val="auto"/>
              </w:rPr>
              <w:t>Number of Shares</w:t>
            </w: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5"/>
                <w:szCs w:val="15"/>
                <w:b w:val="1"/>
                <w:bCs w:val="1"/>
                <w:color w:val="auto"/>
              </w:rPr>
              <w:t>Net Proceeds</w:t>
            </w:r>
          </w:p>
        </w:tc>
        <w:tc>
          <w:tcPr>
            <w:tcW w:w="14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Shares Sold</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Paid</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Sold</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1,102</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300" w:type="dxa"/>
            <w:vAlign w:val="bottom"/>
          </w:tcPr>
          <w:p>
            <w:pPr>
              <w:jc w:val="right"/>
              <w:spacing w:after="0"/>
              <w:rPr>
                <w:sz w:val="20"/>
                <w:szCs w:val="20"/>
                <w:color w:val="auto"/>
              </w:rPr>
            </w:pPr>
            <w:r>
              <w:rPr>
                <w:rFonts w:ascii="Arial" w:cs="Arial" w:eastAsia="Arial" w:hAnsi="Arial"/>
                <w:sz w:val="15"/>
                <w:szCs w:val="15"/>
                <w:color w:val="auto"/>
              </w:rPr>
              <w:t>124,407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3,028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62</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128,067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3,120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215,273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5,223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237,904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5,781</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95"/>
        </w:trPr>
        <w:tc>
          <w:tcPr>
            <w:tcW w:w="2420" w:type="dxa"/>
            <w:vAlign w:val="bottom"/>
          </w:tcPr>
          <w:p>
            <w:pPr>
              <w:ind w:left="220"/>
              <w:spacing w:after="0"/>
              <w:rPr>
                <w:sz w:val="20"/>
                <w:szCs w:val="20"/>
                <w:color w:val="auto"/>
              </w:rPr>
            </w:pPr>
            <w:r>
              <w:rPr>
                <w:rFonts w:ascii="Arial" w:cs="Arial" w:eastAsia="Arial" w:hAnsi="Arial"/>
                <w:sz w:val="15"/>
                <w:szCs w:val="15"/>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377,481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9,167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411,329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10,003</w:t>
            </w:r>
          </w:p>
        </w:tc>
        <w:tc>
          <w:tcPr>
            <w:tcW w:w="80" w:type="dxa"/>
            <w:vAlign w:val="bottom"/>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incurred less than $0.1 million in total costs related to the preferred share ATM program during both the three and six months ended June 30, 2025, respectively, and approximately $0.2 million in total costs related to the preferred share ATM program during both the three and six months ended June 30, 2024,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8"/>
          <w:szCs w:val="18"/>
          <w:color w:val="auto"/>
        </w:rPr>
        <w:t>As a result of the commencement of the Lugano Investigation and related events, the Company determined during the quarter ended June 30, 2025 that it was unable to continue offering and selling Trust preferred shares under the Amended Preferred Sales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June 30, 2025, $2.6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Company to repurchase the Series C Preferred Shares absent certain fundamental changes of the Company and there is no maturity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13, 2018, the Trust issued 4,000,000 7.875% Series B Preferred Shares (the "Series B Preferred Shares") with a liquidation preference of $ 25.00 per share, for gross proceeds of $100.0 million, or $96.5 million net of underwriters' discount and issuance costs. Distributions on the Series B Preferred Shares are payable quarterly in arrears, when and as declared by the Company's board of directors on January 30, April 30, July 30, and October 30 of each year, beginning on July 30, 2018, at a rate per annum of 7.875%. Holders of the Series B Preferred Shares are entitled to receive cumulative cash distributions (i) from and including the date of issuance to, but excluding, April 30, 2028 a rate equal to 7.875% per annum and (ii) from and including April 30, 2028, at a floating rate equal to the applicable successor to three-month LIBOR (as determined by a calculation agent) plus a spread of 4.985% per annum. Subsequent to April 30, 2028, the distribution rate will be reset quarterly. At June 30, 2025, $2.5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Series B Preferred Shares. The Series B Preferred Shares may be redeemed at the Company's option, in whole or in part, at any time after April 30, 2028, at a price of $ 25.00 per share, plus any accumulated and unpaid distributions (thereon whether authorized or declared) to, but excluding, the redemption date. Holders of Series B Preferred Shares will have no right to require the Company to repurchase the Series B Preferred Shares absent certain fundamental changes of the Company and there is no maturity date.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Series A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28, 2017, the Trust issued 4,000,000 7.250% Series A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are not convertible into Trust common shares and have no voting rights, except in limited circumstances as provided for in the share designation for the Series A Preferred Shares. The Series A Preferred Shares may be redeemed at the Company’s option, in whole or in part, at any time after July 30, 2022, at a price of $25.00 per share, plus declared and unpaid distributions to, but excluding, the redemption date, without payment of nay undeclared distributions. Holders of Series A Preferred Shares will have no right to require the Company to repurchase the Series A Preferred Shares absent certain fundamental changes of the Company and there is no maturity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Allocation Interests ("Holders"), through Sostratus LLC, are entitled to receive distributions pursuant to a profit allocation formula upon the occurrence of certain events. The distributions of the profit allocation is paid upon the sale of a business (a "Sale Event") and upon election of the Holder during the 30-day period following the fifth anniversary of the date upon which we acquired a controlling interest in a business (a "Holding Event"). The Company records distributions of the profit allocation to the Holders upon occurrence of a Sale Event or Holding Event as dividends declared on Allocation Interests to stockholders’ equity when they are approved by the Company’s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and therefore no profit allocation payment was due to the Holders. The negative amount will offset future profit allocation payments due to the Holders.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net income (loss) attributable to Holdings to net income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4"/>
          </w:tcPr>
          <w:p>
            <w:pPr>
              <w:jc w:val="right"/>
              <w:ind w:right="564"/>
              <w:spacing w:after="0" w:line="162" w:lineRule="exact"/>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4"/>
          </w:tcPr>
          <w:p>
            <w:pPr>
              <w:jc w:val="right"/>
              <w:ind w:right="664"/>
              <w:spacing w:after="0" w:line="162" w:lineRule="exact"/>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5"/>
          </w:tcPr>
          <w:p>
            <w:pPr>
              <w:ind w:left="74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8"/>
                <w:szCs w:val="18"/>
                <w:color w:val="auto"/>
              </w:rPr>
            </w:pPr>
          </w:p>
        </w:tc>
        <w:tc>
          <w:tcPr>
            <w:tcW w:w="2560" w:type="dxa"/>
            <w:vAlign w:val="bottom"/>
            <w:gridSpan w:val="5"/>
          </w:tcPr>
          <w:p>
            <w:pPr>
              <w:ind w:left="800"/>
              <w:spacing w:after="0"/>
              <w:rPr>
                <w:sz w:val="20"/>
                <w:szCs w:val="20"/>
                <w:color w:val="auto"/>
              </w:rPr>
            </w:pPr>
            <w:r>
              <w:rPr>
                <w:rFonts w:ascii="Arial" w:cs="Arial" w:eastAsia="Arial" w:hAnsi="Arial"/>
                <w:sz w:val="15"/>
                <w:szCs w:val="15"/>
                <w:b w:val="1"/>
                <w:bCs w:val="1"/>
                <w:color w:val="auto"/>
              </w:rPr>
              <w:t>June 30,</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2024</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Holdings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6"/>
                <w:szCs w:val="16"/>
                <w:color w:val="auto"/>
              </w:rPr>
              <w:t>Less: Distributions paid - Allocation Interests</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Distributions paid - Preferred Shares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Accrued distributions - Preferred Shares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2,991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4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(68,884)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(83,251)</w:t>
            </w: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(107,355)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Holdings</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1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34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six months ended June 30, 2025 and 2024 reflects the incremental increase during the period in the profit allocation distribution to Holders related to Holding Events.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2025 and 2024 attributable to the common shares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564"/>
              <w:spacing w:after="0" w:line="162" w:lineRule="exact"/>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644"/>
              <w:spacing w:after="0" w:line="162" w:lineRule="exact"/>
              <w:rPr>
                <w:sz w:val="20"/>
                <w:szCs w:val="20"/>
                <w:color w:val="auto"/>
              </w:rPr>
            </w:pPr>
            <w:r>
              <w:rPr>
                <w:rFonts w:ascii="Arial" w:cs="Arial" w:eastAsia="Arial" w:hAnsi="Arial"/>
                <w:sz w:val="15"/>
                <w:szCs w:val="15"/>
                <w:b w:val="1"/>
                <w:bCs w:val="1"/>
                <w:color w:val="auto"/>
              </w:rPr>
              <w:t>Six months ended</w:t>
            </w:r>
          </w:p>
        </w:tc>
      </w:tr>
      <w:tr>
        <w:trPr>
          <w:trHeight w:val="213"/>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780"/>
              <w:spacing w:after="0"/>
              <w:rPr>
                <w:sz w:val="20"/>
                <w:szCs w:val="20"/>
                <w:color w:val="auto"/>
              </w:rPr>
            </w:pPr>
            <w:r>
              <w:rPr>
                <w:rFonts w:ascii="Arial" w:cs="Arial" w:eastAsia="Arial" w:hAnsi="Arial"/>
                <w:sz w:val="15"/>
                <w:szCs w:val="15"/>
                <w:b w:val="1"/>
                <w:bCs w:val="1"/>
                <w:color w:val="auto"/>
              </w:rPr>
              <w:t>June 30,</w:t>
            </w:r>
          </w:p>
        </w:tc>
        <w:tc>
          <w:tcPr>
            <w:tcW w:w="280" w:type="dxa"/>
            <w:vAlign w:val="bottom"/>
          </w:tcPr>
          <w:p>
            <w:pPr>
              <w:spacing w:after="0"/>
              <w:rPr>
                <w:sz w:val="18"/>
                <w:szCs w:val="18"/>
                <w:color w:val="auto"/>
              </w:rPr>
            </w:pPr>
          </w:p>
        </w:tc>
        <w:tc>
          <w:tcPr>
            <w:tcW w:w="2440" w:type="dxa"/>
            <w:vAlign w:val="bottom"/>
            <w:gridSpan w:val="4"/>
          </w:tcPr>
          <w:p>
            <w:pPr>
              <w:jc w:val="right"/>
              <w:ind w:right="964"/>
              <w:spacing w:after="0"/>
              <w:rPr>
                <w:sz w:val="20"/>
                <w:szCs w:val="20"/>
                <w:color w:val="auto"/>
              </w:rPr>
            </w:pPr>
            <w:r>
              <w:rPr>
                <w:rFonts w:ascii="Arial" w:cs="Arial" w:eastAsia="Arial" w:hAnsi="Arial"/>
                <w:sz w:val="15"/>
                <w:szCs w:val="15"/>
                <w:b w:val="1"/>
                <w:bCs w:val="1"/>
                <w:color w:val="auto"/>
              </w:rPr>
              <w:t>June 30,</w:t>
            </w:r>
          </w:p>
        </w:tc>
      </w:tr>
      <w:tr>
        <w:trPr>
          <w:trHeight w:val="199"/>
        </w:trPr>
        <w:tc>
          <w:tcPr>
            <w:tcW w:w="55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2024</w:t>
            </w: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(As Restated)</w:t>
            </w:r>
          </w:p>
        </w:tc>
      </w:tr>
      <w:tr>
        <w:trPr>
          <w:trHeight w:val="162"/>
        </w:trPr>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(198,412)</w:t>
            </w:r>
          </w:p>
        </w:tc>
      </w:tr>
      <w:tr>
        <w:trPr>
          <w:trHeight w:val="215"/>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Effect of contribution based profit - Holding Event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1,625</w:t>
            </w:r>
          </w:p>
        </w:tc>
      </w:tr>
      <w:tr>
        <w:trPr>
          <w:trHeight w:val="143"/>
        </w:trPr>
        <w:tc>
          <w:tcPr>
            <w:tcW w:w="5560" w:type="dxa"/>
            <w:vAlign w:val="bottom"/>
            <w:shd w:val="clear" w:color="auto" w:fill="CCEEFF"/>
          </w:tcPr>
          <w:p>
            <w:pPr>
              <w:spacing w:after="0" w:line="143" w:lineRule="exact"/>
              <w:rPr>
                <w:sz w:val="20"/>
                <w:szCs w:val="20"/>
                <w:color w:val="auto"/>
              </w:rPr>
            </w:pPr>
            <w:r>
              <w:rPr>
                <w:rFonts w:ascii="Arial" w:cs="Arial" w:eastAsia="Arial" w:hAnsi="Arial"/>
                <w:sz w:val="16"/>
                <w:szCs w:val="16"/>
                <w:color w:val="auto"/>
              </w:rPr>
              <w:t>Net loss from continuing operations attributable to common shares of</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(200,037)</w:t>
            </w:r>
          </w:p>
        </w:tc>
      </w:tr>
      <w:tr>
        <w:trPr>
          <w:trHeight w:val="216"/>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 attributable to 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5,105</w:t>
            </w:r>
          </w:p>
        </w:tc>
      </w:tr>
      <w:tr>
        <w:trPr>
          <w:trHeight w:val="215"/>
        </w:trPr>
        <w:tc>
          <w:tcPr>
            <w:tcW w:w="5560" w:type="dxa"/>
            <w:vAlign w:val="bottom"/>
          </w:tcPr>
          <w:p>
            <w:pPr>
              <w:spacing w:after="0"/>
              <w:rPr>
                <w:sz w:val="20"/>
                <w:szCs w:val="20"/>
                <w:color w:val="auto"/>
              </w:rPr>
            </w:pPr>
            <w:r>
              <w:rPr>
                <w:rFonts w:ascii="Arial" w:cs="Arial" w:eastAsia="Arial" w:hAnsi="Arial"/>
                <w:sz w:val="16"/>
                <w:szCs w:val="16"/>
                <w:color w:val="auto"/>
              </w:rPr>
              <w:t>Less: Effect of contribution based profit - Holding Event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43"/>
        </w:trPr>
        <w:tc>
          <w:tcPr>
            <w:tcW w:w="55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6"/>
                <w:szCs w:val="16"/>
                <w:color w:val="auto"/>
              </w:rPr>
              <w:t>Income from discontinued operations attributable to common shares of</w:t>
            </w: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5,105</w:t>
            </w:r>
          </w:p>
        </w:tc>
      </w:tr>
      <w:tr>
        <w:trPr>
          <w:trHeight w:val="216"/>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weighted average common shares outstanding</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75,332</w:t>
            </w:r>
          </w:p>
        </w:tc>
      </w:tr>
      <w:tr>
        <w:trPr>
          <w:trHeight w:val="216"/>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62"/>
        </w:trPr>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Basic and fully diluted income (loss) per common share attributable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 Holdings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0.07</w:t>
            </w: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r>
      <w:tr>
        <w:trPr>
          <w:trHeight w:val="22"/>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240"/>
          </w:cols>
          <w:pgMar w:left="320" w:top="1108" w:right="339" w:bottom="1440" w:gutter="0" w:footer="0" w:header="0"/>
        </w:sectPr>
      </w:pP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2025 - March 31,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2024 - December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1, 2024 - September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2024 - June 30,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2024 - March 31,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April 30, 2025 - July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April 30, 2025 - July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4"/>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April 30, 2025 - July 29, 2025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2025 - April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2024 - January 29, 2025</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-4351655</wp:posOffset>
            </wp:positionV>
            <wp:extent cx="70980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-4077335</wp:posOffset>
            </wp:positionV>
            <wp:extent cx="709803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-3803015</wp:posOffset>
            </wp:positionV>
            <wp:extent cx="70980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-3562985</wp:posOffset>
            </wp:positionV>
            <wp:extent cx="70980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-3288665</wp:posOffset>
            </wp:positionV>
            <wp:extent cx="70980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-3014345</wp:posOffset>
            </wp:positionV>
            <wp:extent cx="709803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-2740025</wp:posOffset>
            </wp:positionV>
            <wp:extent cx="70980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-2465705</wp:posOffset>
            </wp:positionV>
            <wp:extent cx="709803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1028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-2225675</wp:posOffset>
            </wp:positionV>
            <wp:extent cx="70980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-1951355</wp:posOffset>
            </wp:positionV>
            <wp:extent cx="70980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-1677035</wp:posOffset>
            </wp:positionV>
            <wp:extent cx="709803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-1402715</wp:posOffset>
            </wp:positionV>
            <wp:extent cx="709803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-1094105</wp:posOffset>
            </wp:positionV>
            <wp:extent cx="709803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-819785</wp:posOffset>
            </wp:positionV>
            <wp:extent cx="70980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-545465</wp:posOffset>
            </wp:positionV>
            <wp:extent cx="709803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-271145</wp:posOffset>
            </wp:positionV>
            <wp:extent cx="70980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41"/>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8"/>
        </w:trPr>
        <w:tc>
          <w:tcPr>
            <w:tcW w:w="1500" w:type="dxa"/>
            <w:vAlign w:val="bottom"/>
          </w:tcPr>
          <w:p>
            <w:pPr>
              <w:jc w:val="right"/>
              <w:ind w:right="461"/>
              <w:spacing w:after="0"/>
              <w:rPr>
                <w:sz w:val="20"/>
                <w:szCs w:val="20"/>
                <w:color w:val="auto"/>
              </w:rPr>
            </w:pPr>
            <w:r>
              <w:rPr>
                <w:rFonts w:ascii="Arial" w:cs="Arial" w:eastAsia="Arial" w:hAnsi="Arial"/>
                <w:sz w:val="16"/>
                <w:szCs w:val="16"/>
                <w:b w:val="1"/>
                <w:bCs w:val="1"/>
                <w:color w:val="auto"/>
                <w:w w:val="95"/>
              </w:rPr>
              <w:t>Distributions</w:t>
            </w:r>
          </w:p>
        </w:tc>
        <w:tc>
          <w:tcPr>
            <w:tcW w:w="17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0"/>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17,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24,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17,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24,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25,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18,846</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18,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25,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2,120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1,852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1,822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594"/>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3,703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3,048</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2,347</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2,064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1,983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702"/>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3,892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3,324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2025</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2,690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2,430</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2,295</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2,264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2024</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-4591685</wp:posOffset>
            </wp:positionV>
            <wp:extent cx="1165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5720" w:space="340"/>
            <w:col w:w="5180"/>
          </w:cols>
          <w:pgMar w:left="320" w:top="1108" w:right="339" w:bottom="1440" w:gutter="0" w:footer="0" w:header="0"/>
          <w:type w:val="continuous"/>
        </w:sectPr>
      </w:pPr>
    </w:p>
    <w:p>
      <w:pPr>
        <w:ind w:left="220" w:hanging="212"/>
        <w:spacing w:after="0"/>
        <w:tabs>
          <w:tab w:leader="none" w:pos="220" w:val="left"/>
        </w:tabs>
        <w:numPr>
          <w:ilvl w:val="0"/>
          <w:numId w:val="13"/>
        </w:numPr>
        <w:rPr>
          <w:rFonts w:ascii="Arial" w:cs="Arial" w:eastAsia="Arial" w:hAnsi="Arial"/>
          <w:sz w:val="26"/>
          <w:szCs w:val="26"/>
          <w:b w:val="1"/>
          <w:bCs w:val="1"/>
          <w:color w:val="auto"/>
          <w:vertAlign w:val="superscript"/>
        </w:rPr>
      </w:pPr>
      <w:r>
        <w:rPr>
          <w:rFonts w:ascii="Arial" w:cs="Arial" w:eastAsia="Arial" w:hAnsi="Arial"/>
          <w:sz w:val="17"/>
          <w:szCs w:val="17"/>
          <w:color w:val="auto"/>
        </w:rPr>
        <w:t>This distribution was declared on July 2, 2025.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Noncontrolling interest represents the portion of the Company’s majority owned subsidiaries' net income (loss) and equity that is owned by noncontrolling shareholders. The following tables reflect the LLC’s ownership percentage of its majority owned operating segments and related noncontrolling interest balances as of June 30, 2025 and December 31, 2024:</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36" w:name="page37"/>
    <w:bookmarkEnd w:id="36"/>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ind w:left="8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440" w:type="dxa"/>
            <w:vAlign w:val="bottom"/>
            <w:tcBorders>
              <w:bottom w:val="single" w:sz="8" w:color="auto"/>
            </w:tcBorders>
            <w:gridSpan w:val="3"/>
          </w:tcPr>
          <w:p>
            <w:pPr>
              <w:ind w:left="940"/>
              <w:spacing w:after="0"/>
              <w:rPr>
                <w:sz w:val="20"/>
                <w:szCs w:val="20"/>
                <w:color w:val="auto"/>
              </w:rPr>
            </w:pPr>
            <w:r>
              <w:rPr>
                <w:rFonts w:ascii="Arial" w:cs="Arial" w:eastAsia="Arial" w:hAnsi="Arial"/>
                <w:sz w:val="15"/>
                <w:szCs w:val="15"/>
                <w:b w:val="1"/>
                <w:bCs w:val="1"/>
                <w:color w:val="auto"/>
              </w:rPr>
              <w:t>June 30, 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5"/>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5"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5"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97.9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ind w:left="960"/>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1340" w:type="dxa"/>
            <w:vAlign w:val="bottom"/>
          </w:tcPr>
          <w:p>
            <w:pPr>
              <w:ind w:left="960"/>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ind w:left="960"/>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tcPr>
          <w:p>
            <w:pPr>
              <w:ind w:left="960"/>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line="235" w:lineRule="auto"/>
        <w:tabs>
          <w:tab w:leader="none" w:pos="477" w:val="left"/>
        </w:tabs>
        <w:numPr>
          <w:ilvl w:val="0"/>
          <w:numId w:val="14"/>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Noncontrolling Interest Balances</w:t>
            </w: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2025</w:t>
            </w:r>
          </w:p>
        </w:tc>
        <w:tc>
          <w:tcPr>
            <w:tcW w:w="180" w:type="dxa"/>
            <w:vAlign w:val="bottom"/>
          </w:tcPr>
          <w:p>
            <w:pPr>
              <w:spacing w:after="0"/>
              <w:rPr>
                <w:sz w:val="17"/>
                <w:szCs w:val="17"/>
                <w:color w:val="auto"/>
              </w:rPr>
            </w:pPr>
          </w:p>
        </w:tc>
        <w:tc>
          <w:tcPr>
            <w:tcW w:w="1720" w:type="dxa"/>
            <w:vAlign w:val="bottom"/>
          </w:tcPr>
          <w:p>
            <w:pPr>
              <w:jc w:val="right"/>
              <w:ind w:right="180"/>
              <w:spacing w:after="0"/>
              <w:rPr>
                <w:sz w:val="20"/>
                <w:szCs w:val="20"/>
                <w:color w:val="auto"/>
              </w:rPr>
            </w:pPr>
            <w:r>
              <w:rPr>
                <w:rFonts w:ascii="Arial" w:cs="Arial" w:eastAsia="Arial" w:hAnsi="Arial"/>
                <w:sz w:val="15"/>
                <w:szCs w:val="15"/>
                <w:b w:val="1"/>
                <w:bCs w:val="1"/>
                <w:color w:val="auto"/>
              </w:rPr>
              <w:t>December 31, 2024</w:t>
            </w:r>
          </w:p>
        </w:tc>
      </w:tr>
      <w:tr>
        <w:trPr>
          <w:trHeight w:val="196"/>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15,103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Lugano</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(268,595)</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PrimaLoft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32,133</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41,869</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6,824</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Altor</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Arnold</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15"/>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Allocation Interests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5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assets or liabilities measured on a recurring basis as of June 30, 2025 or December 31, 2024. The Company had no assets or liabilities Level 3 fair value measurements during the three months ended June 30, 2025 or during the year ended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2024 Form 10-K/A for the year ended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table provides the assets and liabilities carried at fair value measured on a non-recurring basis as of June 30, 2025 and December 31, 2024. Refer to </w:t>
      </w:r>
      <w:r>
        <w:rPr>
          <w:rFonts w:ascii="Arial" w:cs="Arial" w:eastAsia="Arial" w:hAnsi="Arial"/>
          <w:sz w:val="18"/>
          <w:szCs w:val="18"/>
          <w:u w:val="single" w:color="auto"/>
          <w:color w:val="0000FF"/>
        </w:rPr>
        <w:t>"Note F - Goodwill and Intangible Assets"</w:t>
      </w:r>
      <w:r>
        <w:rPr>
          <w:rFonts w:ascii="Arial" w:cs="Arial" w:eastAsia="Arial" w:hAnsi="Arial"/>
          <w:sz w:val="18"/>
          <w:szCs w:val="18"/>
          <w:color w:val="auto"/>
        </w:rPr>
        <w:t>, for a description of the valuation techniques used to determine fair value of the assets measured on a non-recurring basis in the tables below.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7" w:name="page38"/>
    <w:bookmarkEnd w:id="37"/>
    <w:tbl>
      <w:tblPr>
        <w:tblLayout w:type="fixed"/>
        <w:tblInd w:w="50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Fair Value Measurements at June 30, 2025</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Arial" w:cs="Arial" w:eastAsia="Arial" w:hAnsi="Arial"/>
                <w:sz w:val="15"/>
                <w:szCs w:val="15"/>
                <w:b w:val="1"/>
                <w:bCs w:val="1"/>
                <w:color w:val="auto"/>
              </w:rPr>
              <w:t>Carrying</w:t>
            </w:r>
          </w:p>
        </w:tc>
        <w:tc>
          <w:tcPr>
            <w:tcW w:w="120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11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38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Level 3</w:t>
            </w:r>
          </w:p>
        </w:tc>
        <w:tc>
          <w:tcPr>
            <w:tcW w:w="180" w:type="dxa"/>
            <w:vAlign w:val="bottom"/>
          </w:tcPr>
          <w:p>
            <w:pPr>
              <w:spacing w:after="0"/>
              <w:rPr>
                <w:sz w:val="12"/>
                <w:szCs w:val="12"/>
                <w:color w:val="auto"/>
              </w:rPr>
            </w:pPr>
          </w:p>
        </w:tc>
        <w:tc>
          <w:tcPr>
            <w:tcW w:w="1700" w:type="dxa"/>
            <w:vAlign w:val="bottom"/>
            <w:vMerge w:val="restart"/>
          </w:tcPr>
          <w:p>
            <w:pPr>
              <w:jc w:val="center"/>
              <w:ind w:right="102"/>
              <w:spacing w:after="0"/>
              <w:rPr>
                <w:sz w:val="20"/>
                <w:szCs w:val="20"/>
                <w:color w:val="auto"/>
              </w:rPr>
            </w:pPr>
            <w:r>
              <w:rPr>
                <w:rFonts w:ascii="Arial" w:cs="Arial" w:eastAsia="Arial" w:hAnsi="Arial"/>
                <w:sz w:val="15"/>
                <w:szCs w:val="15"/>
                <w:b w:val="1"/>
                <w:bCs w:val="1"/>
                <w:color w:val="auto"/>
              </w:rPr>
              <w:t>June 30, 2025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Value</w:t>
            </w: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 Lugano</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3,114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29,528</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6"/>
                <w:szCs w:val="16"/>
                <w:color w:val="auto"/>
              </w:rPr>
              <w:t>Right-of-use asset - Lugano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37,949</w:t>
            </w:r>
          </w:p>
        </w:tc>
        <w:tc>
          <w:tcPr>
            <w:tcW w:w="10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120" w:type="dxa"/>
            <w:vAlign w:val="bottom"/>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37,949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595"/>
        </w:trPr>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7"/>
          </w:tcPr>
          <w:p>
            <w:pPr>
              <w:jc w:val="right"/>
              <w:ind w:right="581"/>
              <w:spacing w:after="0"/>
              <w:rPr>
                <w:sz w:val="20"/>
                <w:szCs w:val="20"/>
                <w:color w:val="auto"/>
              </w:rPr>
            </w:pPr>
            <w:r>
              <w:rPr>
                <w:rFonts w:ascii="Arial" w:cs="Arial" w:eastAsia="Arial" w:hAnsi="Arial"/>
                <w:sz w:val="15"/>
                <w:szCs w:val="15"/>
                <w:b w:val="1"/>
                <w:bCs w:val="1"/>
                <w:color w:val="auto"/>
              </w:rPr>
              <w:t>Fair Value Measurements at December 31, 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22"/>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5"/>
                <w:szCs w:val="15"/>
                <w:b w:val="1"/>
                <w:bCs w:val="1"/>
                <w:color w:val="auto"/>
              </w:rPr>
              <w:t>Carrying</w:t>
            </w:r>
          </w:p>
        </w:tc>
        <w:tc>
          <w:tcPr>
            <w:tcW w:w="120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11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Level 2</w:t>
            </w:r>
          </w:p>
        </w:tc>
        <w:tc>
          <w:tcPr>
            <w:tcW w:w="38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Level 3</w:t>
            </w:r>
          </w:p>
        </w:tc>
        <w:tc>
          <w:tcPr>
            <w:tcW w:w="180" w:type="dxa"/>
            <w:vAlign w:val="bottom"/>
          </w:tcPr>
          <w:p>
            <w:pPr>
              <w:spacing w:after="0"/>
              <w:rPr>
                <w:sz w:val="12"/>
                <w:szCs w:val="12"/>
                <w:color w:val="auto"/>
              </w:rPr>
            </w:pPr>
          </w:p>
        </w:tc>
        <w:tc>
          <w:tcPr>
            <w:tcW w:w="1700" w:type="dxa"/>
            <w:vAlign w:val="bottom"/>
            <w:vMerge w:val="restart"/>
          </w:tcPr>
          <w:p>
            <w:pPr>
              <w:jc w:val="center"/>
              <w:ind w:right="122"/>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Value</w:t>
            </w: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 - Velocity</w:t>
            </w: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estimates its annual effective tax rate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 The Company's parent, the Trust, is subject to entity-level U.S. federal, state and local corporate income taxes on the Company's earnings that flow through to the Trust.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reconciliation between the Federal Statutory Rate and the effective income tax rate for the six months ended June 30,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83185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19" w:lineRule="exact"/>
        <w:rPr>
          <w:sz w:val="20"/>
          <w:szCs w:val="20"/>
          <w:color w:val="auto"/>
        </w:rPr>
      </w:pPr>
    </w:p>
    <w:p>
      <w:pPr>
        <w:ind w:left="7780"/>
        <w:spacing w:after="0"/>
        <w:rPr>
          <w:sz w:val="20"/>
          <w:szCs w:val="20"/>
          <w:color w:val="auto"/>
        </w:rPr>
      </w:pPr>
      <w:r>
        <w:rPr>
          <w:rFonts w:ascii="Arial" w:cs="Arial" w:eastAsia="Arial" w:hAnsi="Arial"/>
          <w:sz w:val="15"/>
          <w:szCs w:val="15"/>
          <w:b w:val="1"/>
          <w:bCs w:val="1"/>
          <w:color w:val="auto"/>
        </w:rPr>
        <w:t>Six months ended June 30,</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2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5"/>
                <w:szCs w:val="15"/>
                <w:b w:val="1"/>
                <w:bCs w:val="1"/>
                <w:color w:val="auto"/>
              </w:rPr>
              <w:t>2024</w:t>
            </w:r>
          </w:p>
        </w:tc>
      </w:tr>
      <w:tr>
        <w:trPr>
          <w:trHeight w:val="196"/>
        </w:trPr>
        <w:tc>
          <w:tcPr>
            <w:tcW w:w="6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(As Restated)</w:t>
            </w:r>
          </w:p>
        </w:tc>
      </w:tr>
      <w:tr>
        <w:trPr>
          <w:trHeight w:val="209"/>
        </w:trPr>
        <w:tc>
          <w:tcPr>
            <w:tcW w:w="7460" w:type="dxa"/>
            <w:vAlign w:val="bottom"/>
            <w:gridSpan w:val="2"/>
          </w:tcPr>
          <w:p>
            <w:pPr>
              <w:spacing w:after="0"/>
              <w:rPr>
                <w:sz w:val="20"/>
                <w:szCs w:val="20"/>
                <w:color w:val="auto"/>
              </w:rPr>
            </w:pPr>
            <w:r>
              <w:rPr>
                <w:rFonts w:ascii="Arial" w:cs="Arial" w:eastAsia="Arial" w:hAnsi="Arial"/>
                <w:sz w:val="16"/>
                <w:szCs w:val="16"/>
                <w:color w:val="auto"/>
              </w:rPr>
              <w:t>United States Federal Statutory Rate</w:t>
            </w:r>
          </w:p>
        </w:tc>
        <w:tc>
          <w:tcPr>
            <w:tcW w:w="68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income taxes (net of Federal benefits)</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Foreign income taxes</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(1.3)</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Non-deductible acquisition costs</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(0.4)</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of tax credits</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0.7</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Non-recognition of various carryforwards at subsidiaries</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(36.0)</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tax on foreign income</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r>
      <w:tr>
        <w:trPr>
          <w:trHeight w:val="215"/>
        </w:trPr>
        <w:tc>
          <w:tcPr>
            <w:tcW w:w="7460" w:type="dxa"/>
            <w:vAlign w:val="bottom"/>
            <w:gridSpan w:val="2"/>
          </w:tcPr>
          <w:p>
            <w:pPr>
              <w:spacing w:after="0"/>
              <w:rPr>
                <w:sz w:val="20"/>
                <w:szCs w:val="20"/>
                <w:color w:val="auto"/>
              </w:rPr>
            </w:pPr>
            <w:r>
              <w:rPr>
                <w:rFonts w:ascii="Arial" w:cs="Arial" w:eastAsia="Arial" w:hAnsi="Arial"/>
                <w:sz w:val="16"/>
                <w:szCs w:val="16"/>
                <w:color w:val="auto"/>
              </w:rPr>
              <w:t>Impairment expense</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(0.9)</w:t>
            </w:r>
          </w:p>
        </w:tc>
      </w:tr>
      <w:tr>
        <w:trPr>
          <w:trHeight w:val="217"/>
        </w:trPr>
        <w:tc>
          <w:tcPr>
            <w:tcW w:w="7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effect - loss on sale of Crosman</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r>
      <w:tr>
        <w:trPr>
          <w:trHeight w:val="215"/>
        </w:trPr>
        <w:tc>
          <w:tcPr>
            <w:tcW w:w="6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(0.5)</w:t>
            </w:r>
          </w:p>
        </w:tc>
      </w:tr>
      <w:tr>
        <w:trPr>
          <w:trHeight w:val="230"/>
        </w:trPr>
        <w:tc>
          <w:tcPr>
            <w:tcW w:w="7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Effective income tax rate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unfunded liability of $3.4 million is recognized in the consolidated balance sheet as a component of other non-current liabilities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June 30, 2025. Net periodic benefit cost consists of the following for the three and six months ended June 30, 2025 and 2024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126365</wp:posOffset>
            </wp:positionV>
            <wp:extent cx="38830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20955</wp:posOffset>
            </wp:positionV>
            <wp:extent cx="19284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p>
    <w:p>
      <w:pPr>
        <w:ind w:left="5660"/>
        <w:spacing w:after="0"/>
        <w:tabs>
          <w:tab w:leader="none" w:pos="7220"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20955</wp:posOffset>
            </wp:positionV>
            <wp:extent cx="1868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36" w:lineRule="exact"/>
        <w:rPr>
          <w:sz w:val="20"/>
          <w:szCs w:val="20"/>
          <w:color w:val="auto"/>
        </w:rPr>
      </w:pPr>
    </w:p>
    <w:p>
      <w:pPr>
        <w:sectPr>
          <w:pgSz w:w="11900" w:h="16838" w:orient="portrait"/>
          <w:cols w:equalWidth="0" w:num="2">
            <w:col w:w="8000" w:space="720"/>
            <w:col w:w="2520"/>
          </w:cols>
          <w:pgMar w:left="320" w:top="99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unrecognized loss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Effect of settlement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six months ended June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per the terms of the pension agreement, Arnold contributed approximately $0.3 million to the plan. For the remainder of 2025, the expected contribution to the plan will be approximately $0.2 million.</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June 30, 2025 were considered Level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subject to legal proceedings and claims that arise in the ordinary course of business. A liability for a loss contingency is accrued when it is both probable that a liability has been incurred and the amount of the loss can be reasonably estimated. For all other material loss contingencies, including those where the loss is reasonably possible or where the amount cannot be reasonably estimated, the Company discloses the nature of the contingency. The Lugano Investigation and the restatement of our previously issued consolidated financial statements for the periods ended at December 31, 2024, 2023 and 2022, may result in additional stockholder litigation, regulatory investigations and additional liabilities in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Action Naming Lugano and the Company as Defendants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24, 2025, a complaint was filed against Lugano, the Company and others in California State Court, styled Champion Force Industrial Limited v. Lugano Diamonds &amp; Jewelry Inc., et al., asserting claims for breach of contract, goods had and received, conversion, fraud, promissory estoppel, unjust enrichment, and fraudulent conveyance. The plaintiff is a vendor of diamonds and finished jewelry to Lugano and seeking in excess of $56.4 million in damages, principally for unpaid goods. On September 12, 2025, CODI filed a motion to quash due to lack of personal jurisdiction. That motion currently is set to be heard in January 2026. The foregoing matter is in the early stages and the Company is currently unable to determine the likelihood of an unfavorable outcome.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this matter is subject to an automatic stay that prohibits, among other things, the continuation of this action against Lugano, as debtor, outside of the bankruptcy process. If Lugano is determined to be a necessary party to this litigation, it is possible that the litigation may also be stayed as against the Company. Presently, the Company currently remains a defendant in this case but believes that it can avail itself of certain defenses to these claims and intends to vigorously defend itself.</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an accrual of $52.7 million as of June 30, 2025 related to certain current contractual obligations to Lugano’s vendors, including Champion, in accordance with applicable accounting standards. The Company intends to avail itself of all available defenses in the Champion litigation. The Company is unable to reasonably estimate any additional loss or range of possible loss, if any, that may result from the Champion litigation or whether such loss or range of possible loss would be less than, equal or exceed the amounts accrued in respect of Lugano’s contract with Champion.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Lugano-Specific Claims and Threatened Claims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approximately April 1, 2025 to November 21, 2025, litigation has been threatened and initiated by counterparties to transactions that appear to have been overseen by Lugano’s former CEO, Moti Ferder, who resigned effective May 7, 2025. The vast majority involve purported investment arrangements whereby the claimant delivered a specified dollar amount to Lugano in exchange for either (a) a profits interest in the future sale of a specified diamond(s), or (b) a guaranteed interest rate (collectively, “Diamond Financing Arrangements”).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Diamond Financing Arrangements are the subject of current litigation, primarily in California State court, and the majority of the plaintiffs in these cases have presented similar fact patterns and are primarily seeking damages for alleged losses of principal amounts invested (“Diamond Financing Litigation”). The total damages being sought by all plaintiffs in Diamond Financing Litigation, is approximately $32.2 million, plus interest and penalties, in most cases. The Diamond Financing Litigation is in the early stages and the Company is currently unable to determine the likelihood of an unfavorable outcome for any or all of these cases. At this time, management has determined that a loss is reasonably possible; however, management cannot currently reasonably estimate such loss or range of potential loss associated with the Diamond Financing Litigation.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below under the heading Impact of Lugano Chapter 11 Filing on Lugano Claims and Litigation, the Diamond Financing Litigation is subject to an automatic stay that prohibits, among other things, the continuation of these actions against Lugano, as debtor, outside of the bankruptcy process. The Company was named in a co-defendant in one Diamond Financing Litigation matter for which the plaintiff is seeking approximately $1.4 million in damages, plus interest and penalties. If Lugano is determined to be a necessary party to this litigation, it is possible that the litigation may also be stayed as against the Company. Nonetheless, the Company believes that it can avail itself of certain defenses to this claim and intends to vigorously defend itself.</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not the subject of active litigation, claims have been asserted against Lugano and legal action has been threatened by parties to alleged Diamond Financing Arrangements (the “Diamond Financing Arrangement Claims”). At this time, management has determined that a loss resulting from the Diamond Financing Arrangement Claims is reasonably possible; however, management cannot currently reasonably estimate such loss or range of potential loss.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recorded an accrual of $184.0 million as of June 30, 2025 of estimated principal as short-term debt and interest expense in its condensed consolidated financial statements related to previously undisclosed financing arrangements at Lugano, in accordance with applicable accounting standards, although such financing arrangements are subject to dispute. The Company intends to avail itself of all available defenses in the Diamond Financing Litigation (or any Diamond Financing Arrangement Claim or other Diamond Financing Arrangements for which claims may arise). The Company is unable to reasonably estimate any additional loss or range of possible loss, if any, that may result from the Diamond Financing Litigation (or any Diamond Financing Arrangement Claim or other Diamond Financing Arrangements for which claims may arise) or whether such loss or range of possible loss would be less than, equal to or exceed the amounts accrued in respect of the previously undisclosed financing arrangements at Lugano.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Lugano Chapter 11 Filing on Lugano Claims and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16, 2025, Lugano Holding, Inc. and certain of its subsidiaries, filed voluntary Chapter 11 petitions under the United States Bankruptcy Code in the United States Bankruptcy Court for the District of Delaware. Upon the filing of a bankruptcy petition, Section 362 of the Bankruptcy Code imposes an automatic stay that prohibits, among other things, the commencement or continuation of numerous actions against the debtor entity (in this case, Lugano), which include all lawsuits and collection efforts. The stay goes into effect immediately upon the bankruptcy filing without any further action by the debtor entity or any other party. The automatic stay remains in place until resolution of the bankruptcy case, or until otherwise waived by the debtor. The automatic stay generally protects only the debtor and does not usually extend to non-debtor parties who may be the subject of claims or litigation, including co-defendants named in litigation where Lugano is also defendant. In certain circumstances, a court may extend the stay to non-debtors if the debtor entity is a necessary party to the action. Thus, upon the filing of its bankruptcy petition, the automatic stay will immediately go into effect and prohibit further litigation against Lugano in courts outside of the Bankruptcy Court but will not necessarily prohibit continuation of actions against the Company in Lugano-related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and Derivative Actions Involving the Company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Between May 9, 2025, and June 25, 2025, three putative class actions were commenced against the Company and certain of the Company’s officers and directors, asserting claims under Sections 10(b) and 20(a) of the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8"/>
          <w:szCs w:val="18"/>
          <w:color w:val="auto"/>
        </w:rPr>
        <w:t xml:space="preserve">Exchange Act of 1934 (the “Exchange Act”), and Rule 10b-5 promulgated thereunder in the U.S. District Court for the Central District of California (collectively, the “CA Securities Class Actions”). On August 22, 2025, such CA Securities Class Actions were consolidated under the caption In re: Compass Securities Litigation, and the Court appointed the Eastern Atlantic States Carpenters Benefit Funds (“EAS Carpenters”) as lead plaintiff and the law firm of Cohen Milstein Sellers &amp; Toll PLLC (“Cohen Milstein”) as lead counsel. On May 12, 2025, a separate putative class action was commenced against the Company and certain of its officers and directors in the U.S. District Court for the District of Connecticut, captioned </w:t>
      </w:r>
      <w:r>
        <w:rPr>
          <w:rFonts w:ascii="Arial" w:cs="Arial" w:eastAsia="Arial" w:hAnsi="Arial"/>
          <w:sz w:val="18"/>
          <w:szCs w:val="18"/>
          <w:i w:val="1"/>
          <w:iCs w:val="1"/>
          <w:color w:val="auto"/>
        </w:rPr>
        <w:t>Moreno v. Compass Diversified Holdings LLC, et al.</w:t>
      </w:r>
      <w:r>
        <w:rPr>
          <w:rFonts w:ascii="Arial" w:cs="Arial" w:eastAsia="Arial" w:hAnsi="Arial"/>
          <w:sz w:val="18"/>
          <w:szCs w:val="18"/>
          <w:color w:val="auto"/>
        </w:rPr>
        <w:t xml:space="preserve"> (the “Moreno Action”). The plaintiff in the Moreno Action is asserting the same claims as asserted by the plaintiffs in the CA Securities Class Actions. By order dated July 21, 2025, EAS Carpenters was appointed lead plaintiff and Cohen Milstein was appointed lead counsel for the Moreno Action. 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 On December 10, 2025, with the Court’s approval, Lead Plaintiff voluntarily dismissed this consolidated action so that it could pursue its claims in the District of Connecticut.</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May 12, 2025, a separate putative class action was commenced against the Company and certain of its officers and directors in the U.S. District Court for the District of Connecticut, captioned </w:t>
      </w:r>
      <w:r>
        <w:rPr>
          <w:rFonts w:ascii="Arial" w:cs="Arial" w:eastAsia="Arial" w:hAnsi="Arial"/>
          <w:sz w:val="18"/>
          <w:szCs w:val="18"/>
          <w:i w:val="1"/>
          <w:iCs w:val="1"/>
          <w:color w:val="auto"/>
        </w:rPr>
        <w:t>Moreno v. Compass Diversified Holdings LLC, et al.</w:t>
      </w:r>
      <w:r>
        <w:rPr>
          <w:rFonts w:ascii="Arial" w:cs="Arial" w:eastAsia="Arial" w:hAnsi="Arial"/>
          <w:sz w:val="18"/>
          <w:szCs w:val="18"/>
          <w:color w:val="auto"/>
        </w:rPr>
        <w:t xml:space="preserve"> (the “Moreno Action”). The plaintiff in the Moreno Action is asserting the same claims as asserted by the plaintiffs in the CA Securities Class Actions. By order dated July 21, 2025, EAS Carpenters was appointed lead plaintiff and Cohen Milstein was appointed lead counsel for the Moreno Action. 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June 5, 2025, a Company shareholder commenced a shareholder derivative action in the U.S. District Court for the Central District of California, captioned </w:t>
      </w:r>
      <w:r>
        <w:rPr>
          <w:rFonts w:ascii="Arial" w:cs="Arial" w:eastAsia="Arial" w:hAnsi="Arial"/>
          <w:sz w:val="18"/>
          <w:szCs w:val="18"/>
          <w:i w:val="1"/>
          <w:iCs w:val="1"/>
          <w:color w:val="auto"/>
        </w:rPr>
        <w:t>Jones v. Sabo, et al</w:t>
      </w:r>
      <w:r>
        <w:rPr>
          <w:rFonts w:ascii="Arial" w:cs="Arial" w:eastAsia="Arial" w:hAnsi="Arial"/>
          <w:sz w:val="18"/>
          <w:szCs w:val="18"/>
          <w:color w:val="auto"/>
        </w:rPr>
        <w:t xml:space="preserve">. (the “Jones Action”), purporting to assert claims on behalf of the Company against current and former Company officers and directors who were named as defendants. The plaintiff is asserting causes of action for breach of fiduciary duty and violations of Section 14(a) of the Exchange Act. On July 17, 2025, a Company shareholder commenced a second shareholder derivative action in the U.S. District Court for the Central District of California, captioned </w:t>
      </w:r>
      <w:r>
        <w:rPr>
          <w:rFonts w:ascii="Arial" w:cs="Arial" w:eastAsia="Arial" w:hAnsi="Arial"/>
          <w:sz w:val="18"/>
          <w:szCs w:val="18"/>
          <w:i w:val="1"/>
          <w:iCs w:val="1"/>
          <w:color w:val="auto"/>
        </w:rPr>
        <w:t>Kelly v. Sabo, et al</w:t>
      </w:r>
      <w:r>
        <w:rPr>
          <w:rFonts w:ascii="Arial" w:cs="Arial" w:eastAsia="Arial" w:hAnsi="Arial"/>
          <w:sz w:val="18"/>
          <w:szCs w:val="18"/>
          <w:color w:val="auto"/>
        </w:rPr>
        <w:t>., (the “Kelly Action”). The plaintiff in the Kelly Action is asserting the same causes of action, against the same defendants, as the Jones Action. On August 6, 2025, the parties to the Jones Action and the Kelly Action filed a stipulation and proposed order to consolidate the two actions and to stay the actions, pending certain future events. 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September 12, 2025, a shareholder of the Company filed a shareholder derivative action in the District Court for the District of Connecticut, captioned </w:t>
      </w:r>
      <w:r>
        <w:rPr>
          <w:rFonts w:ascii="Arial" w:cs="Arial" w:eastAsia="Arial" w:hAnsi="Arial"/>
          <w:sz w:val="18"/>
          <w:szCs w:val="18"/>
          <w:i w:val="1"/>
          <w:iCs w:val="1"/>
          <w:color w:val="auto"/>
        </w:rPr>
        <w:t>Kamp v. Sabo, et al.</w:t>
      </w:r>
      <w:r>
        <w:rPr>
          <w:rFonts w:ascii="Arial" w:cs="Arial" w:eastAsia="Arial" w:hAnsi="Arial"/>
          <w:sz w:val="18"/>
          <w:szCs w:val="18"/>
          <w:color w:val="auto"/>
        </w:rPr>
        <w:t xml:space="preserve"> (the “Kamp Action”). The plaintiff in the Kamp Action asserts the same causes of action as in the above derivative cases, plus a cause of action for securities fraud in violation of Section 10(b) and 20 (a) of the Exchange Act and Rule 10b-5 promulgated thereunder. On October 7, 2025, a shareholder of the Company filed a shareholder derivative action in the District Court for the District of Connecticut, captioned </w:t>
      </w:r>
      <w:r>
        <w:rPr>
          <w:rFonts w:ascii="Arial" w:cs="Arial" w:eastAsia="Arial" w:hAnsi="Arial"/>
          <w:sz w:val="18"/>
          <w:szCs w:val="18"/>
          <w:i w:val="1"/>
          <w:iCs w:val="1"/>
          <w:color w:val="auto"/>
        </w:rPr>
        <w:t>Sulger v. Sabo</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 “Sulger Action”). The plaintiff in the Sulger Action asserts the same causes of action as in the Kamp Action. On October 9, 2025, a shareholder of CODI commenced a shareholder derivative action in the United State District Court for the District of Connecticut captioned Moore v. Sabo, et al., Case No. 3:25-cv-01707 (the “Moore Action”). The shareholder asserts similar claims against the same defendants as in the Kamp and Sulger actions. On December 8, 2025, the Court consolidated these three cases, which now will be referred to as In re Compass Diversified Holdings Derivative Litigation, Case No. 3:25-cv-01505-AWT. This case is pending before District Court Judge Alvin Thompson, who is also presiding over the federal securities class action. The parties are discussing staying the proceedings in this consolidated derivative case pending further developments in the federal securities class action.</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matters are in the early stages and the Company is currently unable to determine the likelihood of an unfavorable outcome. At this time, management has determined that a loss is reasonably possible but cannot reasonably estimate a range of potential loss. The Company believes it has strong defenses available to it and intends to vigorously defend itself.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External Investigations Involving the Company and Lugano</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Company’s withdrawal of reliance on its 2024, 2023, and 2022 financial statements, its failure to timely file its financial statements for the quarters ended at March 31, 2025 and June 30, 2025, and the underlying conduct at the Company’s Lugano subsidiary, there are ongoing investigations initiated by the United States Securities Exchange Commission (“SEC”) and Department of Justice (“DOJ”). The regulatory investigative process is inherently uncertain the foregoing investigations are in the early stages. Additionally, the Financial Industry Regulatory Authority (“FINRA”) initiated a routine review of trading activity in the Company’s securities following the public announcement of the restatement. On November 17, 2025, the Company received notification from FINRA that its review had been completed and had referred the matter to the SEC for whatever actions the SEC deems appropriate, if any. The Company and Lugano have cooperated and continue to cooperate fully with each investigation and review.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and its subsidiaries lease office and manufacturing facilities, computer equipment and software under various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and six months ended June 30, 2025 and 2024. The Company recognized $13.9 million and $27.4 million in the three and six months ended June 30, 2025, respectively and $14.9 million and $26.3 million in the three and six months ended June 30, 2024, respectively, in expense related to operating leases in the condensed consolidated statements of operations. The Company entered into one finance lease in the fourth quarter of 2024. In the three and six months ended June 30, 2025, the Company recognized $0.2 million and $0.3 million, respectively, in interest expense related to its finance lease.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June 30, 2025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9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Operating</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Finance</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43"/>
        </w:trPr>
        <w:tc>
          <w:tcPr>
            <w:tcW w:w="39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2025 (excluding the six months ended June 30,</w:t>
            </w:r>
          </w:p>
        </w:tc>
        <w:tc>
          <w:tcPr>
            <w:tcW w:w="1480" w:type="dxa"/>
            <w:vAlign w:val="bottom"/>
            <w:vMerge w:val="restart"/>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27,685</w:t>
            </w:r>
          </w:p>
        </w:tc>
        <w:tc>
          <w:tcPr>
            <w:tcW w:w="12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28,044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2026</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54,506</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55,225</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2028</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36,366</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36,366</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26,948</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26,948</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77,143</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77,143</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1480" w:type="dxa"/>
            <w:vAlign w:val="bottom"/>
            <w:tcBorders>
              <w:top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269,415</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277,533</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62,225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63,457</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207,190</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214,076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calculated amount of the right-of-use assets and lease liabilities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240" w:type="dxa"/>
            <w:vAlign w:val="bottom"/>
            <w:tcBorders>
              <w:top w:val="single" w:sz="8" w:color="auto"/>
            </w:tcBorders>
          </w:tcPr>
          <w:p>
            <w:pPr>
              <w:jc w:val="right"/>
              <w:ind w:right="540"/>
              <w:spacing w:after="0"/>
              <w:rPr>
                <w:sz w:val="20"/>
                <w:szCs w:val="20"/>
                <w:color w:val="auto"/>
              </w:rPr>
            </w:pPr>
            <w:r>
              <w:rPr>
                <w:rFonts w:ascii="Arial" w:cs="Arial" w:eastAsia="Arial" w:hAnsi="Arial"/>
                <w:sz w:val="15"/>
                <w:szCs w:val="15"/>
                <w:b w:val="1"/>
                <w:bCs w:val="1"/>
                <w:color w:val="auto"/>
              </w:rPr>
              <w:t>June 30, 2025</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right"/>
              <w:ind w:right="540"/>
              <w:spacing w:after="0"/>
              <w:rPr>
                <w:sz w:val="20"/>
                <w:szCs w:val="20"/>
                <w:color w:val="auto"/>
              </w:rPr>
            </w:pPr>
            <w:r>
              <w:rPr>
                <w:rFonts w:ascii="Arial" w:cs="Arial" w:eastAsia="Arial" w:hAnsi="Arial"/>
                <w:sz w:val="15"/>
                <w:szCs w:val="15"/>
                <w:b w:val="1"/>
                <w:bCs w:val="1"/>
                <w:color w:val="auto"/>
              </w:rPr>
              <w:t>June 30, 2024</w:t>
            </w:r>
          </w:p>
        </w:tc>
      </w:tr>
      <w:tr>
        <w:trPr>
          <w:trHeight w:val="21"/>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7"/>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8.88 %</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Finance Leases</w:t>
            </w:r>
          </w:p>
        </w:tc>
        <w:tc>
          <w:tcPr>
            <w:tcW w:w="2240" w:type="dxa"/>
            <w:vAlign w:val="bottom"/>
          </w:tcPr>
          <w:p>
            <w:pPr>
              <w:jc w:val="right"/>
              <w:spacing w:after="0"/>
              <w:rPr>
                <w:sz w:val="20"/>
                <w:szCs w:val="20"/>
                <w:color w:val="auto"/>
              </w:rPr>
            </w:pPr>
            <w:r>
              <w:rPr>
                <w:rFonts w:ascii="Arial" w:cs="Arial" w:eastAsia="Arial" w:hAnsi="Arial"/>
                <w:sz w:val="16"/>
                <w:szCs w:val="16"/>
                <w:color w:val="auto"/>
              </w:rPr>
              <w:t>9.90 %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080" w:type="dxa"/>
            <w:vAlign w:val="bottom"/>
            <w:tcBorders>
              <w:top w:val="single" w:sz="8" w:color="auto"/>
            </w:tcBorders>
          </w:tcPr>
          <w:p>
            <w:pPr>
              <w:ind w:left="40"/>
              <w:spacing w:after="0" w:line="162" w:lineRule="exact"/>
              <w:rPr>
                <w:sz w:val="20"/>
                <w:szCs w:val="20"/>
                <w:color w:val="auto"/>
              </w:rPr>
            </w:pPr>
            <w:r>
              <w:rPr>
                <w:rFonts w:ascii="Arial" w:cs="Arial" w:eastAsia="Arial" w:hAnsi="Arial"/>
                <w:sz w:val="15"/>
                <w:szCs w:val="15"/>
                <w:b w:val="1"/>
                <w:bCs w:val="1"/>
                <w:color w:val="auto"/>
              </w:rPr>
              <w:t>Line Item in the Company’s Consolidated</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right"/>
              <w:ind w:right="460"/>
              <w:spacing w:after="0"/>
              <w:rPr>
                <w:sz w:val="20"/>
                <w:szCs w:val="20"/>
                <w:color w:val="auto"/>
              </w:rPr>
            </w:pPr>
            <w:r>
              <w:rPr>
                <w:rFonts w:ascii="Arial" w:cs="Arial" w:eastAsia="Arial" w:hAnsi="Arial"/>
                <w:sz w:val="15"/>
                <w:szCs w:val="15"/>
                <w:b w:val="1"/>
                <w:bCs w:val="1"/>
                <w:color w:val="auto"/>
              </w:rPr>
              <w:t>June 30, 2025</w:t>
            </w:r>
          </w:p>
        </w:tc>
        <w:tc>
          <w:tcPr>
            <w:tcW w:w="8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5"/>
                <w:szCs w:val="15"/>
                <w:b w:val="1"/>
                <w:bCs w:val="1"/>
                <w:color w:val="auto"/>
              </w:rPr>
              <w:t>Balance Sheet</w:t>
            </w:r>
          </w:p>
        </w:tc>
        <w:tc>
          <w:tcPr>
            <w:tcW w:w="3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21"/>
                <w:szCs w:val="21"/>
                <w:b w:val="1"/>
                <w:bCs w:val="1"/>
                <w:color w:val="auto"/>
                <w:vertAlign w:val="superscript"/>
              </w:rPr>
              <w:t>(1)</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180,151</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191,639</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187,032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40,062</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38,180</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178,577</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Finance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214,076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223,665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8"/>
        <w:spacing w:after="0" w:line="247" w:lineRule="auto"/>
        <w:tabs>
          <w:tab w:leader="none" w:pos="193"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7"/>
          <w:szCs w:val="17"/>
          <w:color w:val="auto"/>
        </w:rPr>
        <w:t>During the second quarter of 2025, the Company recorded impairment of an operating lease right-of-use asset at Lugano. Refer to "</w:t>
      </w:r>
      <w:r>
        <w:rPr>
          <w:rFonts w:ascii="Arial" w:cs="Arial" w:eastAsia="Arial" w:hAnsi="Arial"/>
          <w:sz w:val="17"/>
          <w:szCs w:val="17"/>
          <w:u w:val="single" w:color="auto"/>
          <w:color w:val="0000FF"/>
        </w:rPr>
        <w:t>Note 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Goodwill and Other Intangible Assets</w:t>
      </w:r>
      <w:r>
        <w:rPr>
          <w:rFonts w:ascii="Arial" w:cs="Arial" w:eastAsia="Arial" w:hAnsi="Arial"/>
          <w:sz w:val="17"/>
          <w:szCs w:val="17"/>
          <w:color w:val="000000"/>
        </w:rPr>
        <w:t>" for a description of the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120650</wp:posOffset>
            </wp:positionV>
            <wp:extent cx="28632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p>
      <w:pPr>
        <w:spacing w:after="0" w:line="197" w:lineRule="exact"/>
        <w:rPr>
          <w:sz w:val="20"/>
          <w:szCs w:val="20"/>
          <w:color w:val="auto"/>
        </w:rPr>
      </w:pPr>
    </w:p>
    <w:p>
      <w:pPr>
        <w:jc w:val="center"/>
        <w:ind w:left="6680"/>
        <w:spacing w:after="0"/>
        <w:rPr>
          <w:sz w:val="20"/>
          <w:szCs w:val="20"/>
          <w:color w:val="auto"/>
        </w:rPr>
      </w:pPr>
      <w:r>
        <w:rPr>
          <w:rFonts w:ascii="Arial" w:cs="Arial" w:eastAsia="Arial" w:hAnsi="Arial"/>
          <w:sz w:val="15"/>
          <w:szCs w:val="15"/>
          <w:b w:val="1"/>
          <w:bCs w:val="1"/>
          <w:color w:val="auto"/>
        </w:rPr>
        <w:t>Six months ended June 30,</w:t>
      </w:r>
    </w:p>
    <w:p>
      <w:pPr>
        <w:spacing w:after="0" w:line="6" w:lineRule="exact"/>
        <w:rPr>
          <w:sz w:val="20"/>
          <w:szCs w:val="20"/>
          <w:color w:val="auto"/>
        </w:rPr>
      </w:pPr>
    </w:p>
    <w:p>
      <w:pPr>
        <w:jc w:val="center"/>
        <w:ind w:left="6680"/>
        <w:spacing w:after="0"/>
        <w:rPr>
          <w:sz w:val="20"/>
          <w:szCs w:val="20"/>
          <w:color w:val="auto"/>
        </w:rPr>
      </w:pPr>
      <w:r>
        <w:rPr>
          <w:rFonts w:ascii="Arial" w:cs="Arial" w:eastAsia="Arial" w:hAnsi="Arial"/>
          <w:sz w:val="15"/>
          <w:szCs w:val="15"/>
          <w:b w:val="1"/>
          <w:bCs w:val="1"/>
          <w:color w:val="auto"/>
        </w:rPr>
        <w:t>2025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Six months ended June 30,</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2024</w:t>
      </w:r>
    </w:p>
    <w:p>
      <w:pPr>
        <w:spacing w:after="0" w:line="20" w:lineRule="exact"/>
        <w:rPr>
          <w:sz w:val="20"/>
          <w:szCs w:val="20"/>
          <w:color w:val="auto"/>
        </w:rPr>
      </w:pPr>
    </w:p>
    <w:p>
      <w:pPr>
        <w:sectPr>
          <w:pgSz w:w="11900" w:h="16838" w:orient="portrait"/>
          <w:cols w:equalWidth="0" w:num="2">
            <w:col w:w="8640" w:space="360"/>
            <w:col w:w="2240"/>
          </w:cols>
          <w:pgMar w:left="320" w:top="1052" w:right="339" w:bottom="1440" w:gutter="0" w:footer="0" w:header="0"/>
          <w:type w:val="continuous"/>
        </w:sectPr>
      </w:pPr>
    </w:p>
    <w:tbl>
      <w:tblPr>
        <w:tblLayout w:type="fixed"/>
        <w:tblInd w:w="160" w:type="dxa"/>
        <w:tblCellMar>
          <w:top w:w="0" w:type="dxa"/>
          <w:left w:w="0" w:type="dxa"/>
          <w:bottom w:w="0" w:type="dxa"/>
          <w:right w:w="0" w:type="dxa"/>
        </w:tblCellMar>
      </w:tblPr>
      <w:tr>
        <w:trPr>
          <w:trHeight w:val="19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8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cash flows from 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27,400</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22,051</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cash flows from finance leases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Financing cash flows from finance leases</w:t>
            </w:r>
          </w:p>
        </w:tc>
        <w:tc>
          <w:tcPr>
            <w:tcW w:w="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2,205</w:t>
            </w:r>
          </w:p>
        </w:tc>
        <w:tc>
          <w:tcPr>
            <w:tcW w:w="14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6,596</w:t>
            </w:r>
          </w:p>
        </w:tc>
      </w:tr>
      <w:tr>
        <w:trPr>
          <w:trHeight w:val="217"/>
        </w:trPr>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Finance leases</w:t>
            </w:r>
          </w:p>
        </w:tc>
        <w:tc>
          <w:tcPr>
            <w:tcW w:w="8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Altor</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the acquisition of Lifoam in October 2024, Altor determined that they would shut down three of their facilities that had geographic overlap with Lifoam facilities. During the six months ended June 30, 2025, Altor recorded approximately $2.5 million in exit costs related to the plant closures in selling general and administrative expense.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Arnold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2024, Arnold relocated two of its facilities located in Marengo, Illinois into one combined facility in Woodstock, Illinois. Arnold recorded $9.9 million in exit costs related to the move of which $9.3 million was recorded in selling, general and administrative expense and $0.6 million is recorded in costs of revenues in the consolidated statement of operations in the year ended December 31, 2024. An additional $3.4 million in expense was incurred related to the move to the new facility that were not classified as exit costs, for total expense of approximately $13.0 million in the year ended December 31, 2024. Arnold recorded an additional $1.0 million in costs in the first half of 2025 related to the relocation of the two facilities. The exit from the Marengo facility is now substantially complete.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LLC entered into the Management Services Agreement ("MSA") with CGM effective May 16, 2006, as amended. Our Chief Executive Officer is a partner of CGM. The MSA provides for, among other things, CGM to perform services for the LLC in exchange for a management fee paid quarterly.</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w:t>
      </w:r>
    </w:p>
    <w:p>
      <w:pPr>
        <w:spacing w:after="0" w:line="2" w:lineRule="exact"/>
        <w:rPr>
          <w:sz w:val="20"/>
          <w:szCs w:val="20"/>
          <w:color w:val="auto"/>
        </w:rPr>
      </w:pPr>
    </w:p>
    <w:p>
      <w:pPr>
        <w:jc w:val="both"/>
        <w:ind w:firstLine="8"/>
        <w:spacing w:after="0" w:line="252"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restatement of the consolidated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currently estimates the aggregate amount of overpaid management fees as of March 31, 2025 at approximately $43.1 million, which amount will reduce future payments on a dollar-for-dollar basis. The Company's board of directors intends to direct the Company to pursue its right to recover all such excess management fees paid to the Manager as soon as is reasonably practicable in light of the facts and circumstances.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quarter ended June 30, 2025, the total management fee incurred was $19.0 million. The Company is not permitted under the MSA to adjust the amount owed to the Manager until the time when the restated financial information was available, which occurred upon the filing of the Company's 10-K/A on December 8, 2025. Therefore the expense recorded in the quarter ended June 30, 2025 reflects the amount that would have been due to the Manager at the time calculated, prior to the restatement of the Company's financial statements. The calculation of the adjusted management fee incurred as of June 30, 2025 resulted in a total amount of $14.0 million that should have been due to the Manager.</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and (ii) limit the management fees that may be paid by the LLC’s subsidiaries to the Manager to no more than $2.0 million per fiscal quarter. On May 22, 2025, the Manager delivered to the Company a waiver agreeing to the management fee limitations described above. Due to the restrictions imposed by the First Forbearance Agreement, the total amount paid to the Manager was $12.2 million. The difference between the amount of the adjusted management fee due to the Manager of $14.0 million and the actual amount paid of $12.2 million is an underpayment of $1.8 million in the second quarter of 2025. This amount will offset the reduction of future payments to the Manager.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LLC Agreement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gives Holders the right to distributions pursuant to a profit allocation formula upon the occurrence of a Sale Event or a Holding Event. The Holders are entitled to receive and as such can elect to receive, if due pursuant to the profit allocation formula, an allocation payment upon the sale of a business (a "Sale Event") and upon election of the Holders during the 30-day period following the fifth anniversary of the date upon which we acquired a controlling interest in a business (Holding Event). Holders received $48.9 million in distributions in the first quarter of 2024 related to a Sale Event that occurred during 2023. Refer to "</w:t>
      </w:r>
      <w:r>
        <w:rPr>
          <w:rFonts w:ascii="Arial" w:cs="Arial" w:eastAsia="Arial" w:hAnsi="Arial"/>
          <w:sz w:val="18"/>
          <w:szCs w:val="18"/>
          <w:u w:val="single" w:color="auto"/>
          <w:color w:val="0000FF"/>
        </w:rPr>
        <w:t>Note I - Stockholders' Equity</w:t>
      </w:r>
      <w:r>
        <w:rPr>
          <w:rFonts w:ascii="Arial" w:cs="Arial" w:eastAsia="Arial" w:hAnsi="Arial"/>
          <w:sz w:val="18"/>
          <w:szCs w:val="18"/>
          <w:color w:val="auto"/>
        </w:rPr>
        <w:t>" for a description of the profit allocation payments.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2024 Form 10-K/A.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Integration service fees are included in selling, general and administrative expense on the subsidiaries' statement of operations in the period in which they are incurred.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The amendment to the Management Service Agreement entered into in January 2025 eliminated the payment of integration services for future acquisitions.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 THP paid CGM $0.9 million in integration service fees in the quarters ended June 30, 2024 and September 30, 2024, respectively.</w:t>
      </w:r>
    </w:p>
    <w:p>
      <w:pPr>
        <w:spacing w:after="0" w:line="173" w:lineRule="exact"/>
        <w:rPr>
          <w:sz w:val="20"/>
          <w:szCs w:val="20"/>
          <w:color w:val="auto"/>
        </w:rPr>
      </w:pPr>
    </w:p>
    <w:p>
      <w:pPr>
        <w:ind w:right="3560"/>
        <w:spacing w:after="0" w:line="374" w:lineRule="auto"/>
        <w:rPr>
          <w:sz w:val="20"/>
          <w:szCs w:val="20"/>
          <w:color w:val="auto"/>
        </w:rPr>
      </w:pPr>
      <w:r>
        <w:rPr>
          <w:rFonts w:ascii="Arial" w:cs="Arial" w:eastAsia="Arial" w:hAnsi="Arial"/>
          <w:sz w:val="18"/>
          <w:szCs w:val="18"/>
          <w:b w:val="1"/>
          <w:bCs w:val="1"/>
          <w:i w:val="1"/>
          <w:iCs w:val="1"/>
          <w:color w:val="auto"/>
        </w:rPr>
        <w:t xml:space="preserve">The Company and its businesses have the following significant related party transactions </w:t>
      </w:r>
      <w:r>
        <w:rPr>
          <w:rFonts w:ascii="Arial" w:cs="Arial" w:eastAsia="Arial" w:hAnsi="Arial"/>
          <w:sz w:val="18"/>
          <w:szCs w:val="18"/>
          <w:i w:val="1"/>
          <w:iCs w:val="1"/>
          <w:u w:val="single" w:color="auto"/>
          <w:color w:val="auto"/>
        </w:rPr>
        <w:t>5.11</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$0.4 million and $0.6 million during the three and six months ended June 30, 2025, respectively and approximately $0.2 million and $0.6 million during the three and six months ended June 30, 2024, respectively in inventory from the vendor.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$11.1 million and $23.1 million from this supplier during the three and six months ended June 30, 2025, respectively and approximately $13.6 million and $24.2 million from this supplier during the three and six months ended June 30,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Lugano had approximately $(1.6) million and $0.3 million in net purchases during the three and six months ended June 30, 2025, respectively and approximately $0.9 million and $4.0 million in net purchases during the three and six months ended June 30, 2024, respectively in inventory from the vendor. The total purchases are net of returns to the vendor. During the three months ended June 30, 2025, Lugano had $12 thousand in purchases from the vendor and $1.6 million in returns to the vendor, resulting in ($1.6) million in net returns during the quarter.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Operating Segment Data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2025, the Company had nine reportable operating segments. Each operating segment represents a platform acquisition. The Company’s operating segments are strategic business units that offer different products and services. While each is actively managed by the Company, they are managed separately because each business requires different technology and marketing strategies. A description of each of the reportable segments and the types of products from which each segment derives its revenues is as follows:</w:t>
      </w:r>
    </w:p>
    <w:p>
      <w:pPr>
        <w:spacing w:after="0" w:line="122" w:lineRule="exact"/>
        <w:rPr>
          <w:sz w:val="20"/>
          <w:szCs w:val="20"/>
          <w:color w:val="auto"/>
        </w:rPr>
      </w:pPr>
    </w:p>
    <w:p>
      <w:pPr>
        <w:jc w:val="both"/>
        <w:ind w:left="420" w:hanging="331"/>
        <w:spacing w:after="0" w:line="257"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w:t>
      </w:r>
    </w:p>
    <w:p>
      <w:pPr>
        <w:spacing w:after="0" w:line="128" w:lineRule="exact"/>
        <w:rPr>
          <w:rFonts w:ascii="Arial" w:cs="Arial" w:eastAsia="Arial" w:hAnsi="Arial"/>
          <w:sz w:val="18"/>
          <w:szCs w:val="18"/>
          <w:color w:val="auto"/>
        </w:rPr>
      </w:pPr>
    </w:p>
    <w:p>
      <w:pPr>
        <w:jc w:val="both"/>
        <w:ind w:left="420" w:hanging="331"/>
        <w:spacing w:after="0" w:line="256"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Greater China, South Korea, and Japan.</w:t>
      </w:r>
    </w:p>
    <w:p>
      <w:pPr>
        <w:spacing w:after="0" w:line="128" w:lineRule="exact"/>
        <w:rPr>
          <w:rFonts w:ascii="Arial" w:cs="Arial" w:eastAsia="Arial" w:hAnsi="Arial"/>
          <w:sz w:val="18"/>
          <w:szCs w:val="18"/>
          <w:color w:val="auto"/>
        </w:rPr>
      </w:pPr>
    </w:p>
    <w:p>
      <w:pPr>
        <w:jc w:val="both"/>
        <w:ind w:left="420" w:hanging="331"/>
        <w:spacing w:after="0" w:line="268"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Lugano</w:t>
      </w:r>
      <w:r>
        <w:rPr>
          <w:rFonts w:ascii="Arial" w:cs="Arial" w:eastAsia="Arial" w:hAnsi="Arial"/>
          <w:sz w:val="18"/>
          <w:szCs w:val="18"/>
          <w:color w:val="auto"/>
        </w:rPr>
        <w:t xml:space="preserve"> is a designer, manufacturer, and retailer of high-end jewelry. Lugano conducts sales via its own retail salons as well as pop-up showrooms at Lugano-hosted or sponsored events in partnership with organizations in the equestrian, art, and philanthropic communities. Lugano is headquartered in Newport Beach, California.</w:t>
      </w:r>
    </w:p>
    <w:p>
      <w:pPr>
        <w:spacing w:after="0" w:line="116" w:lineRule="exact"/>
        <w:rPr>
          <w:rFonts w:ascii="Arial" w:cs="Arial" w:eastAsia="Arial" w:hAnsi="Arial"/>
          <w:sz w:val="18"/>
          <w:szCs w:val="18"/>
          <w:color w:val="auto"/>
        </w:rPr>
      </w:pPr>
    </w:p>
    <w:p>
      <w:pPr>
        <w:jc w:val="both"/>
        <w:ind w:left="420" w:hanging="331"/>
        <w:spacing w:after="0" w:line="259"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-1210945</wp:posOffset>
            </wp:positionV>
            <wp:extent cx="24828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285" cy="128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6" w:name="page47"/>
    <w:bookmarkEnd w:id="46"/>
    <w:p>
      <w:pPr>
        <w:jc w:val="both"/>
        <w:ind w:left="420" w:hanging="331"/>
        <w:spacing w:after="0" w:line="256" w:lineRule="auto"/>
        <w:tabs>
          <w:tab w:leader="none" w:pos="41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27" w:lineRule="exact"/>
        <w:rPr>
          <w:rFonts w:ascii="Times New Roman" w:cs="Times New Roman" w:eastAsia="Times New Roman" w:hAnsi="Times New Roman"/>
          <w:sz w:val="18"/>
          <w:szCs w:val="18"/>
          <w:color w:val="auto"/>
        </w:rPr>
      </w:pPr>
    </w:p>
    <w:p>
      <w:pPr>
        <w:jc w:val="both"/>
        <w:ind w:left="420" w:hanging="331"/>
        <w:spacing w:after="0" w:line="257"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128" w:lineRule="exact"/>
        <w:rPr>
          <w:rFonts w:ascii="Arial" w:cs="Arial" w:eastAsia="Arial" w:hAnsi="Arial"/>
          <w:sz w:val="18"/>
          <w:szCs w:val="18"/>
          <w:color w:val="auto"/>
        </w:rPr>
      </w:pPr>
    </w:p>
    <w:p>
      <w:pPr>
        <w:jc w:val="both"/>
        <w:ind w:left="420" w:hanging="331"/>
        <w:spacing w:after="0" w:line="262"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20 molding and fabricating facilities across North America.</w:t>
      </w:r>
    </w:p>
    <w:p>
      <w:pPr>
        <w:spacing w:after="0" w:line="122" w:lineRule="exact"/>
        <w:rPr>
          <w:rFonts w:ascii="Arial" w:cs="Arial" w:eastAsia="Arial" w:hAnsi="Arial"/>
          <w:sz w:val="18"/>
          <w:szCs w:val="18"/>
          <w:color w:val="auto"/>
        </w:rPr>
      </w:pPr>
    </w:p>
    <w:p>
      <w:pPr>
        <w:jc w:val="both"/>
        <w:ind w:left="420" w:hanging="331"/>
        <w:spacing w:after="0" w:line="255"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130" w:lineRule="exact"/>
        <w:rPr>
          <w:rFonts w:ascii="Arial" w:cs="Arial" w:eastAsia="Arial" w:hAnsi="Arial"/>
          <w:sz w:val="18"/>
          <w:szCs w:val="18"/>
          <w:color w:val="auto"/>
        </w:rPr>
      </w:pPr>
    </w:p>
    <w:p>
      <w:pPr>
        <w:jc w:val="both"/>
        <w:ind w:left="420" w:hanging="331"/>
        <w:spacing w:after="0" w:line="259" w:lineRule="auto"/>
        <w:tabs>
          <w:tab w:leader="none" w:pos="41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Sterno is headquartered in Plano, Texas.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function of chief operating decision-maker (“CODM”) is performed collectively by our Chief Executive Officer, the Chief Operating Officer and the partners of the Company’s Manager,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7" w:name="page48"/>
    <w:bookmarkEnd w:id="47"/>
    <w:p>
      <w:pPr>
        <w:jc w:val="both"/>
        <w:spacing w:after="0"/>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to the Company's reportable segments. There were no significant inter-segment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548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Three Months Ended June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BOA</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Lugano</w:t>
            </w:r>
          </w:p>
        </w:tc>
        <w:tc>
          <w:tcPr>
            <w:tcW w:w="9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Velocity</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Altor</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Outdoor</w:t>
            </w: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131,442</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48,369</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center"/>
              <w:ind w:left="24"/>
              <w:spacing w:after="0"/>
              <w:rPr>
                <w:sz w:val="20"/>
                <w:szCs w:val="20"/>
                <w:color w:val="auto"/>
              </w:rPr>
            </w:pPr>
            <w:r>
              <w:rPr>
                <w:rFonts w:ascii="Arial" w:cs="Arial" w:eastAsia="Arial" w:hAnsi="Arial"/>
                <w:sz w:val="15"/>
                <w:szCs w:val="15"/>
                <w:color w:val="auto"/>
              </w:rPr>
              <w:t>26,771</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24,855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15,213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83,305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38,432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77,505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478,690</w:t>
            </w: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60,980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17,365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left="24"/>
              <w:spacing w:after="0"/>
              <w:rPr>
                <w:sz w:val="20"/>
                <w:szCs w:val="20"/>
                <w:color w:val="auto"/>
              </w:rPr>
            </w:pPr>
            <w:r>
              <w:rPr>
                <w:rFonts w:ascii="Arial" w:cs="Arial" w:eastAsia="Arial" w:hAnsi="Arial"/>
                <w:sz w:val="15"/>
                <w:szCs w:val="15"/>
                <w:color w:val="auto"/>
              </w:rPr>
              <w:t>13,325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8,957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14,371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10,261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60,590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29,249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55,051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270,149</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Selling, general and</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administrative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rPr>
              <w:t>28,079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144,770</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b w:val="1"/>
                <w:bCs w:val="1"/>
                <w:color w:val="auto"/>
              </w:rPr>
              <w:t>(1)</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32,149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3,894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60,512</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segment operating</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4"/>
              <w:spacing w:after="0"/>
              <w:rPr>
                <w:sz w:val="20"/>
                <w:szCs w:val="20"/>
                <w:color w:val="auto"/>
              </w:rPr>
            </w:pPr>
            <w:r>
              <w:rPr>
                <w:rFonts w:ascii="Arial" w:cs="Arial" w:eastAsia="Arial" w:hAnsi="Arial"/>
                <w:sz w:val="15"/>
                <w:szCs w:val="15"/>
                <w:color w:val="auto"/>
              </w:rPr>
              <w:t>(46,782)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3,259</w:t>
            </w:r>
          </w:p>
        </w:tc>
        <w:tc>
          <w:tcPr>
            <w:tcW w:w="0" w:type="dxa"/>
            <w:vAlign w:val="bottom"/>
          </w:tcPr>
          <w:p>
            <w:pPr>
              <w:spacing w:after="0"/>
              <w:rPr>
                <w:sz w:val="1"/>
                <w:szCs w:val="1"/>
                <w:color w:val="auto"/>
              </w:rPr>
            </w:pPr>
          </w:p>
        </w:tc>
      </w:tr>
      <w:tr>
        <w:trPr>
          <w:trHeight w:val="201"/>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(30,497)</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(27,238)</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(34,096)</w:t>
            </w: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Amortization of debt issuance</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rPr>
                <w:sz w:val="20"/>
                <w:szCs w:val="20"/>
                <w:color w:val="auto"/>
              </w:rPr>
            </w:pPr>
            <w:r>
              <w:rPr>
                <w:rFonts w:ascii="Arial" w:cs="Arial" w:eastAsia="Arial" w:hAnsi="Arial"/>
                <w:sz w:val="15"/>
                <w:szCs w:val="15"/>
                <w:color w:val="auto"/>
              </w:rPr>
              <w:t>Loss on debt modification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(2,827)</w:t>
            </w:r>
          </w:p>
        </w:tc>
        <w:tc>
          <w:tcPr>
            <w:tcW w:w="0" w:type="dxa"/>
            <w:vAlign w:val="bottom"/>
          </w:tcPr>
          <w:p>
            <w:pPr>
              <w:spacing w:after="0"/>
              <w:rPr>
                <w:sz w:val="1"/>
                <w:szCs w:val="1"/>
                <w:color w:val="auto"/>
              </w:rPr>
            </w:pPr>
          </w:p>
        </w:tc>
      </w:tr>
      <w:tr>
        <w:trPr>
          <w:trHeight w:val="204"/>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138"/>
        </w:trPr>
        <w:tc>
          <w:tcPr>
            <w:tcW w:w="2080" w:type="dxa"/>
            <w:vAlign w:val="bottom"/>
          </w:tcPr>
          <w:p>
            <w:pPr>
              <w:ind w:left="360"/>
              <w:spacing w:after="0" w:line="138" w:lineRule="exact"/>
              <w:rPr>
                <w:sz w:val="20"/>
                <w:szCs w:val="20"/>
                <w:color w:val="auto"/>
              </w:rPr>
            </w:pPr>
            <w:r>
              <w:rPr>
                <w:rFonts w:ascii="Arial" w:cs="Arial" w:eastAsia="Arial" w:hAnsi="Arial"/>
                <w:sz w:val="15"/>
                <w:szCs w:val="15"/>
                <w:color w:val="auto"/>
              </w:rPr>
              <w:t>Total consolidated loss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80" w:type="dxa"/>
            <w:vAlign w:val="bottom"/>
          </w:tcPr>
          <w:p>
            <w:pPr>
              <w:ind w:left="360"/>
              <w:spacing w:after="0" w:line="153" w:lineRule="exact"/>
              <w:rPr>
                <w:sz w:val="20"/>
                <w:szCs w:val="20"/>
                <w:color w:val="auto"/>
              </w:rPr>
            </w:pPr>
            <w:r>
              <w:rPr>
                <w:rFonts w:ascii="Arial" w:cs="Arial" w:eastAsia="Arial" w:hAnsi="Arial"/>
                <w:sz w:val="15"/>
                <w:szCs w:val="15"/>
                <w:color w:val="auto"/>
              </w:rPr>
              <w:t>from continuing</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360"/>
              <w:spacing w:after="0" w:line="149" w:lineRule="exact"/>
              <w:rPr>
                <w:sz w:val="20"/>
                <w:szCs w:val="20"/>
                <w:color w:val="auto"/>
              </w:rPr>
            </w:pPr>
            <w:r>
              <w:rPr>
                <w:rFonts w:ascii="Arial" w:cs="Arial" w:eastAsia="Arial" w:hAnsi="Arial"/>
                <w:sz w:val="15"/>
                <w:szCs w:val="15"/>
                <w:color w:val="auto"/>
              </w:rPr>
              <w:t>operations before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(63,419)</w:t>
            </w:r>
          </w:p>
        </w:tc>
        <w:tc>
          <w:tcPr>
            <w:tcW w:w="0" w:type="dxa"/>
            <w:vAlign w:val="bottom"/>
          </w:tcPr>
          <w:p>
            <w:pPr>
              <w:spacing w:after="0"/>
              <w:rPr>
                <w:sz w:val="1"/>
                <w:szCs w:val="1"/>
                <w:color w:val="auto"/>
              </w:rPr>
            </w:pPr>
          </w:p>
        </w:tc>
      </w:tr>
      <w:tr>
        <w:trPr>
          <w:trHeight w:val="180"/>
        </w:trPr>
        <w:tc>
          <w:tcPr>
            <w:tcW w:w="2080" w:type="dxa"/>
            <w:vAlign w:val="bottom"/>
          </w:tcPr>
          <w:p>
            <w:pPr>
              <w:ind w:left="360"/>
              <w:spacing w:after="0"/>
              <w:rPr>
                <w:sz w:val="20"/>
                <w:szCs w:val="20"/>
                <w:color w:val="auto"/>
              </w:rPr>
            </w:pPr>
            <w:r>
              <w:rPr>
                <w:rFonts w:ascii="Arial" w:cs="Arial" w:eastAsia="Arial" w:hAnsi="Arial"/>
                <w:sz w:val="15"/>
                <w:szCs w:val="15"/>
                <w:color w:val="auto"/>
              </w:rPr>
              <w:t>income taxes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540" w:right="1220" w:hanging="5532"/>
        <w:spacing w:after="0"/>
        <w:tabs>
          <w:tab w:leader="none" w:pos="210" w:val="left"/>
        </w:tabs>
        <w:numPr>
          <w:ilvl w:val="0"/>
          <w:numId w:val="19"/>
        </w:numPr>
        <w:rPr>
          <w:rFonts w:ascii="Arial" w:cs="Arial" w:eastAsia="Arial" w:hAnsi="Arial"/>
          <w:sz w:val="24"/>
          <w:szCs w:val="24"/>
          <w:b w:val="1"/>
          <w:bCs w:val="1"/>
          <w:color w:val="auto"/>
          <w:vertAlign w:val="superscript"/>
        </w:rPr>
      </w:pPr>
      <w:r>
        <w:rPr>
          <w:rFonts w:ascii="Arial" w:cs="Arial" w:eastAsia="Arial" w:hAnsi="Arial"/>
          <w:sz w:val="16"/>
          <w:szCs w:val="16"/>
          <w:color w:val="auto"/>
        </w:rPr>
        <w:t xml:space="preserve">Other consists of segment allocated management fees, amortization expense of intangible assets and stock-based compensation. </w:t>
      </w: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8890"/>
                    </a:xfrm>
                    <a:prstGeom prst="rect">
                      <a:avLst/>
                    </a:prstGeom>
                    <a:noFill/>
                  </pic:spPr>
                </pic:pic>
              </a:graphicData>
            </a:graphic>
          </wp:anchor>
        </w:drawing>
        <w:t>Three Months Ended June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88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BOA</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w w:val="99"/>
              </w:rPr>
              <w:t>Lugano</w:t>
            </w: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8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THP</w:t>
            </w: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5"/>
                <w:szCs w:val="15"/>
                <w:b w:val="1"/>
                <w:bCs w:val="1"/>
                <w:color w:val="auto"/>
              </w:rPr>
              <w:t>Velocity</w:t>
            </w:r>
          </w:p>
        </w:tc>
        <w:tc>
          <w:tcPr>
            <w:tcW w:w="8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Altor</w:t>
            </w:r>
          </w:p>
        </w:tc>
        <w:tc>
          <w:tcPr>
            <w:tcW w:w="9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Outdoor</w:t>
            </w: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45"/>
              <w:spacing w:after="0" w:line="151" w:lineRule="exact"/>
              <w:rPr>
                <w:sz w:val="20"/>
                <w:szCs w:val="20"/>
                <w:color w:val="auto"/>
              </w:rPr>
            </w:pPr>
            <w:r>
              <w:rPr>
                <w:rFonts w:ascii="Arial" w:cs="Arial" w:eastAsia="Arial" w:hAnsi="Arial"/>
                <w:sz w:val="14"/>
                <w:szCs w:val="14"/>
                <w:b w:val="1"/>
                <w:bCs w:val="1"/>
                <w:color w:val="auto"/>
                <w:w w:val="97"/>
              </w:rPr>
              <w:t>(As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Restated)</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$ 123,201</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54,160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12,025</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25,291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24,182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18,711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52,213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43,155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73,767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426,705</w:t>
            </w:r>
          </w:p>
        </w:tc>
        <w:tc>
          <w:tcPr>
            <w:tcW w:w="0" w:type="dxa"/>
            <w:vAlign w:val="bottom"/>
          </w:tcPr>
          <w:p>
            <w:pPr>
              <w:spacing w:after="0"/>
              <w:rPr>
                <w:sz w:val="1"/>
                <w:szCs w:val="1"/>
                <w:color w:val="auto"/>
              </w:rPr>
            </w:pPr>
          </w:p>
        </w:tc>
      </w:tr>
      <w:tr>
        <w:trPr>
          <w:trHeight w:val="200"/>
        </w:trPr>
        <w:tc>
          <w:tcPr>
            <w:tcW w:w="210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55,716</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20,090</w:t>
            </w:r>
          </w:p>
        </w:tc>
        <w:tc>
          <w:tcPr>
            <w:tcW w:w="18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5,839</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9,249</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12,859</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13,084</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37,184</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30,709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53,790</w:t>
            </w:r>
          </w:p>
        </w:tc>
        <w:tc>
          <w:tcPr>
            <w:tcW w:w="8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238,520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944" w:right="399" w:bottom="1440" w:gutter="0" w:footer="0" w:header="0"/>
        </w:sectPr>
      </w:pPr>
    </w:p>
    <w:p>
      <w:pPr>
        <w:ind w:left="20" w:right="48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10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500"/>
        <w:spacing w:after="0" w:line="245" w:lineRule="auto"/>
        <w:rPr>
          <w:sz w:val="20"/>
          <w:szCs w:val="20"/>
          <w:color w:val="auto"/>
        </w:rPr>
      </w:pPr>
      <w:r>
        <w:rPr>
          <w:rFonts w:ascii="Arial" w:cs="Arial" w:eastAsia="Arial" w:hAnsi="Arial"/>
          <w:sz w:val="15"/>
          <w:szCs w:val="15"/>
          <w:color w:val="auto"/>
        </w:rPr>
        <w:t>Total consolidated operating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right="4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360"/>
        <w:spacing w:after="0" w:line="281" w:lineRule="auto"/>
        <w:rPr>
          <w:sz w:val="20"/>
          <w:szCs w:val="20"/>
          <w:color w:val="auto"/>
        </w:rPr>
      </w:pPr>
      <w:r>
        <w:rPr>
          <w:rFonts w:ascii="Arial" w:cs="Arial" w:eastAsia="Arial" w:hAnsi="Arial"/>
          <w:sz w:val="15"/>
          <w:szCs w:val="15"/>
          <w:color w:val="auto"/>
        </w:rPr>
        <w:t>Loss on sale of Crosman Other (expense), net</w:t>
      </w:r>
    </w:p>
    <w:p>
      <w:pPr>
        <w:spacing w:after="0" w:line="1" w:lineRule="exact"/>
        <w:rPr>
          <w:sz w:val="20"/>
          <w:szCs w:val="20"/>
          <w:color w:val="auto"/>
        </w:rPr>
      </w:pPr>
    </w:p>
    <w:p>
      <w:pPr>
        <w:ind w:left="360" w:right="200"/>
        <w:spacing w:after="0" w:line="225" w:lineRule="auto"/>
        <w:rPr>
          <w:sz w:val="20"/>
          <w:szCs w:val="20"/>
          <w:color w:val="auto"/>
        </w:rPr>
      </w:pPr>
      <w:r>
        <w:rPr>
          <w:rFonts w:ascii="Arial" w:cs="Arial" w:eastAsia="Arial" w:hAnsi="Arial"/>
          <w:sz w:val="15"/>
          <w:szCs w:val="15"/>
          <w:color w:val="auto"/>
        </w:rPr>
        <w:t>Total consolidated loss from continuing</w:t>
      </w:r>
    </w:p>
    <w:p>
      <w:pPr>
        <w:spacing w:after="0" w:line="1" w:lineRule="exact"/>
        <w:rPr>
          <w:sz w:val="20"/>
          <w:szCs w:val="20"/>
          <w:color w:val="auto"/>
        </w:rPr>
      </w:pPr>
    </w:p>
    <w:p>
      <w:pPr>
        <w:ind w:left="360"/>
        <w:spacing w:after="0" w:line="233" w:lineRule="auto"/>
        <w:rPr>
          <w:sz w:val="20"/>
          <w:szCs w:val="20"/>
          <w:color w:val="auto"/>
        </w:rPr>
      </w:pPr>
      <w:r>
        <w:rPr>
          <w:rFonts w:ascii="Arial" w:cs="Arial" w:eastAsia="Arial" w:hAnsi="Arial"/>
          <w:sz w:val="15"/>
          <w:szCs w:val="15"/>
          <w:color w:val="auto"/>
        </w:rPr>
        <w:t>operations before 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Pr>
          <w:p>
            <w:pPr>
              <w:jc w:val="right"/>
              <w:spacing w:after="0"/>
              <w:rPr>
                <w:sz w:val="20"/>
                <w:szCs w:val="20"/>
                <w:color w:val="auto"/>
              </w:rPr>
            </w:pPr>
            <w:r>
              <w:rPr>
                <w:rFonts w:ascii="Arial" w:cs="Arial" w:eastAsia="Arial" w:hAnsi="Arial"/>
                <w:sz w:val="15"/>
                <w:szCs w:val="15"/>
                <w:color w:val="auto"/>
              </w:rPr>
              <w:t>53,813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11,984</w:t>
            </w:r>
          </w:p>
        </w:tc>
        <w:tc>
          <w:tcPr>
            <w:tcW w:w="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23,397</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4,775</w:t>
            </w:r>
          </w:p>
        </w:tc>
        <w:tc>
          <w:tcPr>
            <w:tcW w:w="80" w:type="dxa"/>
            <w:vAlign w:val="bottom"/>
          </w:tcPr>
          <w:p>
            <w:pPr>
              <w:spacing w:after="0"/>
              <w:rPr>
                <w:sz w:val="17"/>
                <w:szCs w:val="17"/>
                <w:color w:val="auto"/>
              </w:rPr>
            </w:pPr>
          </w:p>
        </w:tc>
        <w:tc>
          <w:tcPr>
            <w:tcW w:w="760" w:type="dxa"/>
            <w:vAlign w:val="bottom"/>
          </w:tcPr>
          <w:p>
            <w:pPr>
              <w:jc w:val="center"/>
              <w:ind w:left="184"/>
              <w:spacing w:after="0"/>
              <w:rPr>
                <w:sz w:val="20"/>
                <w:szCs w:val="20"/>
                <w:color w:val="auto"/>
              </w:rPr>
            </w:pPr>
            <w:r>
              <w:rPr>
                <w:rFonts w:ascii="Arial" w:cs="Arial" w:eastAsia="Arial" w:hAnsi="Arial"/>
                <w:sz w:val="15"/>
                <w:szCs w:val="15"/>
                <w:color w:val="auto"/>
              </w:rPr>
              <w:t>8,804</w:t>
            </w:r>
          </w:p>
        </w:tc>
        <w:tc>
          <w:tcPr>
            <w:tcW w:w="80" w:type="dxa"/>
            <w:vAlign w:val="bottom"/>
          </w:tcPr>
          <w:p>
            <w:pPr>
              <w:spacing w:after="0"/>
              <w:rPr>
                <w:sz w:val="17"/>
                <w:szCs w:val="17"/>
                <w:color w:val="auto"/>
              </w:rPr>
            </w:pPr>
          </w:p>
        </w:tc>
        <w:tc>
          <w:tcPr>
            <w:tcW w:w="840" w:type="dxa"/>
            <w:vAlign w:val="bottom"/>
          </w:tcPr>
          <w:p>
            <w:pPr>
              <w:jc w:val="center"/>
              <w:ind w:left="224"/>
              <w:spacing w:after="0"/>
              <w:rPr>
                <w:sz w:val="20"/>
                <w:szCs w:val="20"/>
                <w:color w:val="auto"/>
              </w:rPr>
            </w:pPr>
            <w:r>
              <w:rPr>
                <w:rFonts w:ascii="Arial" w:cs="Arial" w:eastAsia="Arial" w:hAnsi="Arial"/>
                <w:sz w:val="15"/>
                <w:szCs w:val="15"/>
                <w:color w:val="auto"/>
              </w:rPr>
              <w:t>5,673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7,026</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6,382</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8,082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129,936</w:t>
            </w:r>
          </w:p>
        </w:tc>
      </w:tr>
      <w:tr>
        <w:trPr>
          <w:trHeight w:val="205"/>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5,616</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892</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5,768</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center"/>
              <w:ind w:left="184"/>
              <w:spacing w:after="0"/>
              <w:rPr>
                <w:sz w:val="20"/>
                <w:szCs w:val="20"/>
                <w:color w:val="auto"/>
              </w:rPr>
            </w:pPr>
            <w:r>
              <w:rPr>
                <w:rFonts w:ascii="Arial" w:cs="Arial" w:eastAsia="Arial" w:hAnsi="Arial"/>
                <w:sz w:val="15"/>
                <w:szCs w:val="15"/>
                <w:color w:val="auto"/>
              </w:rPr>
              <w:t>5,049</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ind w:left="224"/>
              <w:spacing w:after="0"/>
              <w:rPr>
                <w:sz w:val="20"/>
                <w:szCs w:val="20"/>
                <w:color w:val="auto"/>
              </w:rPr>
            </w:pPr>
            <w:r>
              <w:rPr>
                <w:rFonts w:ascii="Arial" w:cs="Arial" w:eastAsia="Arial" w:hAnsi="Arial"/>
                <w:sz w:val="15"/>
                <w:szCs w:val="15"/>
                <w:color w:val="auto"/>
              </w:rPr>
              <w:t>1,889</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2,847</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756</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29,815</w:t>
            </w:r>
          </w:p>
        </w:tc>
      </w:tr>
      <w:tr>
        <w:trPr>
          <w:trHeight w:val="342"/>
        </w:trPr>
        <w:tc>
          <w:tcPr>
            <w:tcW w:w="820" w:type="dxa"/>
            <w:vAlign w:val="bottom"/>
          </w:tcPr>
          <w:p>
            <w:pPr>
              <w:jc w:val="right"/>
              <w:spacing w:after="0"/>
              <w:rPr>
                <w:sz w:val="20"/>
                <w:szCs w:val="20"/>
                <w:color w:val="auto"/>
              </w:rPr>
            </w:pPr>
            <w:r>
              <w:rPr>
                <w:rFonts w:ascii="Arial" w:cs="Arial" w:eastAsia="Arial" w:hAnsi="Arial"/>
                <w:sz w:val="15"/>
                <w:szCs w:val="15"/>
                <w:color w:val="auto"/>
              </w:rPr>
              <w:t>10,699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16,470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(18,103)</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5,499</w:t>
            </w:r>
          </w:p>
        </w:tc>
        <w:tc>
          <w:tcPr>
            <w:tcW w:w="80" w:type="dxa"/>
            <w:vAlign w:val="bottom"/>
          </w:tcPr>
          <w:p>
            <w:pPr>
              <w:spacing w:after="0"/>
              <w:rPr>
                <w:sz w:val="24"/>
                <w:szCs w:val="24"/>
                <w:color w:val="auto"/>
              </w:rPr>
            </w:pPr>
          </w:p>
        </w:tc>
        <w:tc>
          <w:tcPr>
            <w:tcW w:w="760" w:type="dxa"/>
            <w:vAlign w:val="bottom"/>
          </w:tcPr>
          <w:p>
            <w:pPr>
              <w:jc w:val="center"/>
              <w:ind w:left="164"/>
              <w:spacing w:after="0"/>
              <w:rPr>
                <w:sz w:val="20"/>
                <w:szCs w:val="20"/>
                <w:color w:val="auto"/>
              </w:rPr>
            </w:pPr>
            <w:r>
              <w:rPr>
                <w:rFonts w:ascii="Arial" w:cs="Arial" w:eastAsia="Arial" w:hAnsi="Arial"/>
                <w:sz w:val="15"/>
                <w:szCs w:val="15"/>
                <w:color w:val="auto"/>
              </w:rPr>
              <w:t>(2,530)</w:t>
            </w:r>
          </w:p>
        </w:tc>
        <w:tc>
          <w:tcPr>
            <w:tcW w:w="80" w:type="dxa"/>
            <w:vAlign w:val="bottom"/>
          </w:tcPr>
          <w:p>
            <w:pPr>
              <w:spacing w:after="0"/>
              <w:rPr>
                <w:sz w:val="24"/>
                <w:szCs w:val="24"/>
                <w:color w:val="auto"/>
              </w:rPr>
            </w:pPr>
          </w:p>
        </w:tc>
        <w:tc>
          <w:tcPr>
            <w:tcW w:w="840" w:type="dxa"/>
            <w:vAlign w:val="bottom"/>
          </w:tcPr>
          <w:p>
            <w:pPr>
              <w:jc w:val="center"/>
              <w:ind w:left="204"/>
              <w:spacing w:after="0"/>
              <w:rPr>
                <w:sz w:val="20"/>
                <w:szCs w:val="20"/>
                <w:color w:val="auto"/>
              </w:rPr>
            </w:pPr>
            <w:r>
              <w:rPr>
                <w:rFonts w:ascii="Arial" w:cs="Arial" w:eastAsia="Arial" w:hAnsi="Arial"/>
                <w:sz w:val="15"/>
                <w:szCs w:val="15"/>
                <w:color w:val="auto"/>
              </w:rPr>
              <w:t>(1,935)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5,156</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5,308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28,434</w:t>
            </w:r>
          </w:p>
        </w:tc>
      </w:tr>
      <w:tr>
        <w:trPr>
          <w:trHeight w:val="205"/>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(20,954)</w:t>
            </w:r>
          </w:p>
        </w:tc>
      </w:tr>
      <w:tr>
        <w:trPr>
          <w:trHeight w:val="345"/>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7,480</w:t>
            </w:r>
          </w:p>
        </w:tc>
      </w:tr>
      <w:tr>
        <w:trPr>
          <w:trHeight w:val="197"/>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(29,596)</w:t>
            </w:r>
          </w:p>
        </w:tc>
      </w:tr>
      <w:tr>
        <w:trPr>
          <w:trHeight w:val="361"/>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(1,004)</w:t>
            </w:r>
          </w:p>
        </w:tc>
      </w:tr>
      <w:tr>
        <w:trPr>
          <w:trHeight w:val="203"/>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(24,606)</w:t>
            </w:r>
          </w:p>
        </w:tc>
      </w:tr>
      <w:tr>
        <w:trPr>
          <w:trHeight w:val="205"/>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(40,642)</w:t>
            </w:r>
          </w:p>
        </w:tc>
      </w:tr>
      <w:tr>
        <w:trPr>
          <w:trHeight w:val="61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(88,368)</w:t>
            </w:r>
          </w:p>
        </w:tc>
      </w:tr>
      <w:tr>
        <w:trPr>
          <w:trHeight w:val="24"/>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-2014220</wp:posOffset>
            </wp:positionV>
            <wp:extent cx="7089140"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9140" cy="23177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-1653540</wp:posOffset>
            </wp:positionV>
            <wp:extent cx="7089140" cy="231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23114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-1293495</wp:posOffset>
            </wp:positionV>
            <wp:extent cx="7089140" cy="231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23114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-925195</wp:posOffset>
            </wp:positionV>
            <wp:extent cx="708914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9140" cy="23177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-565150</wp:posOffset>
            </wp:positionV>
            <wp:extent cx="708914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20"/>
            <w:col w:w="9080"/>
          </w:cols>
          <w:pgMar w:left="320" w:top="944" w:right="399" w:bottom="1440" w:gutter="0" w:footer="0" w:header="0"/>
          <w:type w:val="continuous"/>
        </w:sectPr>
      </w:pPr>
    </w:p>
    <w:p>
      <w:pPr>
        <w:spacing w:after="0" w:line="8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and stock-based compensation.</w:t>
      </w: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36" w:lineRule="exact"/>
        <w:rPr>
          <w:rFonts w:ascii="Arial" w:cs="Arial" w:eastAsia="Arial" w:hAnsi="Arial"/>
          <w:sz w:val="22"/>
          <w:szCs w:val="22"/>
          <w:b w:val="1"/>
          <w:bCs w:val="1"/>
          <w:color w:val="auto"/>
          <w:vertAlign w:val="superscript"/>
        </w:rPr>
      </w:pPr>
    </w:p>
    <w:p>
      <w:pPr>
        <w:ind w:left="5540"/>
        <w:spacing w:after="0"/>
        <w:rPr>
          <w:rFonts w:ascii="Arial" w:cs="Arial" w:eastAsia="Arial" w:hAnsi="Arial"/>
          <w:sz w:val="22"/>
          <w:szCs w:val="22"/>
          <w:b w:val="1"/>
          <w:bCs w:val="1"/>
          <w:color w:val="auto"/>
          <w:vertAlign w:val="superscript"/>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4" w:right="39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0548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54850" cy="8255"/>
                    </a:xfrm>
                    <a:prstGeom prst="rect">
                      <a:avLst/>
                    </a:prstGeom>
                    <a:noFill/>
                  </pic:spPr>
                </pic:pic>
              </a:graphicData>
            </a:graphic>
          </wp:anchor>
        </w:drawing>
        <w:t>Six Months ended June 30,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5"/>
                <w:szCs w:val="15"/>
                <w:b w:val="1"/>
                <w:bCs w:val="1"/>
                <w:color w:val="auto"/>
              </w:rPr>
              <w:t>5.11</w:t>
            </w:r>
          </w:p>
        </w:tc>
        <w:tc>
          <w:tcPr>
            <w:tcW w:w="90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BOA</w:t>
            </w:r>
          </w:p>
        </w:tc>
        <w:tc>
          <w:tcPr>
            <w:tcW w:w="90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b w:val="1"/>
                <w:bCs w:val="1"/>
                <w:color w:val="auto"/>
              </w:rPr>
              <w:t>Lugano</w:t>
            </w: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THP</w:t>
            </w: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5"/>
                <w:szCs w:val="15"/>
                <w:b w:val="1"/>
                <w:bCs w:val="1"/>
                <w:color w:val="auto"/>
              </w:rPr>
              <w:t>Velocity</w:t>
            </w:r>
          </w:p>
        </w:tc>
        <w:tc>
          <w:tcPr>
            <w:tcW w:w="9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Altor</w:t>
            </w:r>
          </w:p>
        </w:tc>
        <w:tc>
          <w:tcPr>
            <w:tcW w:w="9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9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Sterno</w:t>
            </w:r>
          </w:p>
        </w:tc>
        <w:tc>
          <w:tcPr>
            <w:tcW w:w="8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Outdoor</w:t>
            </w: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260,812</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97,246</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53,616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48,500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68,989</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28,414</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159,562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72,440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142,886</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932,465</w:t>
            </w:r>
          </w:p>
        </w:tc>
        <w:tc>
          <w:tcPr>
            <w:tcW w:w="0" w:type="dxa"/>
            <w:vAlign w:val="bottom"/>
          </w:tcPr>
          <w:p>
            <w:pPr>
              <w:spacing w:after="0"/>
              <w:rPr>
                <w:sz w:val="1"/>
                <w:szCs w:val="1"/>
                <w:color w:val="auto"/>
              </w:rPr>
            </w:pPr>
          </w:p>
        </w:tc>
      </w:tr>
      <w:tr>
        <w:trPr>
          <w:trHeight w:val="200"/>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120,602</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35,023</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26,992</w:t>
            </w:r>
          </w:p>
        </w:tc>
        <w:tc>
          <w:tcPr>
            <w:tcW w:w="900" w:type="dxa"/>
            <w:vAlign w:val="bottom"/>
          </w:tcPr>
          <w:p>
            <w:pPr>
              <w:jc w:val="right"/>
              <w:spacing w:after="0"/>
              <w:rPr>
                <w:sz w:val="20"/>
                <w:szCs w:val="20"/>
                <w:color w:val="auto"/>
              </w:rPr>
            </w:pPr>
            <w:r>
              <w:rPr>
                <w:rFonts w:ascii="Arial" w:cs="Arial" w:eastAsia="Arial" w:hAnsi="Arial"/>
                <w:sz w:val="15"/>
                <w:szCs w:val="15"/>
                <w:color w:val="auto"/>
              </w:rPr>
              <w:t>17,465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30,531</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20,098</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117,811</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56,236</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103,134</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527,892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20" w:top="1038" w:right="459" w:bottom="1440" w:gutter="0" w:footer="0" w:header="0"/>
        </w:sectPr>
      </w:pPr>
    </w:p>
    <w:p>
      <w:pPr>
        <w:ind w:left="20" w:right="44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460"/>
        <w:spacing w:after="0" w:line="245" w:lineRule="auto"/>
        <w:rPr>
          <w:sz w:val="20"/>
          <w:szCs w:val="20"/>
          <w:color w:val="auto"/>
        </w:rPr>
      </w:pPr>
      <w:r>
        <w:rPr>
          <w:rFonts w:ascii="Arial" w:cs="Arial" w:eastAsia="Arial" w:hAnsi="Arial"/>
          <w:sz w:val="15"/>
          <w:szCs w:val="15"/>
          <w:color w:val="auto"/>
        </w:rPr>
        <w:t>Total consolidated operating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280"/>
        <w:spacing w:after="0" w:line="281" w:lineRule="auto"/>
        <w:rPr>
          <w:sz w:val="20"/>
          <w:szCs w:val="20"/>
          <w:color w:val="auto"/>
        </w:rPr>
      </w:pPr>
      <w:r>
        <w:rPr>
          <w:rFonts w:ascii="Arial" w:cs="Arial" w:eastAsia="Arial" w:hAnsi="Arial"/>
          <w:sz w:val="15"/>
          <w:szCs w:val="15"/>
          <w:color w:val="auto"/>
        </w:rPr>
        <w:t>Loss on debt modification Other income, net</w:t>
      </w:r>
    </w:p>
    <w:p>
      <w:pPr>
        <w:spacing w:after="0" w:line="1" w:lineRule="exact"/>
        <w:rPr>
          <w:sz w:val="20"/>
          <w:szCs w:val="20"/>
          <w:color w:val="auto"/>
        </w:rPr>
      </w:pPr>
    </w:p>
    <w:p>
      <w:pPr>
        <w:ind w:left="360" w:right="160"/>
        <w:spacing w:after="0" w:line="219" w:lineRule="auto"/>
        <w:rPr>
          <w:sz w:val="20"/>
          <w:szCs w:val="20"/>
          <w:color w:val="auto"/>
        </w:rPr>
      </w:pPr>
      <w:r>
        <w:rPr>
          <w:rFonts w:ascii="Arial" w:cs="Arial" w:eastAsia="Arial" w:hAnsi="Arial"/>
          <w:sz w:val="15"/>
          <w:szCs w:val="15"/>
          <w:color w:val="auto"/>
        </w:rPr>
        <w:t>Total consolidated loss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40" w:type="dxa"/>
            <w:vAlign w:val="bottom"/>
          </w:tcPr>
          <w:p>
            <w:pPr>
              <w:jc w:val="right"/>
              <w:ind w:right="4"/>
              <w:spacing w:after="0"/>
              <w:rPr>
                <w:sz w:val="20"/>
                <w:szCs w:val="20"/>
                <w:color w:val="auto"/>
              </w:rPr>
            </w:pPr>
            <w:r>
              <w:rPr>
                <w:rFonts w:ascii="Arial" w:cs="Arial" w:eastAsia="Arial" w:hAnsi="Arial"/>
                <w:sz w:val="15"/>
                <w:szCs w:val="15"/>
                <w:color w:val="auto"/>
              </w:rPr>
              <w:t>115,874</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23,391</w:t>
            </w:r>
          </w:p>
        </w:tc>
        <w:tc>
          <w:tcPr>
            <w:tcW w:w="80" w:type="dxa"/>
            <w:vAlign w:val="bottom"/>
          </w:tcPr>
          <w:p>
            <w:pPr>
              <w:spacing w:after="0"/>
              <w:rPr>
                <w:sz w:val="17"/>
                <w:szCs w:val="17"/>
                <w:color w:val="auto"/>
              </w:rPr>
            </w:pPr>
          </w:p>
        </w:tc>
        <w:tc>
          <w:tcPr>
            <w:tcW w:w="820" w:type="dxa"/>
            <w:vAlign w:val="bottom"/>
          </w:tcPr>
          <w:p>
            <w:pPr>
              <w:jc w:val="center"/>
              <w:ind w:left="144"/>
              <w:spacing w:after="0"/>
              <w:rPr>
                <w:sz w:val="20"/>
                <w:szCs w:val="20"/>
                <w:color w:val="auto"/>
              </w:rPr>
            </w:pPr>
            <w:r>
              <w:rPr>
                <w:rFonts w:ascii="Arial" w:cs="Arial" w:eastAsia="Arial" w:hAnsi="Arial"/>
                <w:sz w:val="15"/>
                <w:szCs w:val="15"/>
                <w:color w:val="auto"/>
              </w:rPr>
              <w:t>53,687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9,912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20,942</w:t>
            </w:r>
          </w:p>
        </w:tc>
        <w:tc>
          <w:tcPr>
            <w:tcW w:w="80" w:type="dxa"/>
            <w:vAlign w:val="bottom"/>
          </w:tcPr>
          <w:p>
            <w:pPr>
              <w:spacing w:after="0"/>
              <w:rPr>
                <w:sz w:val="17"/>
                <w:szCs w:val="17"/>
                <w:color w:val="auto"/>
              </w:rPr>
            </w:pPr>
          </w:p>
        </w:tc>
        <w:tc>
          <w:tcPr>
            <w:tcW w:w="840" w:type="dxa"/>
            <w:vAlign w:val="bottom"/>
          </w:tcPr>
          <w:p>
            <w:pPr>
              <w:jc w:val="center"/>
              <w:ind w:left="224"/>
              <w:spacing w:after="0"/>
              <w:rPr>
                <w:sz w:val="20"/>
                <w:szCs w:val="20"/>
                <w:color w:val="auto"/>
              </w:rPr>
            </w:pPr>
            <w:r>
              <w:rPr>
                <w:rFonts w:ascii="Arial" w:cs="Arial" w:eastAsia="Arial" w:hAnsi="Arial"/>
                <w:sz w:val="15"/>
                <w:szCs w:val="15"/>
                <w:color w:val="auto"/>
              </w:rPr>
              <w:t>9,309</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21,711</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15,428</w:t>
            </w:r>
          </w:p>
        </w:tc>
        <w:tc>
          <w:tcPr>
            <w:tcW w:w="8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286,521</w:t>
            </w:r>
          </w:p>
        </w:tc>
      </w:tr>
      <w:tr>
        <w:trPr>
          <w:trHeight w:val="206"/>
        </w:trPr>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6,009</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11,131</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ind w:left="144"/>
              <w:spacing w:after="0"/>
              <w:rPr>
                <w:sz w:val="20"/>
                <w:szCs w:val="20"/>
                <w:color w:val="auto"/>
              </w:rPr>
            </w:pPr>
            <w:r>
              <w:rPr>
                <w:rFonts w:ascii="Arial" w:cs="Arial" w:eastAsia="Arial" w:hAnsi="Arial"/>
                <w:sz w:val="15"/>
                <w:szCs w:val="15"/>
                <w:color w:val="auto"/>
              </w:rPr>
              <w:t>33,378</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12,075</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ind w:left="224"/>
              <w:spacing w:after="0"/>
              <w:rPr>
                <w:sz w:val="20"/>
                <w:szCs w:val="20"/>
                <w:color w:val="auto"/>
              </w:rPr>
            </w:pPr>
            <w:r>
              <w:rPr>
                <w:rFonts w:ascii="Arial" w:cs="Arial" w:eastAsia="Arial" w:hAnsi="Arial"/>
                <w:sz w:val="15"/>
                <w:szCs w:val="15"/>
                <w:color w:val="auto"/>
              </w:rPr>
              <w:t>2,743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7,788</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1,508</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6,016</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89,623</w:t>
            </w:r>
          </w:p>
        </w:tc>
      </w:tr>
      <w:tr>
        <w:trPr>
          <w:trHeight w:val="341"/>
        </w:trPr>
        <w:tc>
          <w:tcPr>
            <w:tcW w:w="840" w:type="dxa"/>
            <w:vAlign w:val="bottom"/>
          </w:tcPr>
          <w:p>
            <w:pPr>
              <w:jc w:val="right"/>
              <w:ind w:right="4"/>
              <w:spacing w:after="0"/>
              <w:rPr>
                <w:sz w:val="20"/>
                <w:szCs w:val="20"/>
                <w:color w:val="auto"/>
              </w:rPr>
            </w:pPr>
            <w:r>
              <w:rPr>
                <w:rFonts w:ascii="Arial" w:cs="Arial" w:eastAsia="Arial" w:hAnsi="Arial"/>
                <w:sz w:val="15"/>
                <w:szCs w:val="15"/>
                <w:color w:val="auto"/>
              </w:rPr>
              <w:t>18,327</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27,701</w:t>
            </w:r>
          </w:p>
        </w:tc>
        <w:tc>
          <w:tcPr>
            <w:tcW w:w="80" w:type="dxa"/>
            <w:vAlign w:val="bottom"/>
          </w:tcPr>
          <w:p>
            <w:pPr>
              <w:spacing w:after="0"/>
              <w:rPr>
                <w:sz w:val="24"/>
                <w:szCs w:val="24"/>
                <w:color w:val="auto"/>
              </w:rPr>
            </w:pPr>
          </w:p>
        </w:tc>
        <w:tc>
          <w:tcPr>
            <w:tcW w:w="820" w:type="dxa"/>
            <w:vAlign w:val="bottom"/>
          </w:tcPr>
          <w:p>
            <w:pPr>
              <w:jc w:val="center"/>
              <w:ind w:left="124"/>
              <w:spacing w:after="0"/>
              <w:rPr>
                <w:sz w:val="20"/>
                <w:szCs w:val="20"/>
                <w:color w:val="auto"/>
              </w:rPr>
            </w:pPr>
            <w:r>
              <w:rPr>
                <w:rFonts w:ascii="Arial" w:cs="Arial" w:eastAsia="Arial" w:hAnsi="Arial"/>
                <w:sz w:val="15"/>
                <w:szCs w:val="15"/>
                <w:color w:val="auto"/>
              </w:rPr>
              <w:t>(60,441)</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9,048</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8,541</w:t>
            </w:r>
          </w:p>
        </w:tc>
        <w:tc>
          <w:tcPr>
            <w:tcW w:w="80" w:type="dxa"/>
            <w:vAlign w:val="bottom"/>
          </w:tcPr>
          <w:p>
            <w:pPr>
              <w:spacing w:after="0"/>
              <w:rPr>
                <w:sz w:val="24"/>
                <w:szCs w:val="24"/>
                <w:color w:val="auto"/>
              </w:rPr>
            </w:pPr>
          </w:p>
        </w:tc>
        <w:tc>
          <w:tcPr>
            <w:tcW w:w="840" w:type="dxa"/>
            <w:vAlign w:val="bottom"/>
          </w:tcPr>
          <w:p>
            <w:pPr>
              <w:jc w:val="center"/>
              <w:ind w:left="204"/>
              <w:spacing w:after="0"/>
              <w:rPr>
                <w:sz w:val="20"/>
                <w:szCs w:val="20"/>
                <w:color w:val="auto"/>
              </w:rPr>
            </w:pPr>
            <w:r>
              <w:rPr>
                <w:rFonts w:ascii="Arial" w:cs="Arial" w:eastAsia="Arial" w:hAnsi="Arial"/>
                <w:sz w:val="15"/>
                <w:szCs w:val="15"/>
                <w:color w:val="auto"/>
              </w:rPr>
              <w:t>(3,736)</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12,252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(732)</w:t>
            </w:r>
          </w:p>
        </w:tc>
        <w:tc>
          <w:tcPr>
            <w:tcW w:w="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17,469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28,429</w:t>
            </w:r>
          </w:p>
        </w:tc>
      </w:tr>
      <w:tr>
        <w:trPr>
          <w:trHeight w:val="20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(52,226)</w:t>
            </w:r>
          </w:p>
        </w:tc>
      </w:tr>
      <w:tr>
        <w:trPr>
          <w:trHeight w:val="34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(23,797)</w:t>
            </w:r>
          </w:p>
        </w:tc>
      </w:tr>
      <w:tr>
        <w:trPr>
          <w:trHeight w:val="197"/>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(69,947)</w:t>
            </w:r>
          </w:p>
        </w:tc>
      </w:tr>
      <w:tr>
        <w:trPr>
          <w:trHeight w:val="361"/>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(2,096)</w:t>
            </w:r>
          </w:p>
        </w:tc>
      </w:tr>
      <w:tr>
        <w:trPr>
          <w:trHeight w:val="203"/>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(2,827)</w:t>
            </w:r>
          </w:p>
        </w:tc>
      </w:tr>
      <w:tr>
        <w:trPr>
          <w:trHeight w:val="20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(11,968)</w:t>
            </w:r>
          </w:p>
        </w:tc>
      </w:tr>
      <w:tr>
        <w:trPr>
          <w:trHeight w:val="61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(110,635)</w:t>
            </w:r>
          </w:p>
        </w:tc>
      </w:tr>
      <w:tr>
        <w:trPr>
          <w:trHeight w:val="23"/>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-2014220</wp:posOffset>
            </wp:positionV>
            <wp:extent cx="7054850"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54850" cy="2317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-1653540</wp:posOffset>
            </wp:positionV>
            <wp:extent cx="7054850" cy="231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-1293495</wp:posOffset>
            </wp:positionV>
            <wp:extent cx="7054850"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4850" cy="2317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-925195</wp:posOffset>
            </wp:positionV>
            <wp:extent cx="7054850" cy="231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-565150</wp:posOffset>
            </wp:positionV>
            <wp:extent cx="705485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
            <w:col w:w="9040"/>
          </w:cols>
          <w:pgMar w:left="320" w:top="1038" w:right="459" w:bottom="1440" w:gutter="0" w:footer="0" w:header="0"/>
          <w:type w:val="continuous"/>
        </w:sectPr>
      </w:pPr>
    </w:p>
    <w:p>
      <w:pPr>
        <w:spacing w:after="0" w:line="196" w:lineRule="exact"/>
        <w:rPr>
          <w:sz w:val="20"/>
          <w:szCs w:val="20"/>
          <w:color w:val="auto"/>
        </w:rPr>
      </w:pPr>
    </w:p>
    <w:p>
      <w:pPr>
        <w:ind w:left="5540" w:right="1100" w:hanging="5532"/>
        <w:spacing w:after="0"/>
        <w:tabs>
          <w:tab w:leader="none" w:pos="210" w:val="left"/>
        </w:tabs>
        <w:numPr>
          <w:ilvl w:val="0"/>
          <w:numId w:val="21"/>
        </w:numPr>
        <w:rPr>
          <w:rFonts w:ascii="Arial" w:cs="Arial" w:eastAsia="Arial" w:hAnsi="Arial"/>
          <w:sz w:val="24"/>
          <w:szCs w:val="24"/>
          <w:b w:val="1"/>
          <w:bCs w:val="1"/>
          <w:color w:val="auto"/>
          <w:vertAlign w:val="superscript"/>
        </w:rPr>
      </w:pPr>
      <w:r>
        <w:rPr>
          <w:rFonts w:ascii="Arial" w:cs="Arial" w:eastAsia="Arial" w:hAnsi="Arial"/>
          <w:sz w:val="16"/>
          <w:szCs w:val="16"/>
          <w:color w:val="auto"/>
        </w:rPr>
        <w:t xml:space="preserve">Other consists of segment allocated management fees, amortization expense of intangible assets and stock-based compensation. </w:t>
      </w: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8" w:right="459" w:bottom="1440" w:gutter="0" w:footer="0" w:header="0"/>
          <w:type w:val="continuous"/>
        </w:sectPr>
      </w:pPr>
    </w:p>
    <w:bookmarkStart w:id="50" w:name="page51"/>
    <w:bookmarkEnd w:id="50"/>
    <w:p>
      <w:pPr>
        <w:jc w:val="center"/>
        <w:ind w:righ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6951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51980" cy="8255"/>
                    </a:xfrm>
                    <a:prstGeom prst="rect">
                      <a:avLst/>
                    </a:prstGeom>
                    <a:noFill/>
                  </pic:spPr>
                </pic:pic>
              </a:graphicData>
            </a:graphic>
          </wp:anchor>
        </w:drawing>
        <w:t>Six Months ended June 30,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86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b w:val="1"/>
                <w:bCs w:val="1"/>
                <w:color w:val="auto"/>
              </w:rPr>
              <w:t>BOA</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w w:val="99"/>
              </w:rPr>
              <w:t>Lugano</w:t>
            </w:r>
          </w:p>
        </w:tc>
        <w:tc>
          <w:tcPr>
            <w:tcW w:w="9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84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THP</w:t>
            </w: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5"/>
                <w:szCs w:val="15"/>
                <w:b w:val="1"/>
                <w:bCs w:val="1"/>
                <w:color w:val="auto"/>
              </w:rPr>
              <w:t>Velocity</w:t>
            </w:r>
          </w:p>
        </w:tc>
        <w:tc>
          <w:tcPr>
            <w:tcW w:w="8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5"/>
                <w:szCs w:val="15"/>
                <w:b w:val="1"/>
                <w:bCs w:val="1"/>
                <w:color w:val="auto"/>
              </w:rPr>
              <w:t>Altor</w:t>
            </w: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8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Sterno</w:t>
            </w: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5"/>
                <w:szCs w:val="15"/>
                <w:b w:val="1"/>
                <w:bCs w:val="1"/>
                <w:color w:val="auto"/>
              </w:rPr>
              <w:t>Outdoor</w:t>
            </w:r>
          </w:p>
        </w:tc>
        <w:tc>
          <w:tcPr>
            <w:tcW w:w="8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45"/>
              <w:spacing w:after="0" w:line="147" w:lineRule="exact"/>
              <w:rPr>
                <w:sz w:val="20"/>
                <w:szCs w:val="20"/>
                <w:color w:val="auto"/>
              </w:rPr>
            </w:pPr>
            <w:r>
              <w:rPr>
                <w:rFonts w:ascii="Arial" w:cs="Arial" w:eastAsia="Arial" w:hAnsi="Arial"/>
                <w:sz w:val="14"/>
                <w:szCs w:val="14"/>
                <w:b w:val="1"/>
                <w:bCs w:val="1"/>
                <w:color w:val="auto"/>
                <w:w w:val="97"/>
              </w:rPr>
              <w:t>(As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Restated)</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$ 248,175</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97,063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22,818</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47,832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44,347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48,610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$ 105,617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84,442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$ 138,627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   837,531</w:t>
            </w:r>
          </w:p>
        </w:tc>
        <w:tc>
          <w:tcPr>
            <w:tcW w:w="0" w:type="dxa"/>
            <w:vAlign w:val="bottom"/>
          </w:tcPr>
          <w:p>
            <w:pPr>
              <w:spacing w:after="0"/>
              <w:rPr>
                <w:sz w:val="1"/>
                <w:szCs w:val="1"/>
                <w:color w:val="auto"/>
              </w:rPr>
            </w:pPr>
          </w:p>
        </w:tc>
      </w:tr>
      <w:tr>
        <w:trPr>
          <w:trHeight w:val="200"/>
        </w:trPr>
        <w:tc>
          <w:tcPr>
            <w:tcW w:w="20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114,763</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36,778</w:t>
            </w:r>
          </w:p>
        </w:tc>
        <w:tc>
          <w:tcPr>
            <w:tcW w:w="18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8,645</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17,740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24,439</w:t>
            </w:r>
          </w:p>
        </w:tc>
        <w:tc>
          <w:tcPr>
            <w:tcW w:w="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36,485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74,415</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60,191</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100,938</w:t>
            </w:r>
          </w:p>
        </w:tc>
        <w:tc>
          <w:tcPr>
            <w:tcW w:w="8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474,394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8" w:right="339" w:bottom="1440" w:gutter="0" w:footer="0" w:header="0"/>
        </w:sectPr>
      </w:pPr>
    </w:p>
    <w:p>
      <w:pPr>
        <w:ind w:left="20" w:right="44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b w:val="1"/>
          <w:bCs w:val="1"/>
          <w:color w:val="auto"/>
          <w:vertAlign w:val="superscript"/>
        </w:rPr>
        <w:t>(1)</w:t>
      </w:r>
    </w:p>
    <w:p>
      <w:pPr>
        <w:ind w:left="360" w:right="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460"/>
        <w:spacing w:after="0" w:line="245" w:lineRule="auto"/>
        <w:rPr>
          <w:sz w:val="20"/>
          <w:szCs w:val="20"/>
          <w:color w:val="auto"/>
        </w:rPr>
      </w:pPr>
      <w:r>
        <w:rPr>
          <w:rFonts w:ascii="Arial" w:cs="Arial" w:eastAsia="Arial" w:hAnsi="Arial"/>
          <w:sz w:val="15"/>
          <w:szCs w:val="15"/>
          <w:color w:val="auto"/>
        </w:rPr>
        <w:t>Total consolidated operating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spacing w:after="0" w:line="245" w:lineRule="auto"/>
        <w:rPr>
          <w:sz w:val="20"/>
          <w:szCs w:val="20"/>
          <w:color w:val="auto"/>
        </w:rPr>
      </w:pPr>
      <w:r>
        <w:rPr>
          <w:rFonts w:ascii="Arial" w:cs="Arial" w:eastAsia="Arial" w:hAnsi="Arial"/>
          <w:sz w:val="15"/>
          <w:szCs w:val="15"/>
          <w:color w:val="auto"/>
        </w:rPr>
        <w:t>Amortization of debt issuance costs</w:t>
      </w:r>
    </w:p>
    <w:p>
      <w:pPr>
        <w:spacing w:after="0" w:line="12" w:lineRule="exact"/>
        <w:rPr>
          <w:sz w:val="20"/>
          <w:szCs w:val="20"/>
          <w:color w:val="auto"/>
        </w:rPr>
      </w:pPr>
    </w:p>
    <w:p>
      <w:pPr>
        <w:ind w:left="20" w:right="320"/>
        <w:spacing w:after="0" w:line="281" w:lineRule="auto"/>
        <w:rPr>
          <w:sz w:val="20"/>
          <w:szCs w:val="20"/>
          <w:color w:val="auto"/>
        </w:rPr>
      </w:pPr>
      <w:r>
        <w:rPr>
          <w:rFonts w:ascii="Arial" w:cs="Arial" w:eastAsia="Arial" w:hAnsi="Arial"/>
          <w:sz w:val="15"/>
          <w:szCs w:val="15"/>
          <w:color w:val="auto"/>
        </w:rPr>
        <w:t>Loss on sale of Crosman Other (expense), net</w:t>
      </w:r>
    </w:p>
    <w:p>
      <w:pPr>
        <w:spacing w:after="0" w:line="1" w:lineRule="exact"/>
        <w:rPr>
          <w:sz w:val="20"/>
          <w:szCs w:val="20"/>
          <w:color w:val="auto"/>
        </w:rPr>
      </w:pPr>
    </w:p>
    <w:p>
      <w:pPr>
        <w:ind w:left="360" w:right="160"/>
        <w:spacing w:after="0" w:line="219" w:lineRule="auto"/>
        <w:rPr>
          <w:sz w:val="20"/>
          <w:szCs w:val="20"/>
          <w:color w:val="auto"/>
        </w:rPr>
      </w:pPr>
      <w:r>
        <w:rPr>
          <w:rFonts w:ascii="Arial" w:cs="Arial" w:eastAsia="Arial" w:hAnsi="Arial"/>
          <w:sz w:val="15"/>
          <w:szCs w:val="15"/>
          <w:color w:val="auto"/>
        </w:rPr>
        <w:t>Total consolidated loss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780" w:type="dxa"/>
            <w:vAlign w:val="bottom"/>
          </w:tcPr>
          <w:p>
            <w:pPr>
              <w:jc w:val="right"/>
              <w:spacing w:after="0"/>
              <w:rPr>
                <w:sz w:val="20"/>
                <w:szCs w:val="20"/>
                <w:color w:val="auto"/>
              </w:rPr>
            </w:pPr>
            <w:r>
              <w:rPr>
                <w:rFonts w:ascii="Arial" w:cs="Arial" w:eastAsia="Arial" w:hAnsi="Arial"/>
                <w:sz w:val="15"/>
                <w:szCs w:val="15"/>
                <w:color w:val="auto"/>
              </w:rPr>
              <w:t>108,618</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22,936</w:t>
            </w:r>
          </w:p>
        </w:tc>
        <w:tc>
          <w:tcPr>
            <w:tcW w:w="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43,053</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9,391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14,050</w:t>
            </w:r>
          </w:p>
        </w:tc>
        <w:tc>
          <w:tcPr>
            <w:tcW w:w="80" w:type="dxa"/>
            <w:vAlign w:val="bottom"/>
          </w:tcPr>
          <w:p>
            <w:pPr>
              <w:spacing w:after="0"/>
              <w:rPr>
                <w:sz w:val="17"/>
                <w:szCs w:val="17"/>
                <w:color w:val="auto"/>
              </w:rPr>
            </w:pPr>
          </w:p>
        </w:tc>
        <w:tc>
          <w:tcPr>
            <w:tcW w:w="780" w:type="dxa"/>
            <w:vAlign w:val="bottom"/>
          </w:tcPr>
          <w:p>
            <w:pPr>
              <w:jc w:val="center"/>
              <w:ind w:left="84"/>
              <w:spacing w:after="0"/>
              <w:rPr>
                <w:sz w:val="20"/>
                <w:szCs w:val="20"/>
                <w:color w:val="auto"/>
              </w:rPr>
            </w:pPr>
            <w:r>
              <w:rPr>
                <w:rFonts w:ascii="Arial" w:cs="Arial" w:eastAsia="Arial" w:hAnsi="Arial"/>
                <w:sz w:val="15"/>
                <w:szCs w:val="15"/>
                <w:color w:val="auto"/>
              </w:rPr>
              <w:t>13,698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13,725</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13,262</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16,441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255,174</w:t>
            </w:r>
          </w:p>
        </w:tc>
      </w:tr>
      <w:tr>
        <w:trPr>
          <w:trHeight w:val="205"/>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5,928</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11,223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1,587</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11,902</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11,038</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12,786</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1,509</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8,593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70,259</w:t>
            </w:r>
          </w:p>
        </w:tc>
      </w:tr>
      <w:tr>
        <w:trPr>
          <w:trHeight w:val="342"/>
        </w:trPr>
        <w:tc>
          <w:tcPr>
            <w:tcW w:w="780" w:type="dxa"/>
            <w:vAlign w:val="bottom"/>
          </w:tcPr>
          <w:p>
            <w:pPr>
              <w:jc w:val="right"/>
              <w:spacing w:after="0"/>
              <w:rPr>
                <w:sz w:val="20"/>
                <w:szCs w:val="20"/>
                <w:color w:val="auto"/>
              </w:rPr>
            </w:pPr>
            <w:r>
              <w:rPr>
                <w:rFonts w:ascii="Arial" w:cs="Arial" w:eastAsia="Arial" w:hAnsi="Arial"/>
                <w:sz w:val="15"/>
                <w:szCs w:val="15"/>
                <w:color w:val="auto"/>
              </w:rPr>
              <w:t>18,866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26,126</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(30,467)</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8,799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(5,180)</w:t>
            </w:r>
          </w:p>
        </w:tc>
        <w:tc>
          <w:tcPr>
            <w:tcW w:w="80" w:type="dxa"/>
            <w:vAlign w:val="bottom"/>
          </w:tcPr>
          <w:p>
            <w:pPr>
              <w:spacing w:after="0"/>
              <w:rPr>
                <w:sz w:val="24"/>
                <w:szCs w:val="24"/>
                <w:color w:val="auto"/>
              </w:rPr>
            </w:pPr>
          </w:p>
        </w:tc>
        <w:tc>
          <w:tcPr>
            <w:tcW w:w="780" w:type="dxa"/>
            <w:vAlign w:val="bottom"/>
          </w:tcPr>
          <w:p>
            <w:pPr>
              <w:jc w:val="center"/>
              <w:ind w:left="64"/>
              <w:spacing w:after="0"/>
              <w:rPr>
                <w:sz w:val="20"/>
                <w:szCs w:val="20"/>
                <w:color w:val="auto"/>
              </w:rPr>
            </w:pPr>
            <w:r>
              <w:rPr>
                <w:rFonts w:ascii="Arial" w:cs="Arial" w:eastAsia="Arial" w:hAnsi="Arial"/>
                <w:sz w:val="15"/>
                <w:szCs w:val="15"/>
                <w:color w:val="auto"/>
              </w:rPr>
              <w:t>(14,359)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11,784</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9,480</w:t>
            </w:r>
          </w:p>
        </w:tc>
        <w:tc>
          <w:tcPr>
            <w:tcW w:w="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12,655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37,704</w:t>
            </w:r>
          </w:p>
        </w:tc>
      </w:tr>
      <w:tr>
        <w:trPr>
          <w:trHeight w:val="205"/>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(42,331)</w:t>
            </w:r>
          </w:p>
        </w:tc>
      </w:tr>
      <w:tr>
        <w:trPr>
          <w:trHeight w:val="345"/>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(4,627)</w:t>
            </w:r>
          </w:p>
        </w:tc>
      </w:tr>
      <w:tr>
        <w:trPr>
          <w:trHeight w:val="197"/>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(54,863)</w:t>
            </w:r>
          </w:p>
        </w:tc>
      </w:tr>
      <w:tr>
        <w:trPr>
          <w:trHeight w:val="361"/>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(2,009)</w:t>
            </w: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(24,606)</w:t>
            </w:r>
          </w:p>
        </w:tc>
      </w:tr>
      <w:tr>
        <w:trPr>
          <w:trHeight w:val="205"/>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(88,084)</w:t>
            </w:r>
          </w:p>
        </w:tc>
      </w:tr>
      <w:tr>
        <w:trPr>
          <w:trHeight w:val="615"/>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(174,189)</w:t>
            </w:r>
          </w:p>
        </w:tc>
      </w:tr>
      <w:tr>
        <w:trPr>
          <w:trHeight w:val="23"/>
        </w:trPr>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-2014220</wp:posOffset>
            </wp:positionV>
            <wp:extent cx="6951980"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1980" cy="2317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-1653540</wp:posOffset>
            </wp:positionV>
            <wp:extent cx="6951980"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-1293495</wp:posOffset>
            </wp:positionV>
            <wp:extent cx="6951980"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1980" cy="2317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-925195</wp:posOffset>
            </wp:positionV>
            <wp:extent cx="6951980"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1980" cy="23114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-565150</wp:posOffset>
            </wp:positionV>
            <wp:extent cx="695198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1980" cy="12890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2040" w:space="40"/>
            <w:col w:w="9160"/>
          </w:cols>
          <w:pgMar w:left="320" w:top="1038" w:right="339" w:bottom="1440" w:gutter="0" w:footer="0" w:header="0"/>
          <w:type w:val="continuous"/>
        </w:sectPr>
      </w:pPr>
    </w:p>
    <w:p>
      <w:pPr>
        <w:ind w:firstLine="8"/>
        <w:spacing w:after="0" w:line="242" w:lineRule="auto"/>
        <w:tabs>
          <w:tab w:leader="none" w:pos="196" w:val="left"/>
        </w:tabs>
        <w:numPr>
          <w:ilvl w:val="0"/>
          <w:numId w:val="22"/>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stock-based compensation, acquisition costs at THP, and goodwill impairment expense of $8.2 million for Velocity.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type w:val="continuous"/>
        </w:sectPr>
      </w:pPr>
    </w:p>
    <w:bookmarkStart w:id="51" w:name="page52"/>
    <w:bookmarkEnd w:id="51"/>
    <w:tbl>
      <w:tblPr>
        <w:tblLayout w:type="fixed"/>
        <w:tblInd w:w="340" w:type="dxa"/>
        <w:tblCellMar>
          <w:top w:w="0" w:type="dxa"/>
          <w:left w:w="0" w:type="dxa"/>
          <w:bottom w:w="0" w:type="dxa"/>
          <w:right w:w="0" w:type="dxa"/>
        </w:tblCellMar>
      </w:tblP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2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280"/>
              <w:spacing w:after="0"/>
              <w:rPr>
                <w:sz w:val="20"/>
                <w:szCs w:val="20"/>
                <w:color w:val="auto"/>
              </w:rPr>
            </w:pPr>
            <w:r>
              <w:rPr>
                <w:rFonts w:ascii="Arial" w:cs="Arial" w:eastAsia="Arial" w:hAnsi="Arial"/>
                <w:sz w:val="15"/>
                <w:szCs w:val="15"/>
                <w:b w:val="1"/>
                <w:bCs w:val="1"/>
                <w:color w:val="auto"/>
              </w:rPr>
              <w:t>Three months ended June 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47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2024</w:t>
            </w:r>
          </w:p>
        </w:tc>
      </w:tr>
      <w:tr>
        <w:trPr>
          <w:trHeight w:val="204"/>
        </w:trPr>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20"/>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20"/>
              <w:spacing w:after="0"/>
              <w:rPr>
                <w:sz w:val="20"/>
                <w:szCs w:val="20"/>
                <w:color w:val="auto"/>
              </w:rPr>
            </w:pPr>
            <w:r>
              <w:rPr>
                <w:rFonts w:ascii="Arial" w:cs="Arial" w:eastAsia="Arial" w:hAnsi="Arial"/>
                <w:sz w:val="15"/>
                <w:szCs w:val="15"/>
                <w:b w:val="1"/>
                <w:bCs w:val="1"/>
                <w:color w:val="auto"/>
              </w:rPr>
              <w:t>(As Restated)</w:t>
            </w:r>
          </w:p>
        </w:tc>
      </w:tr>
      <w:tr>
        <w:trPr>
          <w:trHeight w:val="46"/>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11,434</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10,448</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Lugano</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PrimaLoft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10,493</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The Honey Pot Co.</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5,273</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Altor Solutions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w:t>
            </w:r>
          </w:p>
        </w:tc>
      </w:tr>
      <w:tr>
        <w:trPr>
          <w:trHeight w:val="215"/>
        </w:trPr>
        <w:tc>
          <w:tcPr>
            <w:tcW w:w="4760" w:type="dxa"/>
            <w:vAlign w:val="bottom"/>
          </w:tcPr>
          <w:p>
            <w:pPr>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4,397</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9,861</w:t>
            </w:r>
          </w:p>
        </w:tc>
      </w:tr>
      <w:tr>
        <w:trPr>
          <w:trHeight w:val="209"/>
        </w:trPr>
        <w:tc>
          <w:tcPr>
            <w:tcW w:w="476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35,746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69,831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72,356</w:t>
            </w: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r>
      <w:tr>
        <w:trPr>
          <w:trHeight w:val="235"/>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ind w:right="680"/>
              <w:spacing w:after="0"/>
              <w:rPr>
                <w:sz w:val="20"/>
                <w:szCs w:val="20"/>
                <w:color w:val="auto"/>
              </w:rPr>
            </w:pPr>
            <w:r>
              <w:rPr>
                <w:rFonts w:ascii="Arial" w:cs="Arial" w:eastAsia="Arial" w:hAnsi="Arial"/>
                <w:sz w:val="15"/>
                <w:szCs w:val="15"/>
                <w:b w:val="1"/>
                <w:bCs w:val="1"/>
                <w:color w:val="auto"/>
              </w:rPr>
              <w:t>Accounts Receivable</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Arial" w:cs="Arial" w:eastAsia="Arial" w:hAnsi="Arial"/>
                <w:sz w:val="15"/>
                <w:szCs w:val="15"/>
                <w:b w:val="1"/>
                <w:bCs w:val="1"/>
                <w:color w:val="auto"/>
              </w:rPr>
              <w:t>December 31,</w:t>
            </w:r>
          </w:p>
        </w:tc>
      </w:tr>
      <w:tr>
        <w:trPr>
          <w:trHeight w:val="208"/>
        </w:trPr>
        <w:tc>
          <w:tcPr>
            <w:tcW w:w="48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0"/>
              <w:spacing w:after="0" w:line="208" w:lineRule="exact"/>
              <w:rPr>
                <w:sz w:val="20"/>
                <w:szCs w:val="20"/>
                <w:color w:val="auto"/>
              </w:rPr>
            </w:pPr>
            <w:r>
              <w:rPr>
                <w:rFonts w:ascii="Arial" w:cs="Arial" w:eastAsia="Arial" w:hAnsi="Arial"/>
                <w:sz w:val="15"/>
                <w:szCs w:val="15"/>
                <w:b w:val="1"/>
                <w:bCs w:val="1"/>
                <w:color w:val="auto"/>
              </w:rPr>
              <w:t xml:space="preserve">2025 </w:t>
            </w:r>
            <w:r>
              <w:rPr>
                <w:rFonts w:ascii="Arial" w:cs="Arial" w:eastAsia="Arial" w:hAnsi="Arial"/>
                <w:sz w:val="19"/>
                <w:szCs w:val="19"/>
                <w:b w:val="1"/>
                <w:bCs w:val="1"/>
                <w:color w:val="auto"/>
                <w:vertAlign w:val="superscript"/>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0"/>
              <w:spacing w:after="0" w:line="208" w:lineRule="exact"/>
              <w:rPr>
                <w:sz w:val="20"/>
                <w:szCs w:val="20"/>
                <w:color w:val="auto"/>
              </w:rPr>
            </w:pPr>
            <w:r>
              <w:rPr>
                <w:rFonts w:ascii="Arial" w:cs="Arial" w:eastAsia="Arial" w:hAnsi="Arial"/>
                <w:sz w:val="15"/>
                <w:szCs w:val="15"/>
                <w:b w:val="1"/>
                <w:bCs w:val="1"/>
                <w:color w:val="auto"/>
                <w:w w:val="94"/>
              </w:rPr>
              <w:t xml:space="preserve">2024 </w:t>
            </w:r>
            <w:r>
              <w:rPr>
                <w:rFonts w:ascii="Arial" w:cs="Arial" w:eastAsia="Arial" w:hAnsi="Arial"/>
                <w:sz w:val="19"/>
                <w:szCs w:val="19"/>
                <w:b w:val="1"/>
                <w:bCs w:val="1"/>
                <w:color w:val="auto"/>
                <w:w w:val="94"/>
                <w:vertAlign w:val="superscript"/>
              </w:rPr>
              <w:t>(1)</w:t>
            </w: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20"/>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00"/>
              <w:spacing w:after="0"/>
              <w:rPr>
                <w:sz w:val="20"/>
                <w:szCs w:val="20"/>
                <w:color w:val="auto"/>
              </w:rPr>
            </w:pPr>
            <w:r>
              <w:rPr>
                <w:rFonts w:ascii="Arial" w:cs="Arial" w:eastAsia="Arial" w:hAnsi="Arial"/>
                <w:sz w:val="15"/>
                <w:szCs w:val="15"/>
                <w:b w:val="1"/>
                <w:bCs w:val="1"/>
                <w:color w:val="auto"/>
              </w:rPr>
              <w:t>(As Restated)</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413,831</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219,283</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315,992</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PrimaLoft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268,527</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284,208</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90,736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309,174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Arnold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126,035</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145,647</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Sales allowance accounts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2,143,149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2,173,433</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to consolidated totals: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20,901</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216,378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207,172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2,162,792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2,194,334</w:t>
            </w: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 xml:space="preserve">Does not include accounts receivable balances per schedule above or goodwill balances - refer to </w:t>
      </w:r>
      <w:r>
        <w:rPr>
          <w:rFonts w:ascii="Arial" w:cs="Arial" w:eastAsia="Arial" w:hAnsi="Arial"/>
          <w:sz w:val="16"/>
          <w:szCs w:val="16"/>
          <w:u w:val="single" w:color="auto"/>
          <w:color w:val="0000FF"/>
        </w:rPr>
        <w:t>Note F - "Goodwill and Other Intangible Assets"</w:t>
      </w:r>
      <w:r>
        <w:rPr>
          <w:rFonts w:ascii="Arial" w:cs="Arial" w:eastAsia="Arial" w:hAnsi="Arial"/>
          <w:sz w:val="16"/>
          <w:szCs w:val="16"/>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Subsequent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Forbearance Agreement and Third Amendment of Credit Agreement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25, 2025, the LLC entered into a Second Forbearance Agreement and Third Amendment to Credit Agreement (the “Third Amendment”) to its Credit Agreement. The Third Amendment was by and among the LLC, the lenders party thereto, and the Administrative Agent.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The Third Amendment provides that the Administrative Agent and the Lenders will refrain from exercising rights and remedies available to them with respect to the Lugano Events of Default until the earliest of: (a) 11:59 p.m. (Eastern Time) on October 24, 2025; (b) the occurrence of any event of default other than a Lugano Event of Default; (c) the breach by the LLC of any covenant or provision of the Third Amendment;</w:t>
      </w:r>
    </w:p>
    <w:p>
      <w:pPr>
        <w:spacing w:after="0" w:line="1" w:lineRule="exact"/>
        <w:rPr>
          <w:sz w:val="20"/>
          <w:szCs w:val="20"/>
          <w:color w:val="auto"/>
        </w:rPr>
      </w:pPr>
    </w:p>
    <w:p>
      <w:pPr>
        <w:jc w:val="both"/>
        <w:ind w:firstLine="8"/>
        <w:spacing w:after="0" w:line="253" w:lineRule="auto"/>
        <w:tabs>
          <w:tab w:leader="none" w:pos="2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declaration by the trustee or any holders of the LLC’s 2029 Senior Unsecured Notes of any default or event of default under the Indenture dated as of March 23, 2021 between the LLC and U.S. Bank National Association, as trustee, for which a forbearance agreement has not been executed with the LLC within five business days after the date of such declaration; and (e) the declaration by the trustee or any holder of the 2032 Senior Unsecured Notes of any default or event of default under the Indenture dated as of November 27, 2021 between the LLC and U.S. Bank National Association, as trustee, for which a forbearance agreement has not been executed with the LLC within five business days after the date of such declaration (the period from July 25, 2025 through the earliest of events (a) through (e) above, the “Second Forbearance Period”).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Forbearance Period, the Lenders under the Credit Agreement will honor requests for credit extensions from the LLC for revolving loans composed of term SOFR loans with an applicable rate of 2.50% per annum and an interest period of one month; provided, however, that such credit extensions shall not cause the Lenders’ revolving credit exposures (inclusive of letters of credit obligations) to exceed $60 million. Lenders representing at least 50% of the total credit exposure of all Lenders under the Credit Agreement may in their discretion approve additional revolving borrowings by the LLC in an amount not to exceed an aggregate of $10 million. During the Second Forbearance Period, the LLC may make Restricted Payments (as defined in the Credit Agreement), including any dividend or other distribution with respect to equity interests, if, after giving effect to any indebtedness incurred in connection with such payment (a) all cash of the LLC on deposit with the Administrative Agent or subject to a qualifying control account, plus (b) unused borrowing availability, is not less than $10 million; provided, however, that the forgoing is not the exclusive method by which the LLC may make Restricted Payments.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forbearance of the Lenders described above, the Third Amendment also amends the Credit Agreement to limit the management fees that may be paid by the LLC to CGM to no more than $ 5 million per fiscal quarter (with the amount of such management fees that cannot be paid due to this limitation being available to offset any potential future reduction in management fees as a result of any adjustments for deemed overpayments). The Third Amendment contains customary representations and warranties.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Forbearance Agreement</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Lugano matters, the LLC has been in regular communication with holders of the LLC’s Notes concerning the existence of the potential for default under the terms of the Indentures in respect of the Lugano matters.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provide the Company with adequate time to complete the restatement of its 2022, 2023, and 2024 financial statements and to file its quarterly reports for the first and second quarters of 2025, on August 29, 2025, the LLC entered into a Forbearance Agreement (the “Indenture Forbearance Agreement”) with certain holders of the Notes (collectively, the “Supporting Holders”) and, for certain limited purposes described therein, the Trustee, pursuant to which, during the Indenture Forbearance Period (as defined below), the Supporting Holders agreed to forbear, and to direct the Trustee to forbear, from exercising rights and remedies available to them with respect to (i) actual or potential defaults or events of default under the Indentures resulting from any breach of the Indentures’ requirement to provide certain financial within specified time periods, and (ii) any other default or event of default mutually agreed upon between the Supporting Holders and the LLC in writing and delivered to the Trustee (events (i) and (ii), collectively, the “Specified Defaults”) until the earliest of: (a) the occurrence or existence of any event of default under the Indentures, other than the Specified Defaults, that is not cured or waived within any applicable grace or cure period under the Indentures; (b) the failure of the LLC to timely comply with any term, condition, or covenant of the Indenture Forbearance Agreement; (c) the termination of the forbearance period provided under the Second Forbearance Agreement with respect to the Credit Agreement, such forbearance period having not been extended or replaced by another forbearance or similar agreement among the parties thereto within three (3) business days of such termination; (d) the cure of any Specified Default related to any breach of the requirement to provide certain financial information within specified time periods pursuant to Section 4.03 of the Indentures; (e) the LLC’s failure to cause the execution and the delivery of supplemental indentures in respect of each series of Notes substantially in the form provided in the Indenture Forbearance Agreement providing for the payment to the holders of the Notes of the fees specified in the Indenture Forbearance Agreement (or another form reasonably acceptable to the Supporting Holders providing for the payment of the same fees) (the “Supplemental Indentures”), or alternatively the LLC fails to make certain cash fee payment within fifteen business days of August 29, 2025, and (f) 11:59 p.m. ET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jc w:val="both"/>
        <w:spacing w:after="0" w:line="287" w:lineRule="auto"/>
        <w:rPr>
          <w:sz w:val="20"/>
          <w:szCs w:val="20"/>
          <w:color w:val="auto"/>
        </w:rPr>
      </w:pPr>
      <w:r>
        <w:rPr>
          <w:rFonts w:ascii="Arial" w:cs="Arial" w:eastAsia="Arial" w:hAnsi="Arial"/>
          <w:sz w:val="18"/>
          <w:szCs w:val="18"/>
          <w:color w:val="auto"/>
        </w:rPr>
        <w:t>on October 24, 2025 (the period from August 29, 2025 through the earliest of events (a) through (f) above, the “Indenture Forbearance Period”).</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Indenture Forbearance Period, the Supporting Holders also agreed (1) in the event that the Trustee or any holder or group of holders of the Notes declares the 2029 Notes and/or the 2032 Notes to be due and payable immediately solely as a result of any Specified Default (an “Acceleration”), the Supporting Holders would (a) deliver written notice and direction to the Trustee to rescind and not seek any remedy under the Indenture in connection with such Acceleration in accordance with the terms of the Indentures and (b) take all other action in the Supporting Holders’ power to cause such Acceleration to be rescinded and cancelled, to the extent permitted by the Indentures, and</w:t>
      </w:r>
    </w:p>
    <w:p>
      <w:pPr>
        <w:spacing w:after="0" w:line="3" w:lineRule="exact"/>
        <w:rPr>
          <w:sz w:val="20"/>
          <w:szCs w:val="20"/>
          <w:color w:val="auto"/>
        </w:rPr>
      </w:pPr>
    </w:p>
    <w:p>
      <w:pPr>
        <w:jc w:val="both"/>
        <w:ind w:firstLine="8"/>
        <w:spacing w:after="0" w:line="258"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transfer any right, title or interest in their respective Notes, unless (x) such transferee is a party to the Indenture Forbearance Agreement or (y) the transferee executes a joinder agreeing to be bound by the terms of the Indenture Forbearance Agreement if such transferee is not already a party to the Indenture Forbearance Agreement.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consideration for entering into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Indentures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9, 2025, the LLC entered into (a) a second supplemental indenture by and between the LLC and the Trustee amending and supplementing the 2029 Notes Indenture (the “2029 Second Supplemental Indenture”); and (b) a second supplemental indenture (the “2032 Second Supplemental Indenture” and, together with the 2029 Second Supplemental Indenture, the “Supplemental Indentures”) by and between the LLC and the Trustee, amending and supplementing the 2032 Notes Indenture.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Supplemental Indentures: (a) amend and restate Section 2.01(a) of each of the Indentures to (i) require all Notes to be in minimum denominations of $1.00 and integral multiples of $1.00 in excess thereof and (ii) authorize the payment of the PIK Payments (defined below), which shall be paid in kind as an increase in the principal amount of the Global Notes (as defined in the Indentures) held by Cede &amp; Co., as nominee for the Depositary (as defined in the Indentures); and (b) add a new Section 4.19 to each of the Indentures (i) requiring the LLC to make (A) a special one-time payment in kind (the “Fixed PIK Payment”) on September 17, 2025 (the “Fixed PIK Payment Date”) in an amount equal to $17.50 per $1,000 of the principal amount of the Notes outstanding to the holders of such Notes as of September 16, 2025; and (B) an additional interest payment on the Notes (the “Interest PIK Payment” and, together with the Fixed PIK Payment, the “PIK Payments”)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quarter of fiscal year 2025.</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4.19(c), PIK Payments on the Notes were payable by increasing the principal amount of the outstanding Global Notes by an amount equal to the amount of the applicable PIK Payment (rounded down to the nearest whole dollar) as directed by the LLC. Such increased principal amount is fungible with the Notes issued prior to the applicable date of such PIK Payment and will bear interest from the most recent interest payment date on the Notes prior to the applicable date of such PIK Payment. The principal of all Notes resulting from a PIK Payment will mature on the maturity dates of the Notes.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27, 2025, the Trustee delivered a notice of default under the Indentures related to the Company’s failure to deliver to the Trustee the Company’s consolidated financial statements for the fiscal quarter ending March 31, 2025 within the time period required under the Indenture Forbearance Agreement. The Company completed the delivery of its consolidated financial statements for the fiscal quarter ending March 31, 2025 on December 19, 2025, within a sixty (60) day cure period provided under the Indentures to remedy such defaults.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Forbearance Agreement with Respect to Credit Agreement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10, 2025, the LLC entered into a Third Forbearance Agreement (the “Third Forbearance Agreement”) with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the breach by the LLC of any covenant or provision of the Third Forbearance Agreement; (c) a declaration by the Trustee or any holders of the LLC’s 2029 Notes of any default or event of default under the 2029 Notes Indenture, which has was not cured and for which a forbearance agreement was not executed with the LLC within five business days after the date of such declaration; (d) the declaration by the Trustee or any holder of the 2032 Notes of any default or event of default under the 2032 Notes Indenture, which was not cured and for which a forbearance agreement was not executed with the LLC within five business days after the date of such declaration; and (e) 11:59 p.m. (Eastern Time) on November 24, 2025 (the period from October 10, 2025 through the earliest of events (a) through (e) above, the “Third Forbearance Period”). However, with respect to the foregoing clauses (c) and (d), if the Administrative Agent agreed to extend the date on which the restated financial statements were required to be delivered as discussed below, such five-business-day requirement would be extended to 10 days.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Third Forbearance Agreement becoming effective on October 10, 2025, the LLC was required to deliver, among other things, to the Administrative Agent, for distribution to the lenders, a budget of the LLC’s projected receipts and disbursements for the 13-week period following the such effective date (the “Forbearance Budget”) that was acceptable to the Administrative Agent and the lenders representing at least 50% of the total credit exposure of all lenders under the Credit Agreement, which Forbearance Budget could be updated as requested by the LLC if such update was acceptable to the Administrative Agent in its sole discretion. During the Third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 exceed the projected total cash disbursements set forth in the Forbearance Budget for such week by more than $1 million in the aggregate.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Forbearance Agreement provided that the LLC may make Restricted Payments (as defined in the Credit Agreement) during the Third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may make Restricted Payments. The Third Forbearance Agreement also required the LLC to deliver (i) the restated audited financials for the fiscal year ended December 31, 2024 and any other fiscal years for which restated financials were prepared, and (ii) the financials for the month ended June 30, 2025, both on or before October 24, 2025, which could be extended by the Administrative Agent for no more than 10 days.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21, 2025, the Company was advised that the Administrative Agent agreed to extend to November 3, 2025 the deadline for the delivery of certain restated financial statements as specified in the Third Forbearance Agreement Subsequently, on October 30, 2025, the Consenting Lenders agreed to extend to November 10, 2025 the deadline for delivery of such financial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Forbearance Period, the lenders under the Credit Agreement, as amended by the Third Forbearance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 without the additional capacity at the discretion of the lenders previously allowed under the Second Forbearance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Forbearance Agreement with Respect to Credit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2025, the LLC entered into a Fourth Forbearance Agreement and Fourth Amendment to Credit Agreement (the “Fourth Forbearance Agreement”) with the Administrative Agent and the Consenting Lenders, which replaced the Third Forbearance Agreement. Pursuant to the Fourth Forbearance Agreement,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LLC of any covenant or provision of the Fourth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(d) the failure by the LLC to timely deliver the restated audited financials that were required to be delivered to the New York Stock Exchange (“NYSE”) on or before November 19, 2025 (or such later deadline for delivery as determined by NYSE); and (e) 11:59 p.m.</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5" w:name="page56"/>
    <w:bookmarkEnd w:id="55"/>
    <w:p>
      <w:pPr>
        <w:jc w:val="both"/>
        <w:ind w:right="20"/>
        <w:spacing w:after="0" w:line="287" w:lineRule="auto"/>
        <w:rPr>
          <w:sz w:val="20"/>
          <w:szCs w:val="20"/>
          <w:color w:val="auto"/>
        </w:rPr>
      </w:pPr>
      <w:r>
        <w:rPr>
          <w:rFonts w:ascii="Arial" w:cs="Arial" w:eastAsia="Arial" w:hAnsi="Arial"/>
          <w:sz w:val="18"/>
          <w:szCs w:val="18"/>
          <w:color w:val="auto"/>
        </w:rPr>
        <w:t>(Eastern Time) on November 24, 2025 (the period from November 7, 2025 through the earliest of events (a) through (e) above, the “Fourth Forbearance Period”).</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Fourth Forbearance Agreement becoming effective on November 7, 2025, the LLC delivered, among other things, to the Administrative Agent, for distribution to the lenders, an updated Forbearance Budget of the LLC’s projected receipts and disbursements for the 13-week period following the effective date of the Fourth Forbearance Agreement, which Forbearance Budget could be updated as requested by the LLC if such update were acceptable to the Administrative Agent in its sole discretion. During the Fourth Forbearance Period, the LLC could not utilize the proceeds of collateral or loans for any purpose not contemplated under the Forbearance Budget and the LLC’s total cash disbursements in any calendar week (excluding disbursements for fees and costs of the Administrative Agent’s financial advisor and counsel) could not exceed the projected total cash disbursements set forth in the Forbearance Budget for such week by more than $1 million in the aggregate.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Fourth Forbearance Agreement provided that the LLC could make Restricted Payments (as defined in the Credit Agreement) during the Fourth Forbearance Period to the extent such Restricted Payments were set forth in the Forbearance Budget and after giving effect thereto and the incurrence of any indebtedness in connection therewith the sum of (i) all cash of the LLC on deposit with the Administrative Agent or subject to a qualifying control account, plus (ii) unused borrowing availability, was not less than $10,000,000; provided, however, that the foregoing was not the exclusive method by which the LLC could make Restricted Payments. The Fourth Forbearance Agreement also required the LLC to deliver (i) the restated audited financials for the fiscal year ended December 31, 2024 and any other fiscal years for which restated financials were prepared, and (ii) the financials for the months ended June 30, 2025, July 31, 2025, August 31, 2025 and September 30, 2025, all on or before November 24, 2025.</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Forbearance Period, the lenders under the Credit Agreement were required to honor requests for credit extensions from the LLC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w:t>
      </w:r>
    </w:p>
    <w:p>
      <w:pPr>
        <w:spacing w:after="0" w:line="1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forbearance of the lenders described above, the Fourth Forbearance Agreement also amended the Credit Agreement to, among other modifications, provided the LLC with greater flexibility in connection with the disposition of Lugano assets and in making financing available to Lugano.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Lugano Chapter 11 Proceedings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November 16, 2025, Lugano and certain of its subsidiaries filed voluntary Chapter 11 petitions under the United States Bankruptcy Code in the United States Bankruptcy Court for the District of Delaware (the “Lugano Bankruptcy”). As a result the Lugano Bankruptcy, effective November 16, 2025, Lugano and its subsidiaries were deconsolidated from the Company’s financial statements pursuant to ASC 810 -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Forbearance Agreement with Respect to Credit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24, 2025, the Company entered into a Fifth Forbearance Agreement (the “Fifth Forbearance Agreement”) with the Administrative Agent and the Consenting Lenders, pursuant to which the Consenting Lenders agreed on behalf of all lenders under the Credit Agreement to refrain from exercising rights and remedies available to them with respect to the Lugano Events of Default until the earliest of: (a) the occurrence of any event of default other than a Lugano Event of Default; (b) the breach by the Company of any covenant or provision of the Fifth Forbearance Agreement; (c) the commencement of any remedies by the trustee or any holders of either (i) the 2029 Notes based upon any default or event of default under the 2029 Notes Indenture, or (ii) the 2032 Notes based upon any default or event of default under the 2032 Notes Indenture; and (d) 11:59 p.m. (Eastern Time) on December 19, 2025 (the period from the Effective Date through the earliest of events (a) through (d) above, the “Fifth Forbearance Period”).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Fifth Forbearance Agreement becoming effective, the Company delivered, among other things, to the Administrative Agent, for distribution to the lenders, an updated Forbearance Budget of the LLC’s projected receipts and disbursements for the 13-week period following the effective date of the Fifth Forbearance Agreement, which Forbearance Budget may be updated as requested by the Company if such update is acceptable to the Administrative Agent in its sole discretion. During the Fifth Forbearance Period, the Company was unable to utilize the proceeds of collateral or loans for any purpose not contemplated under the Forbearance Budget and the Company’s total cash disbursements in any calendar week (excluding disbursements for fees and costs of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jc w:val="both"/>
        <w:spacing w:after="0" w:line="287" w:lineRule="auto"/>
        <w:rPr>
          <w:sz w:val="20"/>
          <w:szCs w:val="20"/>
          <w:color w:val="auto"/>
        </w:rPr>
      </w:pPr>
      <w:r>
        <w:rPr>
          <w:rFonts w:ascii="Arial" w:cs="Arial" w:eastAsia="Arial" w:hAnsi="Arial"/>
          <w:sz w:val="18"/>
          <w:szCs w:val="18"/>
          <w:color w:val="auto"/>
        </w:rPr>
        <w:t>Administrative Agent’s financial advisor and counsel) were not permitted to exceed the projected total cash disbursements set forth in the Forbearance Budget for such week by more than $1 million in the aggregate.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Fifth Forbearance Agreement provides that the Company may make Restricted Payments (as defined in the Credit Agreement) during the Fifth Forbearance Period to the extent such Restricted Payments are set forth in the Forbearance Budget and after giving effect thereto and the incurrence of any indebtedness in connection therewith the sum of (i) all cash of the Company on deposit with the Administrative Agent or subject to a qualifying control account, plus (ii) unused borrowing availability, is not less than $10,000,000; provided, however, that the forgoing is not the exclusive method by which the Company may make Restricted Payments.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Fifth Forbearance Period, the lenders under the Credit Agreement agreed to honor requests for credit extensions from the Company for revolving loans composed of term SOFR loans with an applicable rate of 2.50% per annum plus the SOFR rate for an interest period of one month; provided, however, that such credit extensions could not cause the lenders’ revolving credit exposures (inclusive of letters of credit obligations) to exceed $60 million. In addition, the modification of certain documents in connection with the Lugano Bankruptcy required the prior written consent of the Administrative Agent or both the Administrative Agent and the Consenting Lenders.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Fifth Forbearance Agreement also required the Company to deliver the restated audited financials for the fiscal year ended December 31, 2024 and any other fiscal years for which restated financials were prepared, on or before December 5, 2025. Because the Company did not file its 2024 Form 10-K/A until December 8, 2025, the Fifth Forbearance Agreement initially expired on December 6, 2025. However, on December 9, 2025, subsequent to the filing of the 2024 Form 10-K/A, the Company was advised that the required lenders under the Credit Agreement (1) agreed to waive the requirement for the Company to deliver the restated financial statements by December 5, 2025 under the Fifth Forbearance Agreement and (2) further agreed that the financial statements and the report and opinion of the Company’s independent certified public accountant as they appear in the 2024 Form 10-K/A satisfied the requirements of the Credit Agreement and the Fifth Forbearance Agreement. The Fifth Forbearance Agreement continued in effect until December 19,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Amendment to the Credit Agreement</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19, 2025, the LLC entered into a Fifth Amendment to Credit Agreement and Limited Waiver Agreement (the “Fifth Amendment”) and a Fifth Amendment Transaction Letter (the “Transaction Letter”), each with the Administrative Agent and the Consenting Lenders. Pursuant to the Fifth Amendment, among other things, (i) the lenders waived certain events of default that had occurred and were continuing prior to the Fifth Amendment, which included the Lugano Events of Default, (ii) the aggregate revolving commitments under the Credit Agreement returned to $100,000,000, (iii) SOFR loans will bear interest at a rate per annum equal to the term SOFR, plus a margin ranging from 1.50% to 3.25% based on the Consolidated Total Leverage Ratio (as defined in the Credit Agreement), and base rate loans will bear interest at a rate per annum equal to the base rate, plus a margin ranging from 0.50% to 2.25% based on the Consolidated Total Leverage Ratio, (iv) the Company is required to repay 100% of the net cash proceeds received in respect of any Disposition (as defined in the Credit Agreement) or Deleveraging Transaction (as defined in the Transaction Letter), (v) the Company is required to deliver to the Administrative Agent a rolling 13 -week forecast of cash flows every two weeks, together with a report showing a comparison of actual cash flows with recent forecast and an explanation of certain variances exceeding 10%, (vi) the Company is required to deliver to the Administrative Agent an updated budget consisting of a minimum 13-week cash flow forecast of Lugano entities (the “Lugano DIP Budget”) and certain other documents relating to the Lugano Bankruptcy (vii) the Company is permitted to make investments, incur indebtedness and make Dispositions relating to the Deleveraging Transaction so long as no default or event of default exists or would result therefrom, (viii) the Company is restricted from paying its manager management fees exceeding $15,000,000 in any fiscal quarter, (ix) the Company is restricted from making certain Restricted Payments (as defined in the Credit Agreement) in excess of $10,000,000 in any fiscal quarter unless the Consolidated Total Leverage Ratio is less than or equal to 4.50:1.00, (x) the Company’s financial covenants with respect to its Consolidated Total Leverage Ratio, Consolidated Senior Secured Leverage Ratio (as defined in the Credit Agreement) and Consolidated Fixed Charge Coverage Ratio (as defined in the Credit Agreement) are revised for the periods after the quarter ending March 31, 2025, and (xi) the modification of the Lugano DIP Budget and certain documents in connection with the Lugano Bankruptcy and the Company’s debtor-in-possession loan to Lugano will require the prior written consent of the Administrative Agent or both the Administrative Agent and the Consenting Lenders.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Transaction Letter, among other things, if the Consolidated Total Leverage Ratio of the Company is not less than 4.50:1.00 as of the last day of the fiscal quarters ending June 30, 2026, September 30, 2026, December 31, 2026 and March 31, 2027, respectively, the Company is required to pay to the Administrative Agent,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8"/>
          <w:szCs w:val="18"/>
          <w:color w:val="auto"/>
        </w:rPr>
        <w:t>for the ratable benefit of the lenders, the milestone fees in the amount of $5,000,000, $6,500,000, $8,000,000 and $9,500,000, respectively, subject to certain conditions.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Amendment No. 1 to the Company's Annual Report on Form 10-K (“Form 10-K/A”) for the fiscal year ended December 31, 2024 and in the section entitled "Risk Factors" in Part II, Item 1A of this Quarterly Report on Form 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Part 1, Item 1., Note A to the Condensed Consolidated Financial Statements, the Company has restated its Condensed Consolidated Financial Statements as of June 30, 2024 and for the three and six months ended June 30, 2024. As a result, the previously reported financial information as of June 30, 2024 and for the three and six months ended June 30, 2024 in this Management's Discussion and Analysis ("MD&amp;A") have been updated to reflect the restatements. See Item 1. Note A - Presentation and principles of consolidation in the Consolidated Financial Statements for additional information related to these restatements, including descriptions of the adjustments and the impacts on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see the section titled “Going Concern” under the heading “Liquidity and Capital Resources” in this MD&amp;A for information concerning management’s determination that there is substantial doubt about the Company’s ability to continue as a going concern within one year after the date the consolidated financial statements set forth in this Form 10-Q are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Compass Diversified Holdings ("Holdings", or the "Trust") was incorporated in Delaware on November 18, 2005. Compass Group Diversified Holdings LLC (the "LLC") was also formed on November 18, 2005. Holdings and the LLC (collectively, the "Company") were formed to acquire and manage a group of small and middle-market businesses headquartered in North America. The LLC is a controlling owner of nine businesses, or operating segments, at June 30, 2025. The segments are as follows: 5.11 Acquisition Corp. ("5.11"), Boa Holdings Inc. ("BOA"), Lugano Holding, Inc. ("Lugano Diamonds" or "Lugano"), Relentless Topco, Inc. ("PrimaLoft"), THP Topco, Inc. ("The Honey Pot Co." or "THP"), CBCP Products, LLC ("Velocity Outdoor" or "Velocity"), AMTAC Holdings LLC ("Arnold"), FFI Compass, Inc. ("Altor Solutions" or "Altor"), and SternoCandleLamp Holdings, Inc. ("Sterno").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(operating segments) that we own at June 30, 2025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rPr>
              <w:t>Ownership Interest - June 30, 2025</w:t>
            </w:r>
          </w:p>
        </w:tc>
        <w:tc>
          <w:tcPr>
            <w:tcW w:w="1500" w:type="dxa"/>
            <w:vAlign w:val="bottom"/>
          </w:tcPr>
          <w:p>
            <w:pPr>
              <w:spacing w:after="0"/>
              <w:rPr>
                <w:sz w:val="18"/>
                <w:szCs w:val="18"/>
                <w:color w:val="auto"/>
              </w:rPr>
            </w:pPr>
          </w:p>
        </w:tc>
      </w:tr>
      <w:tr>
        <w:trPr>
          <w:trHeight w:val="196"/>
        </w:trPr>
        <w:tc>
          <w:tcPr>
            <w:tcW w:w="1520" w:type="dxa"/>
            <w:vAlign w:val="bottom"/>
          </w:tcPr>
          <w:p>
            <w:pPr>
              <w:spacing w:after="0"/>
              <w:rPr>
                <w:sz w:val="17"/>
                <w:szCs w:val="17"/>
                <w:color w:val="auto"/>
              </w:rPr>
            </w:pPr>
          </w:p>
        </w:tc>
        <w:tc>
          <w:tcPr>
            <w:tcW w:w="2340" w:type="dxa"/>
            <w:vAlign w:val="bottom"/>
            <w:gridSpan w:val="2"/>
          </w:tcPr>
          <w:p>
            <w:pPr>
              <w:ind w:left="780"/>
              <w:spacing w:after="0"/>
              <w:rPr>
                <w:sz w:val="20"/>
                <w:szCs w:val="20"/>
                <w:color w:val="auto"/>
              </w:rPr>
            </w:pPr>
            <w:r>
              <w:rPr>
                <w:rFonts w:ascii="Arial" w:cs="Arial" w:eastAsia="Arial" w:hAnsi="Arial"/>
                <w:sz w:val="15"/>
                <w:szCs w:val="15"/>
                <w:b w:val="1"/>
                <w:bCs w:val="1"/>
                <w:color w:val="auto"/>
              </w:rPr>
              <w:t>Business</w:t>
            </w:r>
          </w:p>
        </w:tc>
        <w:tc>
          <w:tcPr>
            <w:tcW w:w="2100" w:type="dxa"/>
            <w:vAlign w:val="bottom"/>
            <w:gridSpan w:val="2"/>
          </w:tcPr>
          <w:p>
            <w:pPr>
              <w:ind w:left="400"/>
              <w:spacing w:after="0"/>
              <w:rPr>
                <w:sz w:val="20"/>
                <w:szCs w:val="20"/>
                <w:color w:val="auto"/>
              </w:rPr>
            </w:pPr>
            <w:r>
              <w:rPr>
                <w:rFonts w:ascii="Arial" w:cs="Arial" w:eastAsia="Arial" w:hAnsi="Arial"/>
                <w:sz w:val="15"/>
                <w:szCs w:val="15"/>
                <w:b w:val="1"/>
                <w:bCs w:val="1"/>
                <w:color w:val="auto"/>
              </w:rPr>
              <w:t>Acquisition Date</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Primary</w:t>
            </w:r>
          </w:p>
        </w:tc>
        <w:tc>
          <w:tcPr>
            <w:tcW w:w="1840" w:type="dxa"/>
            <w:vAlign w:val="bottom"/>
          </w:tcPr>
          <w:p>
            <w:pPr>
              <w:ind w:left="660"/>
              <w:spacing w:after="0"/>
              <w:rPr>
                <w:sz w:val="20"/>
                <w:szCs w:val="20"/>
                <w:color w:val="auto"/>
              </w:rPr>
            </w:pPr>
            <w:r>
              <w:rPr>
                <w:rFonts w:ascii="Arial" w:cs="Arial" w:eastAsia="Arial" w:hAnsi="Arial"/>
                <w:sz w:val="15"/>
                <w:szCs w:val="15"/>
                <w:b w:val="1"/>
                <w:bCs w:val="1"/>
                <w:color w:val="auto"/>
              </w:rPr>
              <w:t>Diluted</w:t>
            </w:r>
          </w:p>
        </w:tc>
        <w:tc>
          <w:tcPr>
            <w:tcW w:w="1500" w:type="dxa"/>
            <w:vAlign w:val="bottom"/>
          </w:tcPr>
          <w:p>
            <w:pPr>
              <w:spacing w:after="0"/>
              <w:rPr>
                <w:sz w:val="17"/>
                <w:szCs w:val="17"/>
                <w:color w:val="auto"/>
              </w:rPr>
            </w:pPr>
          </w:p>
        </w:tc>
      </w:tr>
      <w:tr>
        <w:trPr>
          <w:trHeight w:val="210"/>
        </w:trPr>
        <w:tc>
          <w:tcPr>
            <w:tcW w:w="15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March 5, 2012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83.5%</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tcPr>
          <w:p>
            <w:pPr>
              <w:jc w:val="center"/>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92.0%</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87.5%</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tcPr>
          <w:p>
            <w:pPr>
              <w:jc w:val="center"/>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93.2%</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90.5%</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82.8%</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55.1%</w:t>
            </w:r>
          </w:p>
        </w:tc>
        <w:tc>
          <w:tcPr>
            <w:tcW w:w="1500" w:type="dxa"/>
            <w:vAlign w:val="bottom"/>
          </w:tcPr>
          <w:p>
            <w:pPr>
              <w:spacing w:after="0"/>
              <w:rPr>
                <w:sz w:val="18"/>
                <w:szCs w:val="18"/>
                <w:color w:val="auto"/>
              </w:rPr>
            </w:pPr>
          </w:p>
        </w:tc>
      </w:tr>
      <w:tr>
        <w:trPr>
          <w:trHeight w:val="215"/>
        </w:trPr>
        <w:tc>
          <w:tcPr>
            <w:tcW w:w="1520" w:type="dxa"/>
            <w:vAlign w:val="bottom"/>
          </w:tcPr>
          <w:p>
            <w:pPr>
              <w:spacing w:after="0"/>
              <w:rPr>
                <w:sz w:val="18"/>
                <w:szCs w:val="18"/>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July 12, 2022</w:t>
            </w:r>
          </w:p>
        </w:tc>
        <w:tc>
          <w:tcPr>
            <w:tcW w:w="1840" w:type="dxa"/>
            <w:vAlign w:val="bottom"/>
          </w:tcPr>
          <w:p>
            <w:pPr>
              <w:jc w:val="center"/>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84.7%</w:t>
            </w:r>
          </w:p>
        </w:tc>
        <w:tc>
          <w:tcPr>
            <w:tcW w:w="1500" w:type="dxa"/>
            <w:vAlign w:val="bottom"/>
          </w:tcPr>
          <w:p>
            <w:pPr>
              <w:spacing w:after="0"/>
              <w:rPr>
                <w:sz w:val="18"/>
                <w:szCs w:val="18"/>
                <w:color w:val="auto"/>
              </w:rPr>
            </w:pPr>
          </w:p>
        </w:tc>
      </w:tr>
      <w:tr>
        <w:trPr>
          <w:trHeight w:val="217"/>
        </w:trPr>
        <w:tc>
          <w:tcPr>
            <w:tcW w:w="1520" w:type="dxa"/>
            <w:vAlign w:val="bottom"/>
          </w:tcPr>
          <w:p>
            <w:pPr>
              <w:spacing w:after="0"/>
              <w:rPr>
                <w:sz w:val="18"/>
                <w:szCs w:val="18"/>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31, 2024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77.1%</w:t>
            </w:r>
          </w:p>
        </w:tc>
        <w:tc>
          <w:tcPr>
            <w:tcW w:w="1500" w:type="dxa"/>
            <w:vAlign w:val="bottom"/>
          </w:tcPr>
          <w:p>
            <w:pPr>
              <w:spacing w:after="0"/>
              <w:rPr>
                <w:sz w:val="18"/>
                <w:szCs w:val="18"/>
                <w:color w:val="auto"/>
              </w:rPr>
            </w:pPr>
          </w:p>
        </w:tc>
      </w:tr>
      <w:tr>
        <w:trPr>
          <w:trHeight w:val="808"/>
        </w:trPr>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152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8"/>
          <w:szCs w:val="18"/>
          <w:color w:val="auto"/>
        </w:rPr>
        <w:t>We categorize our subsidiary businesses into two separate groups of businesses: (i) branded consumer businesses, and (ii) industrial businesses. Branded consumer businesses are those businesses that we believe capitalize on a valuable brand name in their respective market sectors. We believe that our branded consumer businesses are leaders in their respective particular product categories. Industrial businesses are those businesses that focus on manufacturing and selling particular products and/ or industrial services within a specific market sector. We believe that our industrial businesses are leaders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each of our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products are widely distributed in uniform stores, military exchanges, outdoor retail stores, its own retail stores and on 511tactical.com.</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BOA </w:t>
      </w:r>
      <w:r>
        <w:rPr>
          <w:rFonts w:ascii="Arial" w:cs="Arial" w:eastAsia="Arial" w:hAnsi="Arial"/>
          <w:sz w:val="18"/>
          <w:szCs w:val="18"/>
          <w:color w:val="auto"/>
        </w:rPr>
        <w:t>- creator of the revolutionary, award-winning, patented BOA Fit System, partners with market-leading brands to make the best gear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Lugano </w:t>
      </w:r>
      <w:r>
        <w:rPr>
          <w:rFonts w:ascii="Arial" w:cs="Arial" w:eastAsia="Arial" w:hAnsi="Arial"/>
          <w:sz w:val="18"/>
          <w:szCs w:val="18"/>
          <w:color w:val="auto"/>
        </w:rPr>
        <w:t>- Lugano is a designer, manufacturer, and retailer of high-end jewelry. Lugano conducts sales via its own retail salons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pop-up showrooms at Lugano-hosted or sponsored events in partnership with organizations in the equestrian, art, and philanthropic communities. Lugano is headquartered in Newport Beach, California.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PrimaLoft - </w:t>
      </w:r>
      <w:r>
        <w:rPr>
          <w:rFonts w:ascii="Arial" w:cs="Arial" w:eastAsia="Arial" w:hAnsi="Arial"/>
          <w:sz w:val="18"/>
          <w:szCs w:val="18"/>
          <w:color w:val="auto"/>
        </w:rPr>
        <w:t>PrimaLoft is a leading provider of branded, high-performance synthetic insulation and materials used primarily in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Honey Pot Co</w:t>
      </w:r>
      <w:r>
        <w:rPr>
          <w:rFonts w:ascii="Arial" w:cs="Arial" w:eastAsia="Arial" w:hAnsi="Arial"/>
          <w:sz w:val="18"/>
          <w:szCs w:val="18"/>
          <w:color w:val="auto"/>
        </w:rPr>
        <w:t>.- The Honey Pot Co. is a leading “better-for-you” feminine care brand, powered by plant-derived ingredients and clinically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tested formulas.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stores across the U.S. through mass merchants, drug and grocery retail chains, and online.</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leading designer, manufacturer, and marketer of archery products, hunting apparel and related accessories.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Altor Solutions is a designer and manufacturer of custom molded protective foam solutions and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components made from expanded polystyrene and expanded polypropylene. Altor provides products to a variety of end markets, including appliances and electronics, pharmaceuticals, health and wellness, automotive, building and other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is a global solutions provider and manufacturer of engineered solutions for a wide range of specialty applications and end-markets, including aerospace and defense, general industrial, motorsport/transportation, oil and gas, medical, energy, semiconductor and advertising specialties.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is a leading manufacturer and marketer of portable food warming systems, creative indoor and outdoor lighting, and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Strategy and Business Outlook</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strategy involves the proactive financial and operational management of the subsidiaries we own in order to increase cash flows and shareholder value. While our subsidiary businesses have different growth opportunities and potential rates of growth, we actively manage each of our subsidiary businesses to increase the value of, and cash generated by, each business through various initiatives, including making selective capital investments to expand geographic reach, increase capacity or reduce manufacturing costs of our subsidiary businesses; improving and expanding existing sales and marketing programs; and assisting in the acquisition and integration of complementary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areas of focus for 2025, which are generally applicable to each of our businesses, include:</w:t>
      </w:r>
    </w:p>
    <w:p>
      <w:pPr>
        <w:spacing w:after="0" w:line="117" w:lineRule="exact"/>
        <w:rPr>
          <w:sz w:val="20"/>
          <w:szCs w:val="20"/>
          <w:color w:val="auto"/>
        </w:rPr>
      </w:pPr>
    </w:p>
    <w:p>
      <w:pPr>
        <w:ind w:left="660" w:hanging="328"/>
        <w:spacing w:after="0" w:line="28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Pursuing sales growth through a combination of new product development, increasing distribution, new customer acquisitions and selective international expansion;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Raising prices, when appropriate,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focused or less well capitalized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Forbearance Agreement with Respect to Credit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2025 the LLC indicated that it that it intended to delay the filing of its Quarterly Report on Form 10-Q for the first quarter of 2025 as a result of concerns about financing, accounting, and inventory practices at one of its subsidiaries, Lugano Holding, Inc. (“Lugano”), and irregularities identified in sales, cost of sales, inventory, and accounts receivable recorded by Lugano. The LLC also provided notice to the Administrative Agent advising of the existence of potential defaults and/or events of default in connection therewith (collectively, the “Lugano Events of Default”).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“Second Amendment”) to its Credit Agreement. The Second Amendment was by and among the LLC, the lenders party thereto, and the Administrative Agent.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Amendment provided that the Administrative Agent and the Lenders will refrain from exercising rights and remedies available to them with respect to the Lugano Events of Default until the earliest of: (a) 11:59 p.m. (Eastern Time) on July 25, 2025; (b) the occurrence of any event of default other than a Lugano Event of Default; (c) the breach by the LLC of any covenant or provision of the Second Amendment;</w:t>
      </w:r>
    </w:p>
    <w:p>
      <w:pPr>
        <w:spacing w:after="0" w:line="1" w:lineRule="exact"/>
        <w:rPr>
          <w:sz w:val="20"/>
          <w:szCs w:val="20"/>
          <w:color w:val="auto"/>
        </w:rPr>
      </w:pPr>
    </w:p>
    <w:p>
      <w:pPr>
        <w:ind w:firstLine="8"/>
        <w:spacing w:after="0" w:line="266"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declaration by any holders of the LLC’s 2029 Senior Unsecured Notes of any default or event of default under the Indenture dated as of March</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1" w:name="page62"/>
    <w:bookmarkEnd w:id="61"/>
    <w:p>
      <w:pPr>
        <w:jc w:val="both"/>
        <w:spacing w:after="0" w:line="268" w:lineRule="auto"/>
        <w:rPr>
          <w:sz w:val="20"/>
          <w:szCs w:val="20"/>
          <w:color w:val="auto"/>
        </w:rPr>
      </w:pPr>
      <w:r>
        <w:rPr>
          <w:rFonts w:ascii="Arial" w:cs="Arial" w:eastAsia="Arial" w:hAnsi="Arial"/>
          <w:sz w:val="18"/>
          <w:szCs w:val="18"/>
          <w:color w:val="auto"/>
        </w:rPr>
        <w:t>23, 2021 between the LLC and U.S. Bank National Association, as Trustee; and (e) the declaration by the Trustee or any holder of the 2032 Senior Unsecured Notes of any default or event of default under the Indenture dated as of November 27, 2021 between the Borrower and U.S. Bank National Association, as Trustee (the “First Forbearance Period”).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and an interest period of one month; provided, however, that such credit extensions were not to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LLC’s subsidiaries to the Manager to no more than $2.0 million per fiscal quarter; (iv) restrict investments by the LLC into Lugano to no more than $5 million in the aggregate; (v) impose additional reporting requirements on the LLC; (vi) prohibit certain acquisitions and dispositions; and (vii) require that cash-on hand in excess of $10 million as of the last business day of any week be paid by the LLC to the Administrative Agent, for the account of the lenders, which payments would be applied to the outstanding revolving loans owing by the LLC and (ix) terminate the commitment of the Lenders to advance Incremental Delayed Draw Term Loans. On May 22, 2025, the Manager delivered to the Company a waiver agreeing to the management fee limitations described above.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for additional information concerning the Credit Agreement included in the "Notes to the to the Condensed Consolidated Financial Statements" included in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NYSE Notice of Failure to Satisfy a Continued Listing Rule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20, 2025, the Company received a notice from the NYSE indicating that the Company was no longer in compliance with the timely filing criteria outlined in Section 802.01E of the NYSE-Listed Company Manual due to the Company’s failure to timely file its Quarterly Report on Form 10-Q for the quarter ended March 31, 2025. Under NYSE rules, the Company was provided with six months to cure its filing delinquencies by filing its delinquent filings with the SEC. Prior to the expiration of the six month cure period, the Company requested that NYSE exercise its discretionary authority to grant the Company additional time to file its delinquent filings. On November 18, 2025, NYSE extended the Company’s compliance period until January 20,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Distribution on Common Shares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light of the Lugano Investigation and related matters, on May 27, 2025, the Company announced that it would suspend the quarterly cash distribution historically paid to common shareholders in order to preserve cash and protect long-term value until such time as the Company’s board of directors deems it appropriate to resume such distributions.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At-the-Market Offering Programs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commencement of the Lugano Investigation and related events, during the fiscal quarter ending June 30, 2025 the Company determined it was unable to continue offering and selling shares under its common and preferred at-the-market equity offering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results of operations contained in this report, which have been prepared and presented in accordance with accounting principles generally accepted in the United States of America ("U.S. GAAP" or "GAAP"), we have also included supplemental information concerning our results of operations on a non-GAAP basis.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2" w:name="page63"/>
    <w:bookmarkEnd w:id="62"/>
    <w:p>
      <w:pPr>
        <w:spacing w:after="0" w:line="287" w:lineRule="auto"/>
        <w:rPr>
          <w:sz w:val="20"/>
          <w:szCs w:val="20"/>
          <w:color w:val="auto"/>
        </w:rPr>
      </w:pPr>
      <w:r>
        <w:rPr>
          <w:rFonts w:ascii="Arial" w:cs="Arial" w:eastAsia="Arial" w:hAnsi="Arial"/>
          <w:sz w:val="18"/>
          <w:szCs w:val="18"/>
          <w:color w:val="auto"/>
        </w:rPr>
        <w:t>and vice versa for measures that include amounts, or are subject to adjustments that effectively include amounts, that are excluded from the most directly comparable measure as calculated and presented.</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six months ended June 30, 2025 and June 30, 2024, and components of the results of operations for each of our operating segments on a stand-alone basis.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following results of operations, we provide (i) our actual Consolidated Results of Operations for the three and six months ended June 30, 2025 and 2024, which includes the historical results of operations of each of our businesses (operating segments) from the date of acquisition in accordance with US GAAP, and (ii) comparative historical components of the results of operations for each of our businesses on a stand-alone basis for the three and six months ended June 30, 2025 and 2024, where all periods presented include relevant pro forma adjustments for pre-acquisition periods and explanations where applicable. For the acquisition of The Honey Pot Co. in January 2024, the pro forma results of operations for The Honey Pot Co. business segment has been prepared as if we purchased this business on January 1, 2024. We believe this is the most meaningful comparison for the operating results of acquired business segments. The following results of operations at each of our businesses are not necessarily indicative of the results to be expected for a full year.</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Certain amounts and percentages may not sum or recalculate due to the presentation of rounded numbers. Amounts discussed within the supporting narrative are calculated based on unrounded numbers and consequently the sum of the components may not agree to totals using the rounded numbers provided. References in the financial tables to percentage changes that are not meaningful are denoted by "NM."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 Quarter-to-Date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2025 compared to three months ended June 30, 2024 (as restated)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top w:val="single" w:sz="8" w:color="auto"/>
              <w:bottom w:val="single" w:sz="8" w:color="auto"/>
            </w:tcBorders>
          </w:tcPr>
          <w:p>
            <w:pPr>
              <w:spacing w:after="0"/>
              <w:rPr>
                <w:sz w:val="18"/>
                <w:szCs w:val="18"/>
                <w:color w:val="auto"/>
              </w:rPr>
            </w:pPr>
          </w:p>
        </w:tc>
      </w:tr>
      <w:tr>
        <w:trPr>
          <w:trHeight w:val="196"/>
        </w:trPr>
        <w:tc>
          <w:tcPr>
            <w:tcW w:w="4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June 30, 2025</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680"/>
              <w:spacing w:after="0"/>
              <w:rPr>
                <w:sz w:val="20"/>
                <w:szCs w:val="20"/>
                <w:color w:val="auto"/>
              </w:rPr>
            </w:pPr>
            <w:r>
              <w:rPr>
                <w:rFonts w:ascii="Arial" w:cs="Arial" w:eastAsia="Arial" w:hAnsi="Arial"/>
                <w:sz w:val="15"/>
                <w:szCs w:val="15"/>
                <w:b w:val="1"/>
                <w:bCs w:val="1"/>
                <w:color w:val="auto"/>
              </w:rPr>
              <w:t>June 30, 2024</w:t>
            </w:r>
          </w:p>
        </w:tc>
        <w:tc>
          <w:tcPr>
            <w:tcW w:w="74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5"/>
                <w:szCs w:val="15"/>
                <w:b w:val="1"/>
                <w:bCs w:val="1"/>
                <w:color w:val="auto"/>
              </w:rPr>
              <w:t>(As Restated)</w:t>
            </w:r>
          </w:p>
        </w:tc>
        <w:tc>
          <w:tcPr>
            <w:tcW w:w="74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478,690</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426,705</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1"/>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270,149</w:t>
            </w:r>
          </w:p>
        </w:tc>
        <w:tc>
          <w:tcPr>
            <w:tcW w:w="3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56.4 %</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238,520</w:t>
            </w:r>
          </w:p>
        </w:tc>
        <w:tc>
          <w:tcPr>
            <w:tcW w:w="4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55.9 %</w:t>
            </w:r>
          </w:p>
        </w:tc>
      </w:tr>
      <w:tr>
        <w:trPr>
          <w:trHeight w:val="19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208,541</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188,185</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162,112</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33.9 %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137,581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32.2 %</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18,739</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23,117</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24,385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5.7 %</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31,515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Operating income (loss)</w:t>
            </w: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(27,238)</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7,480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1.8 %</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(34,096)</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(29,596)</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(971)</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(1,004)</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debt modification</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Loss on sale of Crosman</w:t>
            </w:r>
          </w:p>
        </w:tc>
        <w:tc>
          <w:tcPr>
            <w:tcW w:w="48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(24,606)</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(40,642)</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195"/>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(63,419)</w:t>
            </w:r>
          </w:p>
        </w:tc>
        <w:tc>
          <w:tcPr>
            <w:tcW w:w="3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(88,368)</w:t>
            </w:r>
          </w:p>
        </w:tc>
        <w:tc>
          <w:tcPr>
            <w:tcW w:w="4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(20.7)%</w:t>
            </w: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17,358</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15,593</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r>
      <w:tr>
        <w:trPr>
          <w:trHeight w:val="197"/>
        </w:trPr>
        <w:tc>
          <w:tcPr>
            <w:tcW w:w="418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(80,777)</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(103,961)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(24.4)%</w:t>
            </w:r>
          </w:p>
        </w:tc>
      </w:tr>
      <w:tr>
        <w:trPr>
          <w:trHeight w:val="20"/>
        </w:trPr>
        <w:tc>
          <w:tcPr>
            <w:tcW w:w="4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8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r>
      <w:tr>
        <w:trPr>
          <w:trHeight w:val="196"/>
        </w:trPr>
        <w:tc>
          <w:tcPr>
            <w:tcW w:w="4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2024</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Increase (Decrease)</w:t>
            </w:r>
          </w:p>
        </w:tc>
        <w:tc>
          <w:tcPr>
            <w:tcW w:w="580" w:type="dxa"/>
            <w:vAlign w:val="bottom"/>
            <w:tcBorders>
              <w:bottom w:val="single" w:sz="8" w:color="auto"/>
            </w:tcBorders>
          </w:tcPr>
          <w:p>
            <w:pPr>
              <w:spacing w:after="0"/>
              <w:rPr>
                <w:sz w:val="17"/>
                <w:szCs w:val="17"/>
                <w:color w:val="auto"/>
              </w:rPr>
            </w:pPr>
          </w:p>
        </w:tc>
      </w:tr>
      <w:tr>
        <w:trPr>
          <w:trHeight w:val="196"/>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244"/>
              <w:spacing w:after="0"/>
              <w:rPr>
                <w:sz w:val="20"/>
                <w:szCs w:val="20"/>
                <w:color w:val="auto"/>
              </w:rPr>
            </w:pPr>
            <w:r>
              <w:rPr>
                <w:rFonts w:ascii="Arial" w:cs="Arial" w:eastAsia="Arial" w:hAnsi="Arial"/>
                <w:sz w:val="15"/>
                <w:szCs w:val="15"/>
                <w:b w:val="1"/>
                <w:bCs w:val="1"/>
                <w:color w:val="auto"/>
              </w:rPr>
              <w:t>(As Restated)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131,442</w:t>
            </w:r>
          </w:p>
        </w:tc>
        <w:tc>
          <w:tcPr>
            <w:tcW w:w="120" w:type="dxa"/>
            <w:vAlign w:val="bottom"/>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123,201</w:t>
            </w:r>
          </w:p>
        </w:tc>
        <w:tc>
          <w:tcPr>
            <w:tcW w:w="80" w:type="dxa"/>
            <w:vAlign w:val="bottom"/>
          </w:tcPr>
          <w:p>
            <w:pPr>
              <w:spacing w:after="0"/>
              <w:rPr>
                <w:sz w:val="17"/>
                <w:szCs w:val="17"/>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8,241</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r>
      <w:tr>
        <w:trPr>
          <w:trHeight w:val="201"/>
        </w:trPr>
        <w:tc>
          <w:tcPr>
            <w:tcW w:w="4220" w:type="dxa"/>
            <w:vAlign w:val="bottom"/>
          </w:tcPr>
          <w:p>
            <w:pPr>
              <w:ind w:left="20"/>
              <w:spacing w:after="0"/>
              <w:rPr>
                <w:sz w:val="20"/>
                <w:szCs w:val="20"/>
                <w:color w:val="auto"/>
              </w:rPr>
            </w:pPr>
            <w:r>
              <w:rPr>
                <w:rFonts w:ascii="Arial" w:cs="Arial" w:eastAsia="Arial" w:hAnsi="Arial"/>
                <w:sz w:val="15"/>
                <w:szCs w:val="15"/>
                <w:color w:val="auto"/>
              </w:rPr>
              <w:t>BOA</w:t>
            </w: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48,369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54,160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(5,791)</w:t>
            </w:r>
          </w:p>
        </w:tc>
        <w:tc>
          <w:tcPr>
            <w:tcW w:w="7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26,771</w:t>
            </w:r>
          </w:p>
        </w:tc>
        <w:tc>
          <w:tcPr>
            <w:tcW w:w="1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12,025</w:t>
            </w:r>
          </w:p>
        </w:tc>
        <w:tc>
          <w:tcPr>
            <w:tcW w:w="8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14,746</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122.6 %</w:t>
            </w:r>
          </w:p>
        </w:tc>
      </w:tr>
      <w:tr>
        <w:trPr>
          <w:trHeight w:val="201"/>
        </w:trPr>
        <w:tc>
          <w:tcPr>
            <w:tcW w:w="4220" w:type="dxa"/>
            <w:vAlign w:val="bottom"/>
          </w:tcPr>
          <w:p>
            <w:pPr>
              <w:ind w:left="20"/>
              <w:spacing w:after="0"/>
              <w:rPr>
                <w:sz w:val="20"/>
                <w:szCs w:val="20"/>
                <w:color w:val="auto"/>
              </w:rPr>
            </w:pPr>
            <w:r>
              <w:rPr>
                <w:rFonts w:ascii="Arial" w:cs="Arial" w:eastAsia="Arial" w:hAnsi="Arial"/>
                <w:sz w:val="15"/>
                <w:szCs w:val="15"/>
                <w:color w:val="auto"/>
              </w:rPr>
              <w:t>PrimaLoft</w:t>
            </w: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24,855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25,291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(436)</w:t>
            </w:r>
          </w:p>
        </w:tc>
        <w:tc>
          <w:tcPr>
            <w:tcW w:w="7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32,798</w:t>
            </w:r>
          </w:p>
        </w:tc>
        <w:tc>
          <w:tcPr>
            <w:tcW w:w="1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24,182</w:t>
            </w:r>
          </w:p>
        </w:tc>
        <w:tc>
          <w:tcPr>
            <w:tcW w:w="8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8,616</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35.6 %</w:t>
            </w:r>
          </w:p>
        </w:tc>
      </w:tr>
      <w:tr>
        <w:trPr>
          <w:trHeight w:val="201"/>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15,213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18,711</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(3,498)</w:t>
            </w: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(18.7)%</w:t>
            </w:r>
          </w:p>
        </w:tc>
      </w:tr>
      <w:tr>
        <w:trPr>
          <w:trHeight w:val="197"/>
        </w:trPr>
        <w:tc>
          <w:tcPr>
            <w:tcW w:w="42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279,448</w:t>
            </w:r>
          </w:p>
        </w:tc>
        <w:tc>
          <w:tcPr>
            <w:tcW w:w="120" w:type="dxa"/>
            <w:vAlign w:val="bottom"/>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257,570</w:t>
            </w:r>
          </w:p>
        </w:tc>
        <w:tc>
          <w:tcPr>
            <w:tcW w:w="80" w:type="dxa"/>
            <w:vAlign w:val="bottom"/>
          </w:tcPr>
          <w:p>
            <w:pPr>
              <w:spacing w:after="0"/>
              <w:rPr>
                <w:sz w:val="17"/>
                <w:szCs w:val="17"/>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21,878</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r>
      <w:tr>
        <w:trPr>
          <w:trHeight w:val="201"/>
        </w:trPr>
        <w:tc>
          <w:tcPr>
            <w:tcW w:w="4220" w:type="dxa"/>
            <w:vAlign w:val="bottom"/>
          </w:tcPr>
          <w:p>
            <w:pPr>
              <w:ind w:left="20"/>
              <w:spacing w:after="0"/>
              <w:rPr>
                <w:sz w:val="20"/>
                <w:szCs w:val="20"/>
                <w:color w:val="auto"/>
              </w:rPr>
            </w:pPr>
            <w:r>
              <w:rPr>
                <w:rFonts w:ascii="Arial" w:cs="Arial" w:eastAsia="Arial" w:hAnsi="Arial"/>
                <w:sz w:val="15"/>
                <w:szCs w:val="15"/>
                <w:color w:val="auto"/>
              </w:rPr>
              <w:t>Altor</w:t>
            </w: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83,305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52,213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31,092</w:t>
            </w:r>
          </w:p>
        </w:tc>
        <w:tc>
          <w:tcPr>
            <w:tcW w:w="7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59.5 %</w:t>
            </w: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38,432</w:t>
            </w:r>
          </w:p>
        </w:tc>
        <w:tc>
          <w:tcPr>
            <w:tcW w:w="1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43,155</w:t>
            </w:r>
          </w:p>
        </w:tc>
        <w:tc>
          <w:tcPr>
            <w:tcW w:w="8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(4,723)</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r>
      <w:tr>
        <w:trPr>
          <w:trHeight w:val="201"/>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77,505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73,767</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3,738</w:t>
            </w: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5.1 %</w:t>
            </w:r>
          </w:p>
        </w:tc>
      </w:tr>
      <w:tr>
        <w:trPr>
          <w:trHeight w:val="196"/>
        </w:trPr>
        <w:tc>
          <w:tcPr>
            <w:tcW w:w="42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199,242</w:t>
            </w: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169,135</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30,107</w:t>
            </w: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17.8 %</w:t>
            </w:r>
          </w:p>
        </w:tc>
      </w:tr>
      <w:tr>
        <w:trPr>
          <w:trHeight w:val="197"/>
        </w:trPr>
        <w:tc>
          <w:tcPr>
            <w:tcW w:w="4220" w:type="dxa"/>
            <w:vAlign w:val="bottom"/>
          </w:tcPr>
          <w:p>
            <w:pPr>
              <w:ind w:left="20"/>
              <w:spacing w:after="0"/>
              <w:rPr>
                <w:sz w:val="20"/>
                <w:szCs w:val="20"/>
                <w:color w:val="auto"/>
              </w:rPr>
            </w:pPr>
            <w:r>
              <w:rPr>
                <w:rFonts w:ascii="Arial" w:cs="Arial" w:eastAsia="Arial" w:hAnsi="Arial"/>
                <w:sz w:val="15"/>
                <w:szCs w:val="15"/>
                <w:b w:val="1"/>
                <w:bCs w:val="1"/>
                <w:color w:val="auto"/>
              </w:rPr>
              <w:t>Consolidated net revenues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478,690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426,705</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51,985</w:t>
            </w:r>
          </w:p>
        </w:tc>
        <w:tc>
          <w:tcPr>
            <w:tcW w:w="7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12.2 %</w:t>
            </w:r>
          </w:p>
        </w:tc>
      </w:tr>
      <w:tr>
        <w:trPr>
          <w:trHeight w:val="21"/>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revenues for the three months ended June 30, 2025 increased by approximately $52.0 million, or 12.2%, compared to the corresponding period in 2024. During the three months ended June 30, 2025 compared to 2024, we saw notable increases in net revenues at 5.11 ($8.2 million increase), Lugano ($14.7 million increase), The Honey Pot Co. ($8.6 million increase), Altor ($31.1 million increase) and Sterno ($3.7 million increase). The increase in net revenue at Altor was attributable to the acquisition of Lifoam in October 2024. These increases in net revenue was offset by decreases in net revenue at BOA ($5.8 million decrease), Velocity ($3.5 million decrease, primarily as a result of the sale of Crosman) and Arnold ($4.7 million decrease). Refer to "Results of Operations - Operating Segments - Quarter-to-Date" for a more detailed analysis of net revenues by operating segment.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9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18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80" w:type="dxa"/>
            <w:vAlign w:val="bottom"/>
          </w:tcPr>
          <w:p>
            <w:pPr>
              <w:spacing w:after="0"/>
              <w:rPr>
                <w:sz w:val="17"/>
                <w:szCs w:val="17"/>
                <w:color w:val="auto"/>
              </w:rPr>
            </w:pPr>
          </w:p>
        </w:tc>
        <w:tc>
          <w:tcPr>
            <w:tcW w:w="2040" w:type="dxa"/>
            <w:vAlign w:val="bottom"/>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67,485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BOA</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31,004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34,070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(3,066)</w:t>
            </w:r>
          </w:p>
        </w:tc>
        <w:tc>
          <w:tcPr>
            <w:tcW w:w="13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15,898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16,042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(144)</w:t>
            </w:r>
          </w:p>
        </w:tc>
        <w:tc>
          <w:tcPr>
            <w:tcW w:w="132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11,323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7,104</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62.7 %</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5,627</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(12.0)%</w:t>
            </w:r>
          </w:p>
        </w:tc>
      </w:tr>
      <w:tr>
        <w:trPr>
          <w:trHeight w:val="197"/>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140,733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13,455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Altor</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22,715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15,029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7,686</w:t>
            </w:r>
          </w:p>
        </w:tc>
        <w:tc>
          <w:tcPr>
            <w:tcW w:w="1320" w:type="dxa"/>
            <w:vAlign w:val="bottom"/>
          </w:tcPr>
          <w:p>
            <w:pPr>
              <w:jc w:val="right"/>
              <w:spacing w:after="0"/>
              <w:rPr>
                <w:sz w:val="20"/>
                <w:szCs w:val="20"/>
                <w:color w:val="auto"/>
              </w:rPr>
            </w:pPr>
            <w:r>
              <w:rPr>
                <w:rFonts w:ascii="Arial" w:cs="Arial" w:eastAsia="Arial" w:hAnsi="Arial"/>
                <w:sz w:val="15"/>
                <w:szCs w:val="15"/>
                <w:color w:val="auto"/>
              </w:rPr>
              <w:t>51.1 %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12,446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(3,263)</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19,977</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12.4 %</w:t>
            </w:r>
          </w:p>
        </w:tc>
      </w:tr>
      <w:tr>
        <w:trPr>
          <w:trHeight w:val="197"/>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54,352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47,452</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14.5 %</w:t>
            </w:r>
          </w:p>
        </w:tc>
      </w:tr>
      <w:tr>
        <w:trPr>
          <w:trHeight w:val="198"/>
        </w:trPr>
        <w:tc>
          <w:tcPr>
            <w:tcW w:w="366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208,540</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188,185</w:t>
            </w:r>
          </w:p>
        </w:tc>
        <w:tc>
          <w:tcPr>
            <w:tcW w:w="14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20,355</w:t>
            </w:r>
          </w:p>
        </w:tc>
        <w:tc>
          <w:tcPr>
            <w:tcW w:w="1320" w:type="dxa"/>
            <w:vAlign w:val="bottom"/>
          </w:tcPr>
          <w:p>
            <w:pPr>
              <w:jc w:val="right"/>
              <w:spacing w:after="0"/>
              <w:rPr>
                <w:sz w:val="20"/>
                <w:szCs w:val="20"/>
                <w:color w:val="auto"/>
              </w:rPr>
            </w:pPr>
            <w:r>
              <w:rPr>
                <w:rFonts w:ascii="Arial" w:cs="Arial" w:eastAsia="Arial" w:hAnsi="Arial"/>
                <w:sz w:val="15"/>
                <w:szCs w:val="15"/>
                <w:color w:val="auto"/>
              </w:rPr>
              <w:t>10.8 %</w:t>
            </w: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5" w:name="page66"/>
    <w:bookmarkEnd w:id="65"/>
    <w:tbl>
      <w:tblPr>
        <w:tblLayout w:type="fixed"/>
        <w:tblInd w:w="900" w:type="dxa"/>
        <w:tblCellMar>
          <w:top w:w="0" w:type="dxa"/>
          <w:left w:w="0" w:type="dxa"/>
          <w:bottom w:w="0" w:type="dxa"/>
          <w:right w:w="0" w:type="dxa"/>
        </w:tblCellMar>
      </w:tblPr>
      <w:tr>
        <w:trPr>
          <w:trHeight w:val="208"/>
        </w:trPr>
        <w:tc>
          <w:tcPr>
            <w:tcW w:w="340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03"/>
        </w:trPr>
        <w:tc>
          <w:tcPr>
            <w:tcW w:w="3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25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55.2 %</w:t>
            </w:r>
          </w:p>
        </w:tc>
        <w:tc>
          <w:tcPr>
            <w:tcW w:w="166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54.6 %</w:t>
            </w:r>
          </w:p>
        </w:tc>
        <w:tc>
          <w:tcPr>
            <w:tcW w:w="186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0.5%</w:t>
            </w:r>
          </w:p>
        </w:tc>
      </w:tr>
      <w:tr>
        <w:trPr>
          <w:trHeight w:val="201"/>
        </w:trPr>
        <w:tc>
          <w:tcPr>
            <w:tcW w:w="340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2520" w:type="dxa"/>
            <w:vAlign w:val="bottom"/>
          </w:tcPr>
          <w:p>
            <w:pPr>
              <w:jc w:val="right"/>
              <w:ind w:right="564"/>
              <w:spacing w:after="0"/>
              <w:rPr>
                <w:sz w:val="20"/>
                <w:szCs w:val="20"/>
                <w:color w:val="auto"/>
              </w:rPr>
            </w:pPr>
            <w:r>
              <w:rPr>
                <w:rFonts w:ascii="Arial" w:cs="Arial" w:eastAsia="Arial" w:hAnsi="Arial"/>
                <w:sz w:val="15"/>
                <w:szCs w:val="15"/>
                <w:color w:val="auto"/>
              </w:rPr>
              <w:t>27.3 %</w:t>
            </w:r>
          </w:p>
        </w:tc>
        <w:tc>
          <w:tcPr>
            <w:tcW w:w="1660" w:type="dxa"/>
            <w:vAlign w:val="bottom"/>
          </w:tcPr>
          <w:p>
            <w:pPr>
              <w:jc w:val="right"/>
              <w:ind w:right="464"/>
              <w:spacing w:after="0"/>
              <w:rPr>
                <w:sz w:val="20"/>
                <w:szCs w:val="20"/>
                <w:color w:val="auto"/>
              </w:rPr>
            </w:pPr>
            <w:r>
              <w:rPr>
                <w:rFonts w:ascii="Arial" w:cs="Arial" w:eastAsia="Arial" w:hAnsi="Arial"/>
                <w:sz w:val="15"/>
                <w:szCs w:val="15"/>
                <w:color w:val="auto"/>
              </w:rPr>
              <w:t>28.1 %</w:t>
            </w:r>
          </w:p>
        </w:tc>
        <w:tc>
          <w:tcPr>
            <w:tcW w:w="1860" w:type="dxa"/>
            <w:vAlign w:val="bottom"/>
          </w:tcPr>
          <w:p>
            <w:pPr>
              <w:jc w:val="right"/>
              <w:ind w:right="804"/>
              <w:spacing w:after="0"/>
              <w:rPr>
                <w:sz w:val="20"/>
                <w:szCs w:val="20"/>
                <w:color w:val="auto"/>
              </w:rPr>
            </w:pPr>
            <w:r>
              <w:rPr>
                <w:rFonts w:ascii="Arial" w:cs="Arial" w:eastAsia="Arial" w:hAnsi="Arial"/>
                <w:sz w:val="15"/>
                <w:szCs w:val="15"/>
                <w:color w:val="auto"/>
              </w:rPr>
              <w:t>(0.8)%</w:t>
            </w:r>
          </w:p>
        </w:tc>
      </w:tr>
      <w:tr>
        <w:trPr>
          <w:trHeight w:val="204"/>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25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rPr>
              <w:t>43.6 %</w:t>
            </w:r>
          </w:p>
        </w:tc>
        <w:tc>
          <w:tcPr>
            <w:tcW w:w="166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44.1 %</w:t>
            </w:r>
          </w:p>
        </w:tc>
        <w:tc>
          <w:tcPr>
            <w:tcW w:w="18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rPr>
              <w:t>(0.5)%</w:t>
            </w: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gross profit increased approximately $20.4 million during the three months ended June 30, 2025 compared to the corresponding period in 2024. We saw increases in gross profit at 5.11 ($3.0 million increase), Lugano ($ 7.3 million increase), The Honey Pot Co. ($7.1 million increase) and Sterno ($2.5 million increase). We also saw an increase in gross profit at Altor attributable to the timing of acquisitions with Altor acquiring Lifoam on October 1, 2024. We saw decreases in gross profit at BOA ($ 3.1 million decrease) and Arnold ($3.3 million decrease) that corresponded to the decrease in net revenue noted above. Gross profit as a percentage of net revenues was approximately 43.6% in the three months ended June 30, 2025 compared to 44.1% in the three months ended June 30, 2024. The decrease in gross profit as a percentage of net revenue in the quarter ended June 30, 2025 as compared to the quarter ended June 30, 2024 is driven by the decreases in gross margin at our industrial businesses during the quarter. Our branded consumer businesses had gross profit as a percentage of net revenues of 55.2% in the second quarter of 2025 as compared to 54.6% in the second quarter of 2024, while our industrial businesses had gross profit as a percentage of net revenues of 27.3% in the second quarter of 2025 as compared to 28.1% in the second quarter of 2024. The decrease in gross profit as a percentage of net revenues at our industrial businesses was attributable to higher fixed overhead costs absorbed on a lower revenue base at the legacy Altor business (exclusive of Lifoam) and Arnold.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4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60" w:type="dxa"/>
            <w:vAlign w:val="bottom"/>
          </w:tcPr>
          <w:p>
            <w:pPr>
              <w:spacing w:after="0"/>
              <w:rPr>
                <w:sz w:val="17"/>
                <w:szCs w:val="17"/>
                <w:color w:val="auto"/>
              </w:rPr>
            </w:pPr>
          </w:p>
        </w:tc>
      </w:tr>
      <w:tr>
        <w:trPr>
          <w:trHeight w:val="19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162,112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137,581</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rPr>
              <w:t>24,531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17.8 %</w:t>
            </w: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selling, general and administrative expense increased approximately $24.5 million during the three months ended June 30, 2025, compared to the corresponding period in 2024, driven primarily by increases at the corporate level ($9.2 million increase), 5.11 ($3.9 million increase) due to increases in sales and marketing investments and an increase in the bonus pool versus the prior year, and Altor ($4.5 million increase) due to the acquisition of Lifoam in the fourth quarter of 2024. The increase in selling, general and administrative expense was partially offset by a decrease in expense at Velocity after their disposition of the Crosman product line in the second quarter of 2024.</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corporate level, general and administrative expense was $13.2 million in the second quarter of 2025 and $4.0 million in the second quarter of 2024. The increase in general and administrative expense in the second quarter of 2025 was primarily due to $8.4 million of costs incurred in the second quarter of 2025 relating to the Lugano Investigation. The remainder of the increase related to increased professional fees incurred during the quarter. The Company will continue to incur significant costs related to the Lugano investigation during the remainder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5"/>
                <w:szCs w:val="15"/>
                <w:b w:val="1"/>
                <w:bCs w:val="1"/>
                <w:color w:val="auto"/>
              </w:rPr>
              <w:t>Three months ended</w:t>
            </w:r>
          </w:p>
        </w:tc>
        <w:tc>
          <w:tcPr>
            <w:tcW w:w="1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19,035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18,739</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rPr>
              <w:t>296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bl>
    <w:p>
      <w:pPr>
        <w:spacing w:after="0" w:line="3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Management Services Agreement ("MSA"), we pay CGM (i) a base management fee equal to (a) 2% of the Company’s adjusted net assets when the adjusted net assets are less than or equal to $3.5 billion (the “Initial Threshold Fee”), (b) the Initial Threshold Fee plus 1.25% of the amount of adjusted net assets exceeding $ 3.5 billion when the adjusted net assets are more than $ 3.5 billion but less than $10 billion, or (c) 1.5% of the adjusted net assets when the adjusted net assets are $10 billion or more and (ii) an incentive management fee equal to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66" w:name="page67"/>
    <w:bookmarkEnd w:id="66"/>
    <w:p>
      <w:pPr>
        <w:jc w:val="both"/>
        <w:spacing w:after="0" w:line="268" w:lineRule="auto"/>
        <w:rPr>
          <w:sz w:val="20"/>
          <w:szCs w:val="20"/>
          <w:color w:val="auto"/>
        </w:rPr>
      </w:pPr>
      <w:r>
        <w:rPr>
          <w:rFonts w:ascii="Arial" w:cs="Arial" w:eastAsia="Arial" w:hAnsi="Arial"/>
          <w:sz w:val="18"/>
          <w:szCs w:val="18"/>
          <w:color w:val="auto"/>
        </w:rPr>
        <w:t>the Manager among the then-current Employees (as defined in the MSA) of the Manager. Such incentive management fee is subject to approval by the Compensation Committee of the Company’s board of directors. For the three months ended June 30, 2025, we incurred approximately $19.0 million in management fees as compared to $18.7 million in fees in the three months ended June 30, 2024.</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and (ii) limit the management fees that may be paid by the LLC’s subsidiaries to the Manager to no more than $2.0 million per fiscal quarter. For the quarter ended June 30, 2025, the total management fee incurred was $19.0 million, however, due to the restrictions imposed by the First Forbearance Agreement, the total amount paid to the Manager was $12.2 million.</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O - Related Party Transactions</w:t>
      </w:r>
      <w:r>
        <w:rPr>
          <w:rFonts w:ascii="Arial" w:cs="Arial" w:eastAsia="Arial" w:hAnsi="Arial"/>
          <w:sz w:val="18"/>
          <w:szCs w:val="18"/>
          <w:color w:val="auto"/>
        </w:rPr>
        <w:t>" in the "Notes to the Condensed Consolidated Financial Statements" for a description of the effect of the restatement on the Management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1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00" w:type="dxa"/>
            <w:vAlign w:val="bottom"/>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23,117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24,385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(1,268)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(5.2)%</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three months ended June 30, 2025 decreased $1.3 million as compared to the three months ended June 30, 2024 due to the reduction in expense associated with the sale of Crosman in the second quarter of 2024, the reduction in intangible assets at Lugano resulting from the restatement and certain intangibles at Sterno that were fully amortized in 2024. These decreases were partially offset by the amortization expense associated with the intangibles that were recognized in conjunction with the purchase price allocation for Lifoam, the add-on acquisition that Altor completed in the fourth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900" w:type="dxa"/>
            <w:vAlign w:val="bottom"/>
            <w:gridSpan w:val="3"/>
          </w:tcPr>
          <w:p>
            <w:pPr>
              <w:jc w:val="right"/>
              <w:ind w:right="724"/>
              <w:spacing w:after="0"/>
              <w:rPr>
                <w:sz w:val="20"/>
                <w:szCs w:val="20"/>
                <w:color w:val="auto"/>
              </w:rPr>
            </w:pPr>
            <w:r>
              <w:rPr>
                <w:rFonts w:ascii="Arial" w:cs="Arial" w:eastAsia="Arial" w:hAnsi="Arial"/>
                <w:sz w:val="15"/>
                <w:szCs w:val="15"/>
                <w:b w:val="1"/>
                <w:bCs w:val="1"/>
                <w:color w:val="auto"/>
              </w:rPr>
              <w:t>June 30, 2024</w:t>
            </w: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31,515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bl>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preliminary findings of the Lugano Investigation, the Company determined that a triggering event had occurred in the second quarter of 2025 and tested the long-lived assets of Lugano for impairment. The impairment testing indicated that the fair value of the assets was less than the carrying value and the Company recorded impairment expense to write the long-lived assets down to fair value. The write down of the long-lived assets resulted in the Company recording impairment expense of $29.5 million related to property, plant and equipment and $1.9 million related to right-of-use assets in the quarter ended June 30, 2025. The right-of-use asset related to a retail salon in Toronto, Canada which had not yet opened.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(29,596)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rPr>
              <w:t>(4,500)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15.2 %</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interest expense totaling $34.1 million for the three months ended June 30, 2025 compared to $ 29.6 million for the comparable period in 2024, an increase of $4.5 million. In January 2025, we amended our credit facility to provide for an additional advance of the term loan in the aggregate amount of $200 million on the date of the amendment. The proceeds from the $200 million term loan advance were used to repay amounts outstanding under our revolving credit facility, and the excess amount after repaying the revolver was used for working capital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jc w:val="both"/>
        <w:spacing w:after="0" w:line="262" w:lineRule="auto"/>
        <w:rPr>
          <w:sz w:val="20"/>
          <w:szCs w:val="20"/>
          <w:color w:val="auto"/>
        </w:rPr>
      </w:pPr>
      <w:r>
        <w:rPr>
          <w:rFonts w:ascii="Arial" w:cs="Arial" w:eastAsia="Arial" w:hAnsi="Arial"/>
          <w:sz w:val="18"/>
          <w:szCs w:val="18"/>
          <w:color w:val="auto"/>
        </w:rPr>
        <w:t>needs at our subsidiaries and general corporate purposes. The increase in the term loan led to a slight increase in the amount of average debt outstanding during the second quarter of 2025 versus the comparable quarter in 2024, however, the effective interest rate decreased in 2025 as compared to 2024 resulting in a decrease in the interest expense paid for corporate debt quarter over quarter. The interest expense also reflects an increase of $6.9 million in interest expense related to financing arrangements at our Lugano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debt modification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second quarter of 2025, the Company entered into a Forbearance Agreement and Second Amendment to the Credit Agreement. The amendment to the 2022 Credit Agreement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sale of Crosman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30,2024, Velocity Outdoor sold Crosman Corporation ("Crosman"), its airgun product division. Velocity received net proceeds of approximately $ 58.5 million related to the sale of Crosman, which was used to repay amounts outstanding under the intercompany credit agreement. The Company recorded a loss on the sale of Crosman in the quarter ending June 30, 2024 of $24.6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0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(40,642)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42,355</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w:t>
            </w:r>
          </w:p>
        </w:tc>
      </w:tr>
    </w:tbl>
    <w:p>
      <w:pPr>
        <w:spacing w:after="0" w:line="3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June 30, 2025, we recorded $1.7 million in other income as compared to $ 40.6 million in other expense in the quarter ended June 30, 2024, a decrease in expense of $42.4 million. The other expense in the quarter ended June 30, 2024 primarily represents expense recognized at Lugano related to losses resulting from the accounting for the transactions associated with the off-balance sheet arrangements ($39.3 million in expense in the three months ended June 30, 2024). A significant portion of the expense associated with the Lugano financing arrangements was recognized in the historical restatement period (the years ending December 31, 2024, 2023 and 2022) which resulted in limited impact in the current year.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00" w:type="dxa"/>
            <w:vAlign w:val="bottom"/>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ind w:left="14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17,358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15,593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1,765</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r>
      <w:tr>
        <w:trPr>
          <w:trHeight w:val="256"/>
        </w:trPr>
        <w:tc>
          <w:tcPr>
            <w:tcW w:w="3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an income tax provision of $17.4 million during the three months ended June 30, 2025 compared to an income tax provision of $15.6 million during the same period in 2024, an increase of $1.8 million.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was the loss on the sale of Crosman at Velocity in the second quarter of 2024 and the limitations on the net operating loss carryforwards and utilization of tax credits at our subsidiaries and at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 - Operating Segments - Quarter-to-Date</w:t>
      </w:r>
    </w:p>
    <w:p>
      <w:pPr>
        <w:spacing w:after="0" w:line="225" w:lineRule="exact"/>
        <w:rPr>
          <w:sz w:val="20"/>
          <w:szCs w:val="20"/>
          <w:color w:val="auto"/>
        </w:rPr>
      </w:pPr>
    </w:p>
    <w:p>
      <w:pPr>
        <w:ind w:right="4120"/>
        <w:spacing w:after="0" w:line="421" w:lineRule="auto"/>
        <w:rPr>
          <w:sz w:val="20"/>
          <w:szCs w:val="20"/>
          <w:color w:val="auto"/>
        </w:rPr>
      </w:pPr>
      <w:r>
        <w:rPr>
          <w:rFonts w:ascii="Arial" w:cs="Arial" w:eastAsia="Arial" w:hAnsi="Arial"/>
          <w:sz w:val="18"/>
          <w:szCs w:val="18"/>
          <w:b w:val="1"/>
          <w:bCs w:val="1"/>
          <w:color w:val="auto"/>
        </w:rPr>
        <w:t>Three months ended June 30, 2025 compared to three months ended June 30, 2024 Branded Consumer Businesses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131,442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123,201</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8,241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6.7 %</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three months ended June 30, 2025 were $131.4 million as compared to net sales of $123.2 million for the three months ended June 30, 2024, an increase of $8.2 million, or 6.7%. The increase was primarily driven by a $5.0 million increase in domestic wholesale sales, reflecting strong demand and improved inventory levels; a $3.6 million increase in direct-to-consumer sales, attributable to higher full-price sales of new products; and a $1.6 million increase in international sales, also driven by strong demand. These increases were partially offset by a decrease in direct-to-agency sales, primarily due to the timing of large contracts.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9,754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10,699</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984"/>
              <w:spacing w:after="0"/>
              <w:rPr>
                <w:sz w:val="20"/>
                <w:szCs w:val="20"/>
                <w:color w:val="auto"/>
              </w:rPr>
            </w:pPr>
            <w:r>
              <w:rPr>
                <w:rFonts w:ascii="Arial" w:cs="Arial" w:eastAsia="Arial" w:hAnsi="Arial"/>
                <w:sz w:val="15"/>
                <w:szCs w:val="15"/>
                <w:color w:val="auto"/>
              </w:rPr>
              <w:t>NM</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June 30, 2025 was $9.8 million, a decrease of $0.9 million when compared to segment operating income of $10.7 million for the same period in 2024. The decrease in segment operating income reflects higher net sales and gross margin dollars that were more than offset by increased selling, general and administrative expenses, primarily driven by non-recurring payroll costs associated with restructuring, higher performance-based bonuses, and increased marketing investments to support sales growth. Segment operating margin was 7.4% in the second quarter of 2025 and 8.7% in the second quarter of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48,369</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54,160</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(5,791)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r>
    </w:tbl>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June 30, 2025 were $48.4 million as compared to net sales of $54.2 million for the three months ended June 30, 2024, a decrease of $5.8 million, or 10.7%. The decrease was a result of reduced kids-based business in China, partially offset by continued growth in performance-based business in Snow Sports, Cycling, and Workwear.</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14,046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16,470</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(2,424)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29.0 %</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w:t>
            </w:r>
          </w:p>
        </w:tc>
        <w:tc>
          <w:tcPr>
            <w:tcW w:w="7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three months ended June 30, 2025 was $14.0 million, a decrease of $2.4 million when compared to segment operating income of $16.5 million for the same period in 2024. The decrease in segment operating income was driven by lower sales, partially offset by improved product margins and reduced employee costs related to BOA’s bonus plan. Segment operating margin was 29.0% in the second quarter of 2025 and 30.4% in the second quarter of 2024. The decrease in operating margin in the current quarter was driven by fixed operating costs partially offset by improved gross profit margin.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Lugano</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26,771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12,025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14,746</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122.6 %</w:t>
            </w:r>
          </w:p>
        </w:tc>
      </w:tr>
    </w:tbl>
    <w:p>
      <w:pPr>
        <w:spacing w:after="0" w:line="3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June 30, 2025 were $26.8 million an increase of approximately $14.7 million, or 122.6%, compared to net sales of $12.0 million in the corresponding quarter ended June 30, 2024. In the current year quarter, Lugano had stronger same store sales growth, and opened a flagship retail salon in Chicago in June 2025.</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20" w:type="dxa"/>
            <w:vAlign w:val="bottom"/>
            <w:gridSpan w:val="2"/>
          </w:tcPr>
          <w:p>
            <w:pPr>
              <w:ind w:left="18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(46,782)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(18,103)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(28,679)</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158.4 %</w:t>
            </w:r>
          </w:p>
        </w:tc>
      </w:tr>
      <w:tr>
        <w:trPr>
          <w:trHeight w:val="162"/>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(24.2)%</w:t>
            </w:r>
          </w:p>
        </w:tc>
        <w:tc>
          <w:tcPr>
            <w:tcW w:w="78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loss for the three months ended June 30, 2025 was $46.8 million, as compared to $18.1 million in the corresponding period in 2024. In the current quarter, Lugano recorded $31.5 million in impairment expense related to long-lived assets and a right-of-use asset, resulting in the higher segment operating loss in the current 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was (174.7)% in the second quarter of 2025 as compared to (150.5)% in the second quarter of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0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24,855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25,291</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rPr>
              <w:t>(436)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(1.7)%</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June 30, 2025 were $ 24.9 million, a decrease of $0.4 million as compared to net sales of $25.3 million for the three months ended June 30, 2024. The decrease in net sales in the current quarter versus the quarter ended June 30, 2024 is attributable to a pullback in orders from PrimaLoft's brand partners as they remain cautious due to the economic uncertainties from the evolving tariff policy in the United States.</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4,890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5,499</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(609)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w:t>
            </w:r>
          </w:p>
        </w:tc>
        <w:tc>
          <w:tcPr>
            <w:tcW w:w="7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three months ended June 30, 2025 was $4.9 million, a decrease of $0.6 million when compared to segment operating income of $5.5 million for the same period in 2024, driven by an increase in selling, general and administrative expense during the second quarter of 2025, with increases in employee compensation, rent and marketing costs versus the comparable quarter in the prior year. Selling, general and administrative expense as a percentage of net sales was 22.3% in the quarter ended June 30, 2025 as compared to 20.1% in the quarter ended June 30, 2024. Segment operating margin was 19.7% in the second quarter of 2025 as compared to 21.7% in the second quarter of 2024.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The Honey Pot Co.</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32,798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24,182</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8,616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35.6 %</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June 30, 2025 were $32.8 million, an increase of $8.6 million or 35.6% from net sales of $24.2 million for the three months ended June 30, 2024. The increase in net sales is primarily due to strong volume growth due to market share gain in our Period Care product line, particularly in mass retail, drugstores and online. Overall, volume and share growth continues to be fueled by compelling innovation, targeted investments in demand generation, and disciplined investments in capabilities to accelerate growth.</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3,705</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(2,530)</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6,235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(246.4)%</w:t>
            </w: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21.8%</w:t>
            </w:r>
          </w:p>
        </w:tc>
        <w:tc>
          <w:tcPr>
            <w:tcW w:w="82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Segment operating income for the three months ended June 30, 2025 was $3.7 million, an increase of $6.2 million when compared to segment operating loss of $2.5 million for the same period in 2024. Segment operating income in the second quarter of 2024 included certain non-recurring expenses related to the acquisition of The Honey Pot Co. in January 2024, including $1.0 million of inventory step-up amortization expense and $0.9 million in integration service fess. The remainder of the increase in segment operating income is attributable to the increase in net sales, partially offset by higher investments in marketing and employee expense. Operating margin in the </w:t>
      </w:r>
      <w:r>
        <w:rPr>
          <w:rFonts w:ascii="Arial" w:cs="Arial" w:eastAsia="Arial" w:hAnsi="Arial"/>
          <w:sz w:val="16"/>
          <w:szCs w:val="16"/>
          <w:color w:val="auto"/>
        </w:rPr>
        <w:t>second</w:t>
      </w:r>
      <w:r>
        <w:rPr>
          <w:rFonts w:ascii="Arial" w:cs="Arial" w:eastAsia="Arial" w:hAnsi="Arial"/>
          <w:sz w:val="18"/>
          <w:szCs w:val="18"/>
          <w:color w:val="auto"/>
        </w:rPr>
        <w:t xml:space="preserve"> quarter of 2025 was 11.3% as compared to (10.5)% in the </w:t>
      </w:r>
      <w:r>
        <w:rPr>
          <w:rFonts w:ascii="Arial" w:cs="Arial" w:eastAsia="Arial" w:hAnsi="Arial"/>
          <w:sz w:val="16"/>
          <w:szCs w:val="16"/>
          <w:color w:val="auto"/>
        </w:rPr>
        <w:t>second</w:t>
      </w:r>
      <w:r>
        <w:rPr>
          <w:rFonts w:ascii="Arial" w:cs="Arial" w:eastAsia="Arial" w:hAnsi="Arial"/>
          <w:sz w:val="18"/>
          <w:szCs w:val="18"/>
          <w:color w:val="auto"/>
        </w:rPr>
        <w:t xml:space="preserve"> quarter of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30, 2024, Velocity Outdoor sold its Crosman airgun product division. The results of operations for the three months ended June 30, 2024 presented below include the results from the Crosman airgun product division through the date of sale.</w:t>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15,213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18,711</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(3,498)</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w:t>
            </w:r>
          </w:p>
        </w:tc>
      </w:tr>
    </w:tbl>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June 30, 2025 were $15.2 million, a decrease of $3.5 million or 18.7%, compared to net sales of $18.7 million in the same period in 2024. The decrease in net sales for the three months ended June 30, 2025 was driven by the divestiture of Crosman. The remaining product categories, which consist of the archery and hunting apparel product categories, increased compared to the same period in 2024 due to increased archery sales through Big Box retailers and dealer channels and improved online sales of apparel.</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(911)</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(1,935)</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w:t>
            </w: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3"/>
              </w:rPr>
              <w:t>4.4%</w:t>
            </w: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loss for the three months ended June 30, 2025 was $0.9 million compared to segment operating loss of $1.9 million for the same period in 2024. Segment operating margin was (6.0)% in the second quarter of 2025 as compared to (10.3)% in the second quarter 2024. Despite an improvement in gross margin percentage quarter over quarter attributable to the sale of the Crosman product line, the decrease in net sales led to a decrease in both gross profit and operating expense leverage, with gross profit of $5.0 million in the second quarter of 2025 as compared to $5.6 million in the second quarter of 2024, and selling, general and administrative expense as a percentage of net sales of 29.9% in the second quarter of 2025 as compared to 31.3% in the second quarter of 2024.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Industrial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0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83,305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52,213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31,092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59.5 %</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quarter ended June 30, 2025 were $83.3 million, an increase of $31.1 million, or 59.5%, compared to net sales of $52.2 million in the quarter ended June 30, 2024. The increase in net sales during the quarter was driven by the acquisition of Lifoam in October 2024. Lifoam contributed $39.7 million in net sales in the second quarter of 2025. The increase in net sales attributable to Lifoam was offset by lower quarterly sales due to shifting market conditions of perishable and cold chain markets and supplier diversification initiatives on behalf of several of Altor's customers.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Three months ended</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7,266</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5,156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rPr>
              <w:t>2,110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40.9 %</w:t>
            </w:r>
          </w:p>
        </w:tc>
      </w:tr>
      <w:tr>
        <w:trPr>
          <w:trHeight w:val="162"/>
        </w:trPr>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w:t>
            </w:r>
          </w:p>
        </w:tc>
        <w:tc>
          <w:tcPr>
            <w:tcW w:w="74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was $7.3 million in the three months ended June 30, 2025, an increase of $2.1 million as compared to the three months ended June 30, 2024. Segment operating margin was 8.7% in the second quarter of 2025 as compared to 9.9% in the second quarter of 2024, with the decrease driven by a reduction in fixed cost of goods sold coverage due to lower sales levels on the non-Lifoam portion of the business and increases in selling, general and administrative costs related to the acquisition and integration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12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38,432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43,155</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(4,723)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three months ended June 30, 2025 were approximately $38.4 million, a decrease of $4.7 million compared to net sales of $43.2 million in the same period in 2024. The decrease in net sales is primarily a result of lower demand in various markets and delays in production startup at new facilities.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5,308</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rPr>
              <w:t>(5,128)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(96.6)%</w:t>
            </w: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2"/>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(11.8)%</w:t>
            </w:r>
          </w:p>
        </w:tc>
        <w:tc>
          <w:tcPr>
            <w:tcW w:w="7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June 30, 2025 was approximately $0.2 million, a decrease of $5.1 million when compared to the same period in 2024. The decrease in segment operating income was driven by the sales shortfall, unfavorable product mix and executive transition costs. Segment operating margin was 0.5% in the second quarter of 2025 as compared to 12.3% in the second quarter of 2024.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1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77,505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73,767</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3,738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5.1 %</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2" w:name="page73"/>
    <w:bookmarkEnd w:id="72"/>
    <w:p>
      <w:pPr>
        <w:jc w:val="both"/>
        <w:spacing w:after="0" w:line="268" w:lineRule="auto"/>
        <w:rPr>
          <w:sz w:val="20"/>
          <w:szCs w:val="20"/>
          <w:color w:val="auto"/>
        </w:rPr>
      </w:pPr>
      <w:r>
        <w:rPr>
          <w:rFonts w:ascii="Arial" w:cs="Arial" w:eastAsia="Arial" w:hAnsi="Arial"/>
          <w:sz w:val="18"/>
          <w:szCs w:val="18"/>
          <w:color w:val="auto"/>
        </w:rPr>
        <w:t>Net sales for the three months ended June 30, 2025 were approximately $ 77.5 million, an increase of $ 3.7 million, or 5.1%, compared to net sales of $73.8 million in the same period in 2024. The net sales variance reflects higher sales volume as well as price increases in certain product categories.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Three months ended</w:t>
            </w:r>
          </w:p>
        </w:tc>
        <w:tc>
          <w:tcPr>
            <w:tcW w:w="1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20" w:type="dxa"/>
            <w:vAlign w:val="bottom"/>
          </w:tcPr>
          <w:p>
            <w:pPr>
              <w:spacing w:after="0"/>
              <w:rPr>
                <w:sz w:val="17"/>
                <w:szCs w:val="17"/>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11,111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7,870</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rPr>
              <w:t>3,241</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41.2 %</w:t>
            </w: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3.7 %</w:t>
            </w:r>
          </w:p>
        </w:tc>
        <w:tc>
          <w:tcPr>
            <w:tcW w:w="52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three months ended June 30, 2025 was approximately $11.1 million, an increase of $3.2 million compared to the three months ended June 30, 2024, driven by the increase in net sales and reduced amortization expense for intangibles that have been fully amortized (amortization expense decreased $1.5 million quarter over quarter). Segment operating margin was 14.3% in the second quarter of 2025 as compared to 10.7% in the second quarter of 2024.</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 Year-to-Date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2025 compared to six months ended June 30, 2024 (as restated)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periods indicated, in dollars and as a percentage of net revenues:</w:t>
      </w:r>
    </w:p>
    <w:p>
      <w:pPr>
        <w:spacing w:after="0" w:line="14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Six months ended</w:t>
            </w:r>
          </w:p>
        </w:tc>
        <w:tc>
          <w:tcPr>
            <w:tcW w:w="740" w:type="dxa"/>
            <w:vAlign w:val="bottom"/>
            <w:tcBorders>
              <w:top w:val="single" w:sz="8" w:color="auto"/>
              <w:bottom w:val="single" w:sz="8" w:color="auto"/>
            </w:tcBorders>
          </w:tcPr>
          <w:p>
            <w:pPr>
              <w:spacing w:after="0"/>
              <w:rPr>
                <w:sz w:val="18"/>
                <w:szCs w:val="18"/>
                <w:color w:val="auto"/>
              </w:rPr>
            </w:pPr>
          </w:p>
        </w:tc>
      </w:tr>
      <w:tr>
        <w:trPr>
          <w:trHeight w:val="196"/>
        </w:trPr>
        <w:tc>
          <w:tcPr>
            <w:tcW w:w="4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June 30, 2025</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680"/>
              <w:spacing w:after="0"/>
              <w:rPr>
                <w:sz w:val="20"/>
                <w:szCs w:val="20"/>
                <w:color w:val="auto"/>
              </w:rPr>
            </w:pPr>
            <w:r>
              <w:rPr>
                <w:rFonts w:ascii="Arial" w:cs="Arial" w:eastAsia="Arial" w:hAnsi="Arial"/>
                <w:sz w:val="15"/>
                <w:szCs w:val="15"/>
                <w:b w:val="1"/>
                <w:bCs w:val="1"/>
                <w:color w:val="auto"/>
              </w:rPr>
              <w:t>June 30, 2024</w:t>
            </w:r>
          </w:p>
        </w:tc>
        <w:tc>
          <w:tcPr>
            <w:tcW w:w="74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5"/>
                <w:szCs w:val="15"/>
                <w:b w:val="1"/>
                <w:bCs w:val="1"/>
                <w:color w:val="auto"/>
              </w:rPr>
              <w:t>(As Restated)</w:t>
            </w:r>
          </w:p>
        </w:tc>
        <w:tc>
          <w:tcPr>
            <w:tcW w:w="74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932,465</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837,531</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1"/>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527,892</w:t>
            </w:r>
          </w:p>
        </w:tc>
        <w:tc>
          <w:tcPr>
            <w:tcW w:w="4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56.6 %</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474,394</w:t>
            </w:r>
          </w:p>
        </w:tc>
        <w:tc>
          <w:tcPr>
            <w:tcW w:w="4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56.6 %</w:t>
            </w:r>
          </w:p>
        </w:tc>
      </w:tr>
      <w:tr>
        <w:trPr>
          <w:trHeight w:val="19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404,573</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363,137</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312,489</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275,305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32.9 %</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Management fees</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37,898</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36,681</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Amortization expense</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46,468</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47,596</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5.7 %</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expense</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31,515</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Operating loss</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(23,797)</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(4,627)</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(69,947)</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(54,863)</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Amortization of debt issuance costs</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(2,096)</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(2,009)</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debt modification</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1"/>
        </w:trPr>
        <w:tc>
          <w:tcPr>
            <w:tcW w:w="4180" w:type="dxa"/>
            <w:vAlign w:val="bottom"/>
          </w:tcPr>
          <w:p>
            <w:pPr>
              <w:ind w:left="20"/>
              <w:spacing w:after="0"/>
              <w:rPr>
                <w:sz w:val="20"/>
                <w:szCs w:val="20"/>
                <w:color w:val="auto"/>
              </w:rPr>
            </w:pPr>
            <w:r>
              <w:rPr>
                <w:rFonts w:ascii="Arial" w:cs="Arial" w:eastAsia="Arial" w:hAnsi="Arial"/>
                <w:sz w:val="15"/>
                <w:szCs w:val="15"/>
                <w:color w:val="auto"/>
              </w:rPr>
              <w:t>Loss on sale of Crosman</w:t>
            </w:r>
          </w:p>
        </w:tc>
        <w:tc>
          <w:tcPr>
            <w:tcW w:w="48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(24,606)</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4"/>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(11,968)</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(88,084)</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r>
      <w:tr>
        <w:trPr>
          <w:trHeight w:val="195"/>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Loss from continuing operations before income taxes</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(110,635)</w:t>
            </w:r>
          </w:p>
        </w:tc>
        <w:tc>
          <w:tcPr>
            <w:tcW w:w="4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(174,189)</w:t>
            </w:r>
          </w:p>
        </w:tc>
        <w:tc>
          <w:tcPr>
            <w:tcW w:w="4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(20.8)%</w:t>
            </w: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19,896</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18,703</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r>
      <w:tr>
        <w:trPr>
          <w:trHeight w:val="197"/>
        </w:trPr>
        <w:tc>
          <w:tcPr>
            <w:tcW w:w="4180" w:type="dxa"/>
            <w:vAlign w:val="bottom"/>
          </w:tcPr>
          <w:p>
            <w:pPr>
              <w:ind w:left="220"/>
              <w:spacing w:after="0"/>
              <w:rPr>
                <w:sz w:val="20"/>
                <w:szCs w:val="20"/>
                <w:color w:val="auto"/>
              </w:rPr>
            </w:pPr>
            <w:r>
              <w:rPr>
                <w:rFonts w:ascii="Arial" w:cs="Arial" w:eastAsia="Arial" w:hAnsi="Arial"/>
                <w:sz w:val="15"/>
                <w:szCs w:val="15"/>
                <w:color w:val="auto"/>
              </w:rPr>
              <w:t>Net loss from continuing operations</w:t>
            </w: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(130,531)</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(192,892)</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(23.0)%</w:t>
            </w:r>
          </w:p>
        </w:tc>
      </w:tr>
      <w:tr>
        <w:trPr>
          <w:trHeight w:val="20"/>
        </w:trPr>
        <w:tc>
          <w:tcPr>
            <w:tcW w:w="4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Six months ended</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June 30, 2025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June 30, 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Increase (Decrease)</w:t>
            </w:r>
          </w:p>
        </w:tc>
        <w:tc>
          <w:tcPr>
            <w:tcW w:w="600" w:type="dxa"/>
            <w:vAlign w:val="bottom"/>
            <w:tcBorders>
              <w:bottom w:val="single" w:sz="8" w:color="auto"/>
            </w:tcBorders>
          </w:tcPr>
          <w:p>
            <w:pPr>
              <w:spacing w:after="0"/>
              <w:rPr>
                <w:sz w:val="17"/>
                <w:szCs w:val="17"/>
                <w:color w:val="auto"/>
              </w:rPr>
            </w:pPr>
          </w:p>
        </w:tc>
      </w:tr>
      <w:tr>
        <w:trPr>
          <w:trHeight w:val="196"/>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244"/>
              <w:spacing w:after="0"/>
              <w:rPr>
                <w:sz w:val="20"/>
                <w:szCs w:val="20"/>
                <w:color w:val="auto"/>
              </w:rPr>
            </w:pPr>
            <w:r>
              <w:rPr>
                <w:rFonts w:ascii="Arial" w:cs="Arial" w:eastAsia="Arial" w:hAnsi="Arial"/>
                <w:sz w:val="15"/>
                <w:szCs w:val="15"/>
                <w:b w:val="1"/>
                <w:bCs w:val="1"/>
                <w:color w:val="auto"/>
              </w:rPr>
              <w:t>(As Restated)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260,812</w:t>
            </w:r>
          </w:p>
        </w:tc>
        <w:tc>
          <w:tcPr>
            <w:tcW w:w="140" w:type="dxa"/>
            <w:vAlign w:val="bottom"/>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248,175</w:t>
            </w:r>
          </w:p>
        </w:tc>
        <w:tc>
          <w:tcPr>
            <w:tcW w:w="100" w:type="dxa"/>
            <w:vAlign w:val="bottom"/>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12,637</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BOA</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97,246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97,063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183</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0.2 %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53,616</w:t>
            </w:r>
          </w:p>
        </w:tc>
        <w:tc>
          <w:tcPr>
            <w:tcW w:w="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22,818</w:t>
            </w:r>
          </w:p>
        </w:tc>
        <w:tc>
          <w:tcPr>
            <w:tcW w:w="10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30,798</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PrimaLoft</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48,500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47,832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668</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68,989</w:t>
            </w:r>
          </w:p>
        </w:tc>
        <w:tc>
          <w:tcPr>
            <w:tcW w:w="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44,347</w:t>
            </w:r>
          </w:p>
        </w:tc>
        <w:tc>
          <w:tcPr>
            <w:tcW w:w="10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24,642</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55.6 %</w:t>
            </w:r>
          </w:p>
        </w:tc>
      </w:tr>
      <w:tr>
        <w:trPr>
          <w:trHeight w:val="20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28,414</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48,610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(20,196)</w:t>
            </w:r>
          </w:p>
        </w:tc>
        <w:tc>
          <w:tcPr>
            <w:tcW w:w="7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(41.5)%</w:t>
            </w:r>
          </w:p>
        </w:tc>
      </w:tr>
      <w:tr>
        <w:trPr>
          <w:trHeight w:val="197"/>
        </w:trPr>
        <w:tc>
          <w:tcPr>
            <w:tcW w:w="3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Branded Consumer</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557,577</w:t>
            </w:r>
          </w:p>
        </w:tc>
        <w:tc>
          <w:tcPr>
            <w:tcW w:w="140" w:type="dxa"/>
            <w:vAlign w:val="bottom"/>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508,845</w:t>
            </w:r>
          </w:p>
        </w:tc>
        <w:tc>
          <w:tcPr>
            <w:tcW w:w="100" w:type="dxa"/>
            <w:vAlign w:val="bottom"/>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48,732</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9.6 %</w:t>
            </w:r>
          </w:p>
        </w:tc>
      </w:tr>
      <w:tr>
        <w:trPr>
          <w:trHeight w:val="201"/>
        </w:trPr>
        <w:tc>
          <w:tcPr>
            <w:tcW w:w="3900" w:type="dxa"/>
            <w:vAlign w:val="bottom"/>
          </w:tcPr>
          <w:p>
            <w:pPr>
              <w:ind w:left="20"/>
              <w:spacing w:after="0"/>
              <w:rPr>
                <w:sz w:val="20"/>
                <w:szCs w:val="20"/>
                <w:color w:val="auto"/>
              </w:rPr>
            </w:pPr>
            <w:r>
              <w:rPr>
                <w:rFonts w:ascii="Arial" w:cs="Arial" w:eastAsia="Arial" w:hAnsi="Arial"/>
                <w:sz w:val="15"/>
                <w:szCs w:val="15"/>
                <w:color w:val="auto"/>
              </w:rPr>
              <w:t>Altor</w:t>
            </w:r>
          </w:p>
        </w:tc>
        <w:tc>
          <w:tcPr>
            <w:tcW w:w="20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159,562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105,617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53,945</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51.1 %</w:t>
            </w: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72,440</w:t>
            </w:r>
          </w:p>
        </w:tc>
        <w:tc>
          <w:tcPr>
            <w:tcW w:w="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84,442</w:t>
            </w:r>
          </w:p>
        </w:tc>
        <w:tc>
          <w:tcPr>
            <w:tcW w:w="10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(12,002)</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r>
      <w:tr>
        <w:trPr>
          <w:trHeight w:val="20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142,886</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138,627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4,259</w:t>
            </w:r>
          </w:p>
        </w:tc>
        <w:tc>
          <w:tcPr>
            <w:tcW w:w="7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3.1 %</w:t>
            </w:r>
          </w:p>
        </w:tc>
      </w:tr>
      <w:tr>
        <w:trPr>
          <w:trHeight w:val="196"/>
        </w:trPr>
        <w:tc>
          <w:tcPr>
            <w:tcW w:w="3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Industrial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374,888</w:t>
            </w: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328,686</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46,202</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14.1 %</w:t>
            </w:r>
          </w:p>
        </w:tc>
      </w:tr>
      <w:tr>
        <w:trPr>
          <w:trHeight w:val="197"/>
        </w:trPr>
        <w:tc>
          <w:tcPr>
            <w:tcW w:w="3900" w:type="dxa"/>
            <w:vAlign w:val="bottom"/>
          </w:tcPr>
          <w:p>
            <w:pPr>
              <w:ind w:left="20"/>
              <w:spacing w:after="0"/>
              <w:rPr>
                <w:sz w:val="20"/>
                <w:szCs w:val="20"/>
                <w:color w:val="auto"/>
              </w:rPr>
            </w:pPr>
            <w:r>
              <w:rPr>
                <w:rFonts w:ascii="Arial" w:cs="Arial" w:eastAsia="Arial" w:hAnsi="Arial"/>
                <w:sz w:val="15"/>
                <w:szCs w:val="15"/>
                <w:b w:val="1"/>
                <w:bCs w:val="1"/>
                <w:color w:val="auto"/>
              </w:rPr>
              <w:t>Consolidated net revenues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932,465</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837,531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94,934</w:t>
            </w: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11.3 %</w:t>
            </w: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revenues for the six months ended June 30, 2025 increased by approximately $94.9 million, or 11.3%, compared to the corresponding period in 2024. During the six months ended June 30, 2025 compared to 2024, we saw notable increases in net revenues at 5.11 ($ 12.6 million increase), Lugano ($30.8 million increase) The Honey Pot Co. ($24.6 million increase), Altor ($53.9 million increase) and Sterno ($4.3 million increase). The Honey Pot Co. was acquired on January 31, 2024 and had an incremental revenue increase of $14.0 million year over year on a pro forma basis. The increase in net revenue at Altor was attributable to the acquisition of Lifoam in October 2024. These increases in net revenue was offset by decreases in net revenue at Velocity ($20.2 million decrease, primarily as a result of the sale of Crosman) and Arnold ($ 12.0 million decrease). Refer to "Results of Operations - Operating Segments - Year-to-Date" for a more detailed analysis of net revenues by operating segment.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our subsidiaries. We may generate interest income on the investment of available funds, but expect such earnings to be minimal. We make loans from the Company to our subsidiary businesses and also hold equity interests in those businesses. Cash flows coming to the Trust and the LLC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01" w:lineRule="exact"/>
        <w:rPr>
          <w:sz w:val="20"/>
          <w:szCs w:val="20"/>
          <w:color w:val="auto"/>
        </w:rPr>
      </w:pPr>
    </w:p>
    <w:tbl>
      <w:tblPr>
        <w:tblLayout w:type="fixed"/>
        <w:tblInd w:w="90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Six months ended</w:t>
            </w: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18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40" w:type="dxa"/>
            <w:vAlign w:val="bottom"/>
          </w:tcPr>
          <w:p>
            <w:pPr>
              <w:spacing w:after="0"/>
              <w:rPr>
                <w:sz w:val="17"/>
                <w:szCs w:val="17"/>
                <w:color w:val="auto"/>
              </w:rPr>
            </w:pPr>
          </w:p>
        </w:tc>
        <w:tc>
          <w:tcPr>
            <w:tcW w:w="2080" w:type="dxa"/>
            <w:vAlign w:val="bottom"/>
            <w:gridSpan w:val="2"/>
          </w:tcPr>
          <w:p>
            <w:pPr>
              <w:jc w:val="right"/>
              <w:ind w:right="40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133,412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6,798</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BOA</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62,223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60,285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1,938</w:t>
            </w:r>
          </w:p>
        </w:tc>
        <w:tc>
          <w:tcPr>
            <w:tcW w:w="132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12,451</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31,035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30,092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943</w:t>
            </w:r>
          </w:p>
        </w:tc>
        <w:tc>
          <w:tcPr>
            <w:tcW w:w="1320" w:type="dxa"/>
            <w:vAlign w:val="bottom"/>
          </w:tcPr>
          <w:p>
            <w:pPr>
              <w:jc w:val="right"/>
              <w:spacing w:after="0"/>
              <w:rPr>
                <w:sz w:val="20"/>
                <w:szCs w:val="20"/>
                <w:color w:val="auto"/>
              </w:rPr>
            </w:pPr>
            <w:r>
              <w:rPr>
                <w:rFonts w:ascii="Arial" w:cs="Arial" w:eastAsia="Arial" w:hAnsi="Arial"/>
                <w:sz w:val="15"/>
                <w:szCs w:val="15"/>
                <w:color w:val="auto"/>
              </w:rPr>
              <w:t>3.1 %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19,908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18,550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93.2 %</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12,125</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(3,809)</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(31.4)%</w:t>
            </w:r>
          </w:p>
        </w:tc>
      </w:tr>
      <w:tr>
        <w:trPr>
          <w:trHeight w:val="197"/>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Branded Consumer</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269,995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36,871</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13.7 %</w:t>
            </w:r>
          </w:p>
        </w:tc>
      </w:tr>
      <w:tr>
        <w:trPr>
          <w:trHeight w:val="201"/>
        </w:trPr>
        <w:tc>
          <w:tcPr>
            <w:tcW w:w="3660" w:type="dxa"/>
            <w:vAlign w:val="bottom"/>
          </w:tcPr>
          <w:p>
            <w:pPr>
              <w:ind w:left="20"/>
              <w:spacing w:after="0"/>
              <w:rPr>
                <w:sz w:val="20"/>
                <w:szCs w:val="20"/>
                <w:color w:val="auto"/>
              </w:rPr>
            </w:pPr>
            <w:r>
              <w:rPr>
                <w:rFonts w:ascii="Arial" w:cs="Arial" w:eastAsia="Arial" w:hAnsi="Arial"/>
                <w:sz w:val="15"/>
                <w:szCs w:val="15"/>
                <w:color w:val="auto"/>
              </w:rPr>
              <w:t>Altor</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41,751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31,202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10,549</w:t>
            </w:r>
          </w:p>
        </w:tc>
        <w:tc>
          <w:tcPr>
            <w:tcW w:w="1320" w:type="dxa"/>
            <w:vAlign w:val="bottom"/>
          </w:tcPr>
          <w:p>
            <w:pPr>
              <w:jc w:val="right"/>
              <w:spacing w:after="0"/>
              <w:rPr>
                <w:sz w:val="20"/>
                <w:szCs w:val="20"/>
                <w:color w:val="auto"/>
              </w:rPr>
            </w:pPr>
            <w:r>
              <w:rPr>
                <w:rFonts w:ascii="Arial" w:cs="Arial" w:eastAsia="Arial" w:hAnsi="Arial"/>
                <w:sz w:val="15"/>
                <w:szCs w:val="15"/>
                <w:color w:val="auto"/>
              </w:rPr>
              <w:t>33.8 %</w:t>
            </w: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24,251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(8,047)</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w:t>
            </w:r>
          </w:p>
        </w:tc>
      </w:tr>
      <w:tr>
        <w:trPr>
          <w:trHeight w:val="20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39,752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37,689</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2,063</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5.5 %</w:t>
            </w:r>
          </w:p>
        </w:tc>
      </w:tr>
      <w:tr>
        <w:trPr>
          <w:trHeight w:val="196"/>
        </w:trPr>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Industrial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97,707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93,142</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4" w:name="page75"/>
    <w:bookmarkEnd w:id="74"/>
    <w:tbl>
      <w:tblPr>
        <w:tblLayout w:type="fixed"/>
        <w:tblInd w:w="90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5"/>
                <w:szCs w:val="15"/>
                <w:b w:val="1"/>
                <w:bCs w:val="1"/>
                <w:color w:val="auto"/>
              </w:rPr>
              <w:t>Consolidated gross profit</w:t>
            </w:r>
          </w:p>
        </w:tc>
        <w:tc>
          <w:tcPr>
            <w:tcW w:w="50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404,573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rPr>
              <w:t>363,137</w:t>
            </w: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41,436</w:t>
            </w: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11.4 %</w:t>
            </w:r>
          </w:p>
        </w:tc>
      </w:tr>
      <w:tr>
        <w:trPr>
          <w:trHeight w:val="350"/>
        </w:trPr>
        <w:tc>
          <w:tcPr>
            <w:tcW w:w="3520" w:type="dxa"/>
            <w:vAlign w:val="bottom"/>
          </w:tcPr>
          <w:p>
            <w:pPr>
              <w:ind w:left="20"/>
              <w:spacing w:after="0"/>
              <w:rPr>
                <w:sz w:val="20"/>
                <w:szCs w:val="20"/>
                <w:color w:val="auto"/>
              </w:rPr>
            </w:pPr>
            <w:r>
              <w:rPr>
                <w:rFonts w:ascii="Arial" w:cs="Arial" w:eastAsia="Arial" w:hAnsi="Arial"/>
                <w:sz w:val="15"/>
                <w:szCs w:val="15"/>
                <w:b w:val="1"/>
                <w:bCs w:val="1"/>
                <w:color w:val="auto"/>
              </w:rPr>
              <w:t>Gross Margin</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5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Branded Consumer</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left="324"/>
              <w:spacing w:after="0"/>
              <w:rPr>
                <w:sz w:val="20"/>
                <w:szCs w:val="20"/>
                <w:color w:val="auto"/>
              </w:rPr>
            </w:pPr>
            <w:r>
              <w:rPr>
                <w:rFonts w:ascii="Arial" w:cs="Arial" w:eastAsia="Arial" w:hAnsi="Arial"/>
                <w:sz w:val="15"/>
                <w:szCs w:val="15"/>
                <w:color w:val="auto"/>
              </w:rPr>
              <w:t>2.0%</w:t>
            </w:r>
          </w:p>
        </w:tc>
        <w:tc>
          <w:tcPr>
            <w:tcW w:w="720" w:type="dxa"/>
            <w:vAlign w:val="bottom"/>
            <w:shd w:val="clear" w:color="auto" w:fill="CCEEFF"/>
          </w:tcPr>
          <w:p>
            <w:pPr>
              <w:spacing w:after="0"/>
              <w:rPr>
                <w:sz w:val="17"/>
                <w:szCs w:val="17"/>
                <w:color w:val="auto"/>
              </w:rPr>
            </w:pPr>
          </w:p>
        </w:tc>
      </w:tr>
      <w:tr>
        <w:trPr>
          <w:trHeight w:val="201"/>
        </w:trPr>
        <w:tc>
          <w:tcPr>
            <w:tcW w:w="3520" w:type="dxa"/>
            <w:vAlign w:val="bottom"/>
          </w:tcPr>
          <w:p>
            <w:pPr>
              <w:ind w:left="240"/>
              <w:spacing w:after="0"/>
              <w:rPr>
                <w:sz w:val="20"/>
                <w:szCs w:val="20"/>
                <w:color w:val="auto"/>
              </w:rPr>
            </w:pPr>
            <w:r>
              <w:rPr>
                <w:rFonts w:ascii="Arial" w:cs="Arial" w:eastAsia="Arial" w:hAnsi="Arial"/>
                <w:sz w:val="15"/>
                <w:szCs w:val="15"/>
                <w:color w:val="auto"/>
              </w:rPr>
              <w:t>Industrial</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26.1 %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left="324"/>
              <w:spacing w:after="0"/>
              <w:rPr>
                <w:sz w:val="20"/>
                <w:szCs w:val="20"/>
                <w:color w:val="auto"/>
              </w:rPr>
            </w:pPr>
            <w:r>
              <w:rPr>
                <w:rFonts w:ascii="Arial" w:cs="Arial" w:eastAsia="Arial" w:hAnsi="Arial"/>
                <w:sz w:val="15"/>
                <w:szCs w:val="15"/>
                <w:color w:val="auto"/>
                <w:w w:val="99"/>
              </w:rPr>
              <w:t>(2.3)%</w:t>
            </w:r>
          </w:p>
        </w:tc>
        <w:tc>
          <w:tcPr>
            <w:tcW w:w="720" w:type="dxa"/>
            <w:vAlign w:val="bottom"/>
          </w:tcPr>
          <w:p>
            <w:pPr>
              <w:spacing w:after="0"/>
              <w:rPr>
                <w:sz w:val="17"/>
                <w:szCs w:val="17"/>
                <w:color w:val="auto"/>
              </w:rPr>
            </w:pPr>
          </w:p>
        </w:tc>
      </w:tr>
      <w:tr>
        <w:trPr>
          <w:trHeight w:val="204"/>
        </w:trPr>
        <w:tc>
          <w:tcPr>
            <w:tcW w:w="3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gross margin</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43.4 %</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43.4 %</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left="324"/>
              <w:spacing w:after="0"/>
              <w:rPr>
                <w:sz w:val="20"/>
                <w:szCs w:val="20"/>
                <w:color w:val="auto"/>
              </w:rPr>
            </w:pPr>
            <w:r>
              <w:rPr>
                <w:rFonts w:ascii="Arial" w:cs="Arial" w:eastAsia="Arial" w:hAnsi="Arial"/>
                <w:sz w:val="15"/>
                <w:szCs w:val="15"/>
                <w:color w:val="auto"/>
                <w:w w:val="98"/>
              </w:rPr>
              <w:t>—%</w:t>
            </w:r>
          </w:p>
        </w:tc>
        <w:tc>
          <w:tcPr>
            <w:tcW w:w="7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gross profit increased approximately $ 41.4 million during the six months ended June 30, 2025 compared to the corresponding period in 2024. We saw notable increases in gross profit at 5.11 ($6.8 million increase) and Lugano ($7.3 million increase) that correlates with the increase in net revenue in the first six months of 2025. The Honey Pot Co. had an $18.6 million increase in gross profit that was partially attributable to the timing of its acquisition on January 31, 2024 and therefore only five months of activity are included in the six months ended June 30, 2024, and partially attributable to the increase in net revenues during the period. Altor had a $10.5 million increase in gross profit that is attributable to the timing of its acquisition of Lifoam on October 1, 2024. We saw decreases in gross profit at Velocity ($3.8 million decrease, primarily as a result of the sale of Crosman) and Arnold ($8.0 million decrease) that corresponded to the decrease in net revenue noted above. Gross profit as a percentage of net revenues was approximately 43.4% in both the six months ended June 30, 2025 and the six months ended June 30, 2024. Our branded consumer businesses had gross profit as a percentage of net revenues of 55.0% in the six months ended June 30, 2025 as compared to 53.1% in the six months ended June 30, 2024, while our industrial businesses had gross profit as a percentage of net revenues of 26.1% in the six months ended June 30, 2025 as compared to 28.3% in the six months ended June 30, 2024. The decrease in gross profit as a percentage of net revenues at our industrial businesses was attributable to higher fixed overhead costs absorbed on a lower revenue base due to the decrease in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b w:val="1"/>
                <w:bCs w:val="1"/>
                <w:color w:val="auto"/>
              </w:rPr>
              <w:t>Six months ended</w:t>
            </w: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6"/>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4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60" w:type="dxa"/>
            <w:vAlign w:val="bottom"/>
          </w:tcPr>
          <w:p>
            <w:pPr>
              <w:spacing w:after="0"/>
              <w:rPr>
                <w:sz w:val="17"/>
                <w:szCs w:val="17"/>
                <w:color w:val="auto"/>
              </w:rPr>
            </w:pPr>
          </w:p>
        </w:tc>
      </w:tr>
      <w:tr>
        <w:trPr>
          <w:trHeight w:val="196"/>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general and administrative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312,489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275,305</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rPr>
              <w:t>37,184</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13.5 %</w:t>
            </w:r>
          </w:p>
        </w:tc>
      </w:tr>
    </w:tbl>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selling, general and administrative expense increased approximately $37.2 million during the six months ended June 30, 2025, compared to the corresponding period in 2024, driven primarily by increases at Corporate ($8.9 million increase), 5.11 ($7.3 million increase) due to by non-recurring payroll costs associated with restructuring, higher performance-based bonuses, and increased marketing investments to support sales growth, Lugano ($ 10.7 million increase) due to increases in marketing expenses as well as personnel costs and rent expense associated with the opening of its Chicago salon in the second quarter of 2025, The Honey Pot Co. ($3.2 million increase) due to increased marketing investments, and Altor ($8.0 million increase) due to the acquisition of Lifoam in the fourth quarter of 2024. The increase in selling, general and administrative expense was partially offset by a decrease in expense at Velocity after their disposition of the Crosman product line in the second quarter of 2024.</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corporate level, general and administrative expense was $17.8 million in the six months ended June 30, 2025 and $8.9 million in the six months ended June 30, 2024. The increase in corporate general and administrative expense in the first half of 2025 related to the ongoing costs of an investigation at our Lugano subsidiary. The Company incurred $8.4 million in the second quarter of 2025 related to the investigation at Lugano, which began in April 2025. The remainder of the increase in selling, general and administrative expense was due to increased legal and professional fees incurred during the first half of 2025. The Company will continue to incur significant costs related to the Lugano investigation during the remainder of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Six months ended</w:t>
            </w:r>
          </w:p>
        </w:tc>
        <w:tc>
          <w:tcPr>
            <w:tcW w:w="1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Management fees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37,898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36,681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1,217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Under the Management Services Agreement ("MSA"), we pay CGM (i) a base management fee equal to (a) 2% of the Company’s adjusted net assets when the adjusted net assets are less than or equal to $3.5 billion (the “Initial Threshold Fee”), (b) the Initial Threshold Fee plus 1.25% of the amount of adjusted net assets exceeding $ 3.5 billion when the adjusted net assets are more than $ 3.5 billion but less than $10 billion, or (c) 1.5% of the adjusted net assets when the adjusted net assets are $10 billion or more and (ii) an incentive management fee equal to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For the six months ended June 30, 2025, we incurred approximately $37.9 million in management fees as compared to $36.7 million in fees in the six months ended June 30, 2024.</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and (ii) limit the management fees that may be paid by the LLC’s subsidiaries to the Manager to no more than $2.0 million per fiscal quarter. For the quarter ended June 30, 2025, the total management fee incurred was $19.0 million, however, due to the restrictions imposed by the First Forbearance Agreement, the total amount paid to the Manager was $12.2 million.</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O - Related Party Transactions</w:t>
      </w:r>
      <w:r>
        <w:rPr>
          <w:rFonts w:ascii="Arial" w:cs="Arial" w:eastAsia="Arial" w:hAnsi="Arial"/>
          <w:sz w:val="18"/>
          <w:szCs w:val="18"/>
          <w:color w:val="auto"/>
        </w:rPr>
        <w:t>" in the "Notes to the Condensed Consolidated Financial Statements" for a description of the effect of the restatement on the Management Fees.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00" w:type="dxa"/>
            <w:vAlign w:val="bottom"/>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47,596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(1,128)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w:t>
            </w:r>
          </w:p>
        </w:tc>
      </w:tr>
    </w:tbl>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six months ended June 30, 2025 decreased $1.1 million as compared to the six months ended June 30, 2024 due to the reduction in expense associated with the sale of Crosman in the second quarter of 2024, the reduction in intangible assets at Lugano resulting from the restatement and certain intangibles at Sterno that were fully amortized in 2024, partially offset by the amortization expense associated with the intangibles that were recognized in conjunction with the purchase price allocation for Lifoam, the add-on acquisition that Altor completed in the fourth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6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31,515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23,333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285.2 %</w:t>
            </w:r>
          </w:p>
        </w:tc>
      </w:tr>
    </w:tbl>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preliminary findings of the Lugano Investigation, the Company determined that a triggering event had occurred in the second quarter of 2025 and tested the long-lived assets of Lugano for impairment. The impairment testing indicated that the fair value of the assets was less than the carrying value and the Company recorded impairment expense to write the long-lived assets down to fair value. The write down of the long-lived assets resulted in the Company recording impairment expense of $29.5 million related to property, plant and equipment and $1.9 million related to right-of-use assets in the quarter ended June 30, 2025. The right-of-use asset related to a retail salon in Toronto, Canada which had not yet opened. In the prior year, Velocity performed an impairment test of their goodwill as part of the annual impairment test at March 31, 2024. The impairment test resulted in Velocity recording impairment expense of $8.2 million in the quarter ended March 31,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Six months ended</w:t>
            </w: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69,947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54,863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15,084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27.5 %</w:t>
            </w:r>
          </w:p>
        </w:tc>
      </w:tr>
    </w:tbl>
    <w:p>
      <w:pPr>
        <w:spacing w:after="0" w:line="3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$69.9 million for the six months ended June 30, 2025 compared to $54.9 million for the comparable period in 2024, an increase of $15.1 million. In January 2025, we amended our credit facility to provide for an additional advance of the term loan in the aggregate amount of $200 million on the date of the amendment. The proceeds from the $200 million term loan advance were used to repay amounts outstanding under our revolving credit facility, and the excess amount after repaying the revolver was used for working capital needs at our subsidiaries and general corporate purposes. In the prior year, the cash proceeds from our sale of Marucci in November 2023 earned interest income during January 2024 before being used to pay for the acquisition of The Honey Pot Co. in January 2024. The result of these transactions was a higher amount outstanding under the credit facility in the first half of 2025 compared to the first half of 2024, although at lower effective interest rates year over year, and a higher amount of interest income earned in the first half of 2024 as compared to the first half of 2025. The interest expense also reflects an increase of $15.8 million in interest expense related to financing arrangements at our Lugano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debt modification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second quarter of 2025, the Company entered into a Forbearance Agreement and Second Amendment to the Credit Agreement. The amendment to the Credit Agreement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sale of Crosman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30, 2024, Velocity Outdoor sold Crosman Corporation ("Crosman"), its airgun product division. Velocity received net proceeds of approximately $ 58.5 million related to the sale of Crosman, which was used to repay amounts outstanding under the intercompany credit agreement. The Company recorded a loss on the sale of Crosman in the quarter ending June 30, 2024 of $24.6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Six months ended</w:t>
            </w: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Other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(88,084)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76,116</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w:t>
            </w:r>
          </w:p>
        </w:tc>
      </w:tr>
    </w:tbl>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2025, we recorded $ 12.0 million in other expense as compared to $88.1 million in other expense in the six months ended June 30, 2024, a decrease in expense of $76.1 million. Other income (expense) typically reflects the movement in foreign currency at our subsidiary businesses with international operations, gains or (losses) realized on the sale of property, plant and equipment, and expenses incurred or income earned that are not considered a part of our operations. The other expense in the six months ended June 30, 2024 primarily represents expense recognized at Lugano related to losses resulting from the accounting for the transactions associated with the off-balance sheet arrangements ($83.8 million in expense in the six months ended June 30, 2024). A significant portion of the expense associated with the Lugano financing arrangements was recognized in the historical restatement period (the years ending December 31, 2024, 2023 and 2022) which resulted in limited impact in the current year. In the six months ended June 30, 2024, the expense reflected a non-recurring loss on an equity method investment at Altor Solutions.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ind w:left="140"/>
              <w:spacing w:after="0"/>
              <w:rPr>
                <w:sz w:val="20"/>
                <w:szCs w:val="20"/>
                <w:color w:val="auto"/>
              </w:rPr>
            </w:pPr>
            <w:r>
              <w:rPr>
                <w:rFonts w:ascii="Arial" w:cs="Arial" w:eastAsia="Arial" w:hAnsi="Arial"/>
                <w:sz w:val="15"/>
                <w:szCs w:val="15"/>
                <w:b w:val="1"/>
                <w:bCs w:val="1"/>
                <w:color w:val="auto"/>
              </w:rPr>
              <w:t>(As Restated)</w:t>
            </w: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19,896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18,703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844"/>
              <w:spacing w:after="0"/>
              <w:rPr>
                <w:sz w:val="20"/>
                <w:szCs w:val="20"/>
                <w:color w:val="auto"/>
              </w:rPr>
            </w:pPr>
            <w:r>
              <w:rPr>
                <w:rFonts w:ascii="Arial" w:cs="Arial" w:eastAsia="Arial" w:hAnsi="Arial"/>
                <w:sz w:val="15"/>
                <w:szCs w:val="15"/>
                <w:color w:val="auto"/>
              </w:rPr>
              <w:t>1,193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6.4 %</w:t>
            </w:r>
          </w:p>
        </w:tc>
      </w:tr>
      <w:tr>
        <w:trPr>
          <w:trHeight w:val="256"/>
        </w:trPr>
        <w:tc>
          <w:tcPr>
            <w:tcW w:w="3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an income tax provision of $19.9 million during the six months ended June 30, 2025 compared to an income tax provision of $18.7 million during the same period in 2024, an increase of $1.2 million due to the increase in income from continuing operation before income taxes. Our effective tax rate in the six months ended June 30, 2025 was (18.0)%, compared to an effective income tax rate of (10.7)% during the same period in 2024.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in the six months ended June 30, 2025 was state income taxes and the limitations on the net operating loss carryforwards and utilization of tax credits at our subsidiaries, while in the prior year, the most significant impact on the effective tax rate was the impairment expense recognized at Velocity in the first quarter of 2024, the loss on the sale of Crosman in the second quarter of 2024 and the limitations on the net operating loss carryforwards and utilization of tax credits at our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Operating Segments - Year-to-Date</w:t>
      </w:r>
    </w:p>
    <w:p>
      <w:pPr>
        <w:spacing w:after="0" w:line="225" w:lineRule="exact"/>
        <w:rPr>
          <w:sz w:val="20"/>
          <w:szCs w:val="20"/>
          <w:color w:val="auto"/>
        </w:rPr>
      </w:pPr>
    </w:p>
    <w:p>
      <w:pPr>
        <w:ind w:right="4560"/>
        <w:spacing w:after="0" w:line="460" w:lineRule="auto"/>
        <w:rPr>
          <w:sz w:val="20"/>
          <w:szCs w:val="20"/>
          <w:color w:val="auto"/>
        </w:rPr>
      </w:pPr>
      <w:r>
        <w:rPr>
          <w:rFonts w:ascii="Arial" w:cs="Arial" w:eastAsia="Arial" w:hAnsi="Arial"/>
          <w:sz w:val="16"/>
          <w:szCs w:val="16"/>
          <w:b w:val="1"/>
          <w:bCs w:val="1"/>
          <w:color w:val="auto"/>
        </w:rPr>
        <w:t xml:space="preserve">Six </w:t>
      </w:r>
      <w:r>
        <w:rPr>
          <w:rFonts w:ascii="Arial" w:cs="Arial" w:eastAsia="Arial" w:hAnsi="Arial"/>
          <w:sz w:val="17"/>
          <w:szCs w:val="17"/>
          <w:b w:val="1"/>
          <w:bCs w:val="1"/>
          <w:color w:val="auto"/>
        </w:rPr>
        <w:t>months ended June 30, 2025 compared to six months ended June 30, 2024</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Branded Consumer Businesses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Six months ended</w:t>
            </w:r>
          </w:p>
        </w:tc>
        <w:tc>
          <w:tcPr>
            <w:tcW w:w="1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260,812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248,175</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12,637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5.1 %</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six months ended June 30, 2025 were $260.8 million as compared to net sales of $ 248.2 million for the six months ended June 30, 2024, an increase of $ 12.6 million, or 5.1%. The increase was primarily attributable to a $10.4 million increase in domestic wholesale sales, reflecting strong demand and the fulfillment of large contracts, and a $ 6.9 million increase in direct-to-consumer sales, driven by higher full-price sales of new products. These increases were partially offset by a $1.3 million decrease in international sales and a $2.1 million decrease in direct-to-agency sales, both primarily due to the timing of large contracts.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0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18,327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18,866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rPr>
              <w:t>(539)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62"/>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(0.6)%</w:t>
            </w:r>
          </w:p>
        </w:tc>
        <w:tc>
          <w:tcPr>
            <w:tcW w:w="74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six months ended June 30, 2025 was $18.3 million, a decrease of $0.5 million when compared to segment operating income of $18.9 million for the same period in 2024. The decrease in segment operating income was driven by higher net sales and comparable gross margin performance, offset by increased selling, general and administrative expenses, primarily driven by non-recurring payroll costs associated with restructuring, higher performance-based bonuses, and increased marketing investments to support sales growth. Segment operating margin was 7.0% in the six months ended June 30, 2025 and 7.6% in the six months ended June 30, 2024.</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BOA</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97,246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97,063</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183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0.2 %</w:t>
            </w:r>
          </w:p>
        </w:tc>
      </w:tr>
    </w:tbl>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June 30, 2025 were $97.2 million as compared to net sales of $97.1 million for the six months ended June 30, 2024, an increase of $0.2 million, or 0.2%. Sales increased across key industries including Cycling, Workwear, Helmets and Snow Sports, offset by reduced kids-based business in China. This continued momentum was primarily a result of market share gains in many of our key industries.</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40" w:type="dxa"/>
            <w:vAlign w:val="bottom"/>
          </w:tcPr>
          <w:p>
            <w:pPr>
              <w:jc w:val="center"/>
              <w:ind w:left="84"/>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27,701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26,126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1,575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162"/>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26.9 %</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1.6%</w:t>
            </w:r>
          </w:p>
        </w:tc>
        <w:tc>
          <w:tcPr>
            <w:tcW w:w="46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for the six months ended June 30, 2025 was $27.7 million, an increase of $1.6 million when compared to segment operating income of $26.1 million for the same period in 2024. The increase in segment operating income was driven by improved product margins due to product mix and manufacturing efficiencies. Segment operating margin was 28.5% in the six months ended June 30, 2025 and 26.9% in the six months ended June 30, 2024. The increase in operating margin in the current year was driven by improved gross profit margin.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6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53,616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22,818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30,798</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135.0 %</w:t>
            </w:r>
          </w:p>
        </w:tc>
      </w:tr>
    </w:tbl>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June 30, 2025 were $ 53.6 million an increase of approximately $30.8 million, or 122.6%, compared to net sales of $22.8 million in the six months ended June 30, 2024. In the current year, Lugano had stronger same store sales growth. Lugano opened its London, England salon in the second quarter of 2024 and expanded its presence in Europe through that salon in the current year, and opened a flagship retail store in Chicago in June 2025.</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ind w:left="120"/>
              <w:spacing w:after="0"/>
              <w:rPr>
                <w:sz w:val="20"/>
                <w:szCs w:val="20"/>
                <w:color w:val="auto"/>
              </w:rPr>
            </w:pPr>
            <w:r>
              <w:rPr>
                <w:rFonts w:ascii="Arial" w:cs="Arial" w:eastAsia="Arial" w:hAnsi="Arial"/>
                <w:sz w:val="15"/>
                <w:szCs w:val="15"/>
                <w:b w:val="1"/>
                <w:bCs w:val="1"/>
                <w:color w:val="auto"/>
              </w:rPr>
              <w:t>(As Restated)</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(60,441)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(30,467)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(29,974)</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98.4 %</w:t>
            </w:r>
          </w:p>
        </w:tc>
      </w:tr>
      <w:tr>
        <w:trPr>
          <w:trHeight w:val="162"/>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20.8%</w:t>
            </w:r>
          </w:p>
        </w:tc>
        <w:tc>
          <w:tcPr>
            <w:tcW w:w="76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increased during the six months ended June 30, 2025 to $60.4 million, as compared to $30.5 million in the corresponding period in 2024. In the current year, Lugano recorded $31.5 million in impairment expense related to long-lived assets and a right-of-use asset, resulting in the higher segment operating loss in the current year. Segment operating margin was (112.7)% in the six months ended June 30, 2025 as compared to (133.5)% in the six months ended June 30, 2024.</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PrimaLoft</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48,500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47,832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rPr>
              <w:t>668</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1.4 %</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six months ended June 30, 2025 were $ 48.5 million, an increase of $0.7 million as compared to net sales of $47.8 million for the six months ended June 30, 2024. The increase in net sales in the current period versus the six months ended June 30, 2024 is attributable to new programs with European and Asia brand partners resulting in an increase in sales for the first half of 2025 compared to the first half of 2024, offset by a pullback in orders from PrimaLoft's brand partners as they remain cautious due to the economic uncertainties from the evolving tariff policy in the United States.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40" w:type="dxa"/>
            <w:vAlign w:val="bottom"/>
          </w:tcPr>
          <w:p>
            <w:pPr>
              <w:jc w:val="center"/>
              <w:ind w:left="84"/>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9,048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8,799</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249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2.8 %</w:t>
            </w:r>
          </w:p>
        </w:tc>
      </w:tr>
      <w:tr>
        <w:trPr>
          <w:trHeight w:val="148"/>
        </w:trPr>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0.3%</w:t>
            </w:r>
          </w:p>
        </w:tc>
        <w:tc>
          <w:tcPr>
            <w:tcW w:w="46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for the six months ended June 30, 2025 was $9.0 million, an increase of $0.2 million when compared to segment operating income of $8.8 million for the same period in 2024, driven by the increase in net sales. Segment operating margin was 18.7% in the first six months of 2025 as compared to 18.4% in the first six months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results of operations, we provide comparative proforma results of operations for The Honey Pot Co. for the six months ended June 30, 2025 and June 30, 2024 as if we had acquired the business on January 1, 2024. The results of operations that follow include relevant proforma adjustments for the pre-acquisition period and explanations where applicable. The operating results for The Honey Pot Co. have been included in the consolidated results of operation from the date of acquisition on January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Proforma results of operations include the following proforma adjustments as if we had acquired The Honey Pot Co. on January 1, 2024:</w:t>
      </w:r>
    </w:p>
    <w:p>
      <w:pPr>
        <w:spacing w:after="0" w:line="115" w:lineRule="exact"/>
        <w:rPr>
          <w:sz w:val="20"/>
          <w:szCs w:val="20"/>
          <w:color w:val="auto"/>
        </w:rPr>
      </w:pPr>
    </w:p>
    <w:p>
      <w:pPr>
        <w:ind w:left="660" w:hanging="328"/>
        <w:spacing w:after="0" w:line="28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Incremental stock compensation expense of $0.3 million for the six months ended June 30, 2024. This amount is included in SG&amp;A and reduces segment operating income.</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expense associated with the intangible assets recorded in connection with the purchase price allocation for THP of $1.3 million for the six months ended June 30, 2024. This amount reduces segment operating income.</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fees that would have been payable to the Manager in the first quarter of 2024. THP pays a management fee of $1.0 million per year ($0.25 million per quarter). This amount reduces segment operating income.</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Six months ended</w:t>
            </w: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440" w:type="dxa"/>
            <w:vAlign w:val="bottom"/>
          </w:tcPr>
          <w:p>
            <w:pPr>
              <w:jc w:val="center"/>
              <w:ind w:right="144"/>
              <w:spacing w:after="0"/>
              <w:rPr>
                <w:sz w:val="20"/>
                <w:szCs w:val="20"/>
                <w:color w:val="auto"/>
              </w:rPr>
            </w:pPr>
            <w:r>
              <w:rPr>
                <w:rFonts w:ascii="Arial" w:cs="Arial" w:eastAsia="Arial" w:hAnsi="Arial"/>
                <w:sz w:val="15"/>
                <w:szCs w:val="15"/>
                <w:b w:val="1"/>
                <w:bCs w:val="1"/>
                <w:color w:val="auto"/>
              </w:rPr>
              <w:t>June 30, 2024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Pro forma</w:t>
            </w: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CCEEFF"/>
            </w:tcBorders>
          </w:tcPr>
          <w:p>
            <w:pPr>
              <w:spacing w:after="0"/>
              <w:rPr>
                <w:sz w:val="17"/>
                <w:szCs w:val="17"/>
                <w:color w:val="auto"/>
              </w:rPr>
            </w:pPr>
          </w:p>
        </w:tc>
      </w:tr>
      <w:tr>
        <w:trPr>
          <w:trHeight w:val="196"/>
        </w:trPr>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68,989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55,018</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13,971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25.4 %</w:t>
            </w: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June 30, 2025 were $69.0 million, an increase of $14.0 million or 25.4% from net sales of $55.0 million for the six months ended June 30, 2024. The increase in net sales is primarily due to strong volume growth due to market share gain in our Period Care product line, particularly in mass retail, drugstores and online. Overall, volume and share growth continues to be fueled by compelling innovation, targeted investments 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demand generation, and disciplined investments in capabilities to accelerate growth.</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Pro forma</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CCEEFF"/>
            </w:tcBorders>
          </w:tcPr>
          <w:p>
            <w:pPr>
              <w:spacing w:after="0"/>
              <w:rPr>
                <w:sz w:val="17"/>
                <w:szCs w:val="17"/>
                <w:color w:val="auto"/>
              </w:rPr>
            </w:pPr>
          </w:p>
        </w:tc>
        <w:tc>
          <w:tcPr>
            <w:tcW w:w="820" w:type="dxa"/>
            <w:vAlign w:val="bottom"/>
            <w:tcBorders>
              <w:top w:val="single" w:sz="8" w:color="auto"/>
              <w:bottom w:val="single" w:sz="8" w:color="CCEEFF"/>
            </w:tcBorders>
          </w:tcPr>
          <w:p>
            <w:pPr>
              <w:spacing w:after="0"/>
              <w:rPr>
                <w:sz w:val="17"/>
                <w:szCs w:val="17"/>
                <w:color w:val="auto"/>
              </w:rPr>
            </w:pPr>
          </w:p>
        </w:tc>
      </w:tr>
      <w:tr>
        <w:trPr>
          <w:trHeight w:val="19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8,540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(3,220)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11,760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(365.2)%</w:t>
            </w: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12.4 %</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18.2%</w:t>
            </w:r>
          </w:p>
        </w:tc>
        <w:tc>
          <w:tcPr>
            <w:tcW w:w="82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for the six months ended June 30, 2025 was $8.5 million, an increase of $ 11.8 million when compared to segment operating loss of $3.2 million for the same period in 2024. Segment operating income in the first six months of 2024 included certain non-recurring expenses related to the acquisition of The Honey Pot Co. in January 2024, including $3.8 million of inventory step-up amortization expense and $3.5 million in acquisition costs. Operating margin in the first six months of 2025 was 12.4% as compared to (5.9)% in the first six months of 2024, with the increase attributable to the increase in net sales and the non-recurring expenses incurred in the prior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30, 2024, Velocity Outdoor sold its Crosman airgun product division. The results of operations for the six months ended June 30, 2024 presented below include the results from the Crosman airgun product division through the date of sale.</w:t>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60" w:type="dxa"/>
            <w:vAlign w:val="bottom"/>
            <w:gridSpan w:val="2"/>
          </w:tcPr>
          <w:p>
            <w:pPr>
              <w:ind w:left="20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28,414</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48,610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(20,196)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r>
    </w:tbl>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six months ended June 30, 2025 were $28.4 million, a decrease of $20.2 million or (41.5)%, compared to net sales of $48.6 million in the same period in 2024. The decrease in net sales for the six months ended June 30, 2025 was driven by the divestiture of Crosman. The remaining product categories, which consist of the archery and hunting apparel product categories, increased 30.6% compared to the same period in 2024 due to increased archery sales through the Big Box retailers and dealer channels and improved retail and online sales of apparel.</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2120" w:type="dxa"/>
            <w:vAlign w:val="bottom"/>
            <w:gridSpan w:val="2"/>
          </w:tcPr>
          <w:p>
            <w:pPr>
              <w:jc w:val="center"/>
              <w:ind w:right="2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loss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(3,736)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(14,359)</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rPr>
              <w:t>10,623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w:t>
            </w: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16.4%</w:t>
            </w:r>
          </w:p>
        </w:tc>
        <w:tc>
          <w:tcPr>
            <w:tcW w:w="78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Segment operating loss for the six months ended June 30, 2025 was $ 3.7 million compared to segment operating loss of $14.4 million for the same period in 2024. The loss in the prior year was driven primarily by the goodwill impairment expense of $8.2 million recognized in the first quarter of 2024. Segment operating margin was (13.1)% in the first half of 2025 as compared to (29.5)% in the first half of 2024. Despite an improvement in gross margin in the first six months of 2025 as compared to the comparable period in 2024 attributable to the sale of the Crosman product line, the decrease in net sales led to a decrease in operating expense leverage, with selling, general and administrative expense as a percentage of net sales of 33.2% in the six months ended June 30, 2025 as compared to 28.9% in the six months ended June 30, 2024.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Businesses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Altor Solutions</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Six months ended</w:t>
            </w: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4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159,562</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105,617</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53,945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51.1 %</w:t>
            </w:r>
          </w:p>
        </w:tc>
      </w:tr>
    </w:tbl>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six months ended June 30, 2025 were $159.6 million, an increase of $53.9 million, or 51.1%, compared to net sales of $105.6 million in the six months ended June 30, 2024. The increase in net sales during the period was driven by the acquisition of Lifoam in October 2024. Lifoam contributed $72.3 million in net sales in the first six months of 2025. The increase in net sales attributable to Lifoam was offset by lower quarterly sales due to shifting market conditions of perishable and cold chain markets and supplier diversification initiatives on behalf of several of Altor's customers.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Six months ended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280" w:type="dxa"/>
            <w:vAlign w:val="bottom"/>
          </w:tcPr>
          <w:p>
            <w:pPr>
              <w:spacing w:after="0"/>
              <w:rPr>
                <w:sz w:val="17"/>
                <w:szCs w:val="17"/>
                <w:color w:val="auto"/>
              </w:rPr>
            </w:pPr>
          </w:p>
        </w:tc>
        <w:tc>
          <w:tcPr>
            <w:tcW w:w="1640" w:type="dxa"/>
            <w:vAlign w:val="bottom"/>
          </w:tcPr>
          <w:p>
            <w:pPr>
              <w:jc w:val="center"/>
              <w:ind w:left="84"/>
              <w:spacing w:after="0"/>
              <w:rPr>
                <w:sz w:val="20"/>
                <w:szCs w:val="20"/>
                <w:color w:val="auto"/>
              </w:rPr>
            </w:pPr>
            <w:r>
              <w:rPr>
                <w:rFonts w:ascii="Arial" w:cs="Arial" w:eastAsia="Arial" w:hAnsi="Arial"/>
                <w:sz w:val="15"/>
                <w:szCs w:val="15"/>
                <w:b w:val="1"/>
                <w:bCs w:val="1"/>
                <w:color w:val="auto"/>
              </w:rPr>
              <w:t>Increase (Decrease)</w:t>
            </w:r>
          </w:p>
        </w:tc>
        <w:tc>
          <w:tcPr>
            <w:tcW w:w="460" w:type="dxa"/>
            <w:vAlign w:val="bottom"/>
          </w:tcPr>
          <w:p>
            <w:pPr>
              <w:spacing w:after="0"/>
              <w:rPr>
                <w:sz w:val="17"/>
                <w:szCs w:val="17"/>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12,252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11,784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468</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r>
      <w:tr>
        <w:trPr>
          <w:trHeight w:val="162"/>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rPr>
              <w:t>(3.5)%</w:t>
            </w:r>
          </w:p>
        </w:tc>
        <w:tc>
          <w:tcPr>
            <w:tcW w:w="46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Segment operating income was $12.3 million in the six months ended June 30, 2025, an increase of $0.5 million as compared to the six months ended June 30, 2024. Segment operating margin was 7.7% in the first six months of 2025 as compared to 11.2% in the first six months of 2024, with the decrease driven by a reduction in fixed cost of goods sold coverage due to lower sales levels on the non-Lifoam portion of the business, increases in selling, general and administrative costs related to the acquisition and integration activities and increases in amortization expense related to the Lifoam acquisition. Gross profit as a percentage of net sales was 26.2% in the six months ended June 30, 2025 and 29.5% in the six months ended June 30, 2024, while selling, general and administrative expense as a percentage of net sales of 13.9% in the six months ended June 30, 2025 as compared to 13.5% in the six months ended June 30,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5"/>
                <w:szCs w:val="15"/>
                <w:b w:val="1"/>
                <w:bCs w:val="1"/>
                <w:color w:val="auto"/>
              </w:rPr>
              <w:t>Six months ended</w:t>
            </w:r>
          </w:p>
        </w:tc>
        <w:tc>
          <w:tcPr>
            <w:tcW w:w="1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60" w:type="dxa"/>
            <w:vAlign w:val="bottom"/>
            <w:gridSpan w:val="2"/>
          </w:tcPr>
          <w:p>
            <w:pPr>
              <w:ind w:left="20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72,440</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84,442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(12,002)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six months ended June 30, 2025 were approximately $72.4 million, a decrease of $12.0 million compared to net sales of $84.4 million in the same period in 2024. The decrease in net sales is primarily a result of lower demand in various markets and delays in production startup at new facilities.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b w:val="1"/>
                <w:bCs w:val="1"/>
                <w:color w:val="auto"/>
              </w:rPr>
              <w:t>Six months ended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6"/>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2120" w:type="dxa"/>
            <w:vAlign w:val="bottom"/>
            <w:gridSpan w:val="2"/>
          </w:tcPr>
          <w:p>
            <w:pPr>
              <w:ind w:left="180"/>
              <w:spacing w:after="0"/>
              <w:rPr>
                <w:sz w:val="20"/>
                <w:szCs w:val="20"/>
                <w:color w:val="auto"/>
              </w:rPr>
            </w:pPr>
            <w:r>
              <w:rPr>
                <w:rFonts w:ascii="Arial" w:cs="Arial" w:eastAsia="Arial" w:hAnsi="Arial"/>
                <w:sz w:val="15"/>
                <w:szCs w:val="15"/>
                <w:b w:val="1"/>
                <w:bCs w:val="1"/>
                <w:color w:val="auto"/>
              </w:rPr>
              <w:t>Increase (Decrease)</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 (loss)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(732)</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9,480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(10,212)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w:t>
            </w: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(12.2)%</w:t>
            </w:r>
          </w:p>
        </w:tc>
        <w:tc>
          <w:tcPr>
            <w:tcW w:w="800" w:type="dxa"/>
            <w:vAlign w:val="bottom"/>
            <w:shd w:val="clear" w:color="auto" w:fill="CCEEFF"/>
          </w:tcPr>
          <w:p>
            <w:pPr>
              <w:spacing w:after="0"/>
              <w:rPr>
                <w:sz w:val="17"/>
                <w:szCs w:val="17"/>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loss for the six months ended June 30, 2025 was approximately $ 0.7 million, a decrease of $10.2 million when compared to the same period in 2024. The decrease in segment operating income (loss) was driven by the sales shortfall, unfavorable product mix, executive transition costs and non-recurring move related expenses. Segment operating margin was (1.0)% in the first six months of 2025 as compared to 11.2% in the first six months of 2024.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Sterno</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Six months ended</w:t>
            </w:r>
          </w:p>
        </w:tc>
        <w:tc>
          <w:tcPr>
            <w:tcW w:w="1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2025</w:t>
            </w:r>
          </w:p>
        </w:tc>
        <w:tc>
          <w:tcPr>
            <w:tcW w:w="2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480" w:type="dxa"/>
            <w:vAlign w:val="bottom"/>
          </w:tcPr>
          <w:p>
            <w:pPr>
              <w:spacing w:after="0"/>
              <w:rPr>
                <w:sz w:val="17"/>
                <w:szCs w:val="17"/>
                <w:color w:val="auto"/>
              </w:rPr>
            </w:pPr>
          </w:p>
        </w:tc>
      </w:tr>
      <w:tr>
        <w:trPr>
          <w:trHeight w:val="196"/>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142,886</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138,627</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rPr>
              <w:t>4,259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six months ended June 30, 2025 were approximately $142.9 million, an increase of $ 4.3 million, or 3.1%, compared to net sales of $138.6 million in the same period in 2024. The net sales variance reflects increases in sales volume as well as price increases in certain product categories.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5"/>
                <w:szCs w:val="15"/>
                <w:b w:val="1"/>
                <w:bCs w:val="1"/>
                <w:color w:val="auto"/>
              </w:rPr>
              <w:t>Six months ended</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2025</w:t>
            </w:r>
          </w:p>
        </w:tc>
        <w:tc>
          <w:tcPr>
            <w:tcW w:w="22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2024</w:t>
            </w:r>
          </w:p>
        </w:tc>
        <w:tc>
          <w:tcPr>
            <w:tcW w:w="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Increase (Decrease)</w:t>
            </w:r>
          </w:p>
        </w:tc>
        <w:tc>
          <w:tcPr>
            <w:tcW w:w="520" w:type="dxa"/>
            <w:vAlign w:val="bottom"/>
          </w:tcPr>
          <w:p>
            <w:pPr>
              <w:spacing w:after="0"/>
              <w:rPr>
                <w:sz w:val="17"/>
                <w:szCs w:val="17"/>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Segment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17,469</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12,655</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rPr>
              <w:t>4,814</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38.0 %</w:t>
            </w: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Segment operating margin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12.2 %</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rPr>
              <w:t>3.1 %</w:t>
            </w:r>
          </w:p>
        </w:tc>
        <w:tc>
          <w:tcPr>
            <w:tcW w:w="52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for the six months ended June 30, 2025 was approximately $ 17.5 million, an increase of $4.8 million compared to the six months ended June 30, 2024, driven primarily by an increase in gross profit of $ 2.1 million and reduced amortization expense for intangibles that have been fully amortized (amortization expense decreased $3.0 million year over year). Segment operating margin was 12.2% in the first six months of 2025 as compared to 9.1% in the first six months of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2022 Credit Facility to fund our operating, investing and financing activities. Our principal uses of cash are operating expenses, payment of management fees, capital expenditures, working capital needs, debt service, dividends on the preferred shares of the Trust, and strategic growth initiatives, including potential acquisitions. In connection with the Lugano Investigation, we have incurred unanticipated costs for accounting, financing and legal fees in connection with the restatements, including those associated with our entry into forbearance agreements with respect to our credit agreement and indentures due to potential defaults or events of default thereunder. We expect to continue to incur costs, including financing and legal fees related to our financing arrangements and costs related to ongoing securities litigation resulting from the Lugano Investigation and the restatement of our previously issued financial statements.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9, 2025, the LLC entered into a First Incremental Facility Amendment to its existing Credit Agreement. The Amendment modifies the LLC’s Third Amended and Restated Credit Agreement, dated as of July 12, 2022, as amended, among the LLC, the Lenders, the Administrative Agent and the other financial institutions party thereto (the “Credit Agreement”), to provide for (a) an additional advance of the term loan in the aggregate amount of $200 million on the date of the Amendment, and (b) delayed draw term loan commitments in the aggregate amount of $100 million which may be reduced or terminated by the LLC upon five business days’ notice and pursuant to which the Company may make no more than two draws by July 9, 2025. The proceeds from the Incremental Term Loan and the Incremental Delayed Draw Term Loan were to be used for new acquisitions, working capital, capital expenditures and other general corporate purposes. The Company did not utilize the delayed draw feature and it expired on July 9, 2025.</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7, 2025, the Company disclosed in a Current Report on Form 8-K its intent to delay the filing of its Quarterly Report on Form 10-Q for the quarter ended March 31, 2025 and disclosed non-reliance on its 2024 financial statements as a result of concerns about financing, accounting, and inventory practices at it Lugano subsidiary and irregularities identified in sales, cost of sales, inventory, and accounts receivable recorded by Lugano. Concurrently, the Company also provided notice to Bank of America, N.A., (the "Administrative Agent") in its capacity as Administrative Agent for the Lenders, Swing Line Lender, and L/C Issuer under the 2022 Credit Facility advising of the existence of potential defaults or events of default resulting from the non-reliance on the 2024 financial statements and delayed filing of the March 31, 2025 Form 10-Q (the "Lugano Events of Default").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22, 2025, the LLC entered into a Forbearance Agreement and Second Amendment to Credit Agreement (refer to </w:t>
      </w:r>
      <w:r>
        <w:rPr>
          <w:rFonts w:ascii="Arial" w:cs="Arial" w:eastAsia="Arial" w:hAnsi="Arial"/>
          <w:sz w:val="18"/>
          <w:szCs w:val="18"/>
          <w:u w:val="single" w:color="auto"/>
          <w:color w:val="0000FF"/>
        </w:rPr>
        <w:t>Note H - Debt</w:t>
      </w:r>
      <w:r>
        <w:rPr>
          <w:rFonts w:ascii="Arial" w:cs="Arial" w:eastAsia="Arial" w:hAnsi="Arial"/>
          <w:sz w:val="18"/>
          <w:szCs w:val="18"/>
          <w:color w:val="auto"/>
        </w:rPr>
        <w:t>). Under the Forbearance Agreement and Second Amendment to Credit Agreement, the lenders under the 2022 Credit Facility will honor requests for credit extensions from the Company for revolving loans composed of term SOFR loans with an applicable rate of 2.50% per annum and an interest period of one month; provided, however, that such credit extensions shall not cause the lenders’ revolving credit exposures (inclusive of letters of credit obligations) to exceed $40 million.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the Forbearance Agreement and Second Amendment to Credit Agreement also amends the 2022 Credit Facility to, among other modifications: (i) reduce the aggregate borrowing amount available for revolving commitments to $100 million; (ii) limit the management fees that may be paid by the Company to Compass Group Management LLC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Company’s subsidiaries to Compass Group Management LLC to no more than $2.0 million per fiscal quarter; (iv) restrict investments by the Company into Lugano to no more than $5 million in the aggregate; (v) impose additional reporting requirements on the Company; (vi) prohibit certain acquisitions and dispositions; and (vii) require that cash-on hand in excess of $10 million as of the last business day of any week be paid by the Company to the Administrative Agent, for the account of the lenders, which payments would be applied to the outstanding revolving loans owing by the Company.</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May 27, 2025, the Company announced the suspension of future distributions on the common shares of the Trust until such time as the Company’s board of directors deems it appropriate to resume such distributions.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2025, we had $1,000.0 million of indebtedness associated with our 5.250% 2029 Notes, $300.0 million of indebtedness associated with our 5.000% 2032 Notes and $567.5 million outstanding on our 2022 Term Loan. Only our 2022 Term Loan has required principal payments. Long-term debt liquidity requirements consist of the payment in full of our Notes upon their respective maturity dates, amounts outstanding under our 2022 Revolving Credit Facility upon its maturity date, and principal payments under our 2022 Term Loan. The 2022 Term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8"/>
          <w:szCs w:val="18"/>
          <w:color w:val="auto"/>
        </w:rPr>
        <w:t>Loan requires quarterly payments commencing September 30, 2022, with a final payment of all remaining principal and interest due on July 12, 2027, which is the 2022 Term Loan’s maturity date. At June 30, 2025, approximately 30% of our outstanding debt was subject to interest rate changes.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2025, we had approximately $73.8 million of cash and cash equivalents on hand, an increase of $14.1 million as compared to the year ended December 31, 2024. The majority of our cash is in non-interest bearing checking accounts or invested in short-term money market accounts and is maintained in accordance with the Company’s investment policy, which identifies allowable investments and specifies credit quality standards. Net availability under the 2022 Revolving Credit Facility after giving effect to the Second Amendment and during the Forbearance Period at June 30, 2025 was $36.7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 in cash and cash equivalents for the six months ended June 30, 2025 and 2024 is as follows :</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60" w:type="dxa"/>
            <w:vAlign w:val="bottom"/>
            <w:tcBorders>
              <w:top w:val="single" w:sz="8" w:color="auto"/>
              <w:bottom w:val="single" w:sz="8" w:color="auto"/>
            </w:tcBorders>
          </w:tcPr>
          <w:p>
            <w:pPr>
              <w:spacing w:after="0"/>
              <w:rPr>
                <w:sz w:val="19"/>
                <w:szCs w:val="19"/>
                <w:color w:val="auto"/>
              </w:rPr>
            </w:pPr>
          </w:p>
        </w:tc>
      </w:tr>
      <w:tr>
        <w:trPr>
          <w:trHeight w:val="209"/>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2025</w:t>
            </w:r>
          </w:p>
        </w:tc>
        <w:tc>
          <w:tcPr>
            <w:tcW w:w="580" w:type="dxa"/>
            <w:vAlign w:val="bottom"/>
          </w:tcPr>
          <w:p>
            <w:pPr>
              <w:spacing w:after="0"/>
              <w:rPr>
                <w:sz w:val="18"/>
                <w:szCs w:val="18"/>
                <w:color w:val="auto"/>
              </w:rPr>
            </w:pPr>
          </w:p>
        </w:tc>
        <w:tc>
          <w:tcPr>
            <w:tcW w:w="1660" w:type="dxa"/>
            <w:vAlign w:val="bottom"/>
          </w:tcPr>
          <w:p>
            <w:pPr>
              <w:jc w:val="right"/>
              <w:ind w:right="519"/>
              <w:spacing w:after="0"/>
              <w:rPr>
                <w:sz w:val="20"/>
                <w:szCs w:val="20"/>
                <w:color w:val="auto"/>
              </w:rPr>
            </w:pPr>
            <w:r>
              <w:rPr>
                <w:rFonts w:ascii="Arial" w:cs="Arial" w:eastAsia="Arial" w:hAnsi="Arial"/>
                <w:sz w:val="16"/>
                <w:szCs w:val="16"/>
                <w:b w:val="1"/>
                <w:bCs w:val="1"/>
                <w:color w:val="auto"/>
                <w:w w:val="99"/>
              </w:rPr>
              <w:t>June 30, 2024</w:t>
            </w:r>
          </w:p>
        </w:tc>
      </w:tr>
      <w:tr>
        <w:trPr>
          <w:trHeight w:val="210"/>
        </w:trPr>
        <w:tc>
          <w:tcPr>
            <w:tcW w:w="5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(As Restated)</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(64,508)</w:t>
            </w:r>
          </w:p>
        </w:tc>
        <w:tc>
          <w:tcPr>
            <w:tcW w:w="2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(86,628)</w:t>
            </w:r>
          </w:p>
        </w:tc>
      </w:tr>
      <w:tr>
        <w:trPr>
          <w:trHeight w:val="217"/>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(336,074)</w:t>
            </w:r>
          </w:p>
        </w:tc>
      </w:tr>
      <w:tr>
        <w:trPr>
          <w:trHeight w:val="215"/>
        </w:trPr>
        <w:tc>
          <w:tcPr>
            <w:tcW w:w="540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98,378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41,611</w:t>
            </w:r>
          </w:p>
        </w:tc>
      </w:tr>
      <w:tr>
        <w:trPr>
          <w:trHeight w:val="216"/>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210"/>
        </w:trPr>
        <w:tc>
          <w:tcPr>
            <w:tcW w:w="54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14,098</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(382,108)</w:t>
            </w:r>
          </w:p>
        </w:tc>
      </w:tr>
      <w:tr>
        <w:trPr>
          <w:trHeight w:val="21"/>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its Quarterly Report on Form 10-Q for the fiscal quarter ended March 31, 2025, filed with the Securities and Exchange Commission on December 18, 2025, the Company disclosed that it was not in compliance with certain financial and other covenants under its 2022 Credit Facility, and that its forbearance agreement providing relief for such events of noncompliance was scheduled to expire on December 19, 2025. On December 19, 2025, the Company entered into the Fifth Amendment to its 2022 Credit Facility, which waived all existing events of default and reset certain financial covenants under the 2022 Credit Facility. Accordingly, as of the date of filing this Form 10-Q, the Company is in compliance with the non-financial covenants under its 2022 Credit Facility, as amended.</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2022 Credit Facility provides that the financial covenants thereunder will not be tested again until the Company’s preparation and filing of its consolidated financial statements for the fiscal year ended December 31, 2025, which the Company expects to occur on or before March 31, 2026. Because this Form 10-Q has been filed shortly after execution of the Fifth Amendment, management has had limited ability to forecast its expectations for compliance with the amended covenants over the twelve-month look-forward period specified in ASC 205-40 - Presentation of Financial Statements, Going Concern, and such forecasts are subject to uncertainty.</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Company were unable to comply with the amended financial covenants when they are next tested and is otherwise unable to obtain amendments, waivers, or other relief, the lenders under the 2022 Credit Facility, its lenders could elect to exercise available remedies, including but not limited to declaring borrowings due and payable, discontinuing further lending commitments, imposing cash-management controls, and instructing customers to remit payments directly to the administrative agent. If borrowings under the 2022 Credit Facility were accelerated and the acceleration were not rescinded, annulled, or otherwise cured within thirty (30) days after the notice of acceleration, the holders of the 5.250% Senior Notes due 2029 (the “2029 Notes” or “2029 Senior Notes”) and 5.000% Senior Notes due 2032 (the “2032 Notes” or “2032 Senior Notes”) would have the right to declare the notes due and payable as well.</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Fifth Amendment provides relief from existing events of default, it does not eliminate the risk that the Company may be unable to comply with the amended covenants when they are next tested, and any additional amendments, waivers or other relief that may be required are not fully within the Company’s control and therefore cannot be considered a probable mitigating plan for purposes of alleviating substantial doubt. Accordingly, management has concluded, applying the going-concern guidance under U.S. GAAP, that these conditions continue to raise substantial doubt about the Company’s ability to continue as a going concern within one year after the date the consolidated financial statements included in this Form 10-Q are issued.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5" w:name="page86"/>
    <w:bookmarkEnd w:id="85"/>
    <w:p>
      <w:pPr>
        <w:jc w:val="both"/>
        <w:spacing w:after="0" w:line="256" w:lineRule="auto"/>
        <w:rPr>
          <w:sz w:val="20"/>
          <w:szCs w:val="20"/>
          <w:color w:val="auto"/>
        </w:rPr>
      </w:pPr>
      <w:r>
        <w:rPr>
          <w:rFonts w:ascii="Arial" w:cs="Arial" w:eastAsia="Arial" w:hAnsi="Arial"/>
          <w:sz w:val="18"/>
          <w:szCs w:val="18"/>
          <w:color w:val="auto"/>
        </w:rPr>
        <w:t>The Company continues to pursue various operational and financial initiatives intended to strengthen liquidity and reduce leverage, including evaluating potential subsidiary divestitures, organic deleveraging actions, potential strategic transactions involving real estate, and actions to maximize recoveries in connection with Lugano’s Chapter 11 proceedings. If successfully executed, these plans (together with expected operating cash flow from the Company’s operating subsidiaries excluding Lugano) could enhance the Company’s ability to continue to operate and meet its obligations; however, because these initiatives are not committed or fully within management’s control, they have not been assumed in the Company’s going concern evaluation and may not be achieved on the timetable necessary to alleviate the substantial doubt described above.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assumes the Company will continue to realize its assets and satisfy its liabilities in the ordinary course of business. For additional information regarding the impact of the Company’s covenant noncompliance on the classification of the Company’s indebtedness, see “</w:t>
      </w:r>
      <w:r>
        <w:rPr>
          <w:rFonts w:ascii="Arial" w:cs="Arial" w:eastAsia="Arial" w:hAnsi="Arial"/>
          <w:sz w:val="18"/>
          <w:szCs w:val="18"/>
          <w:u w:val="single" w:color="auto"/>
          <w:color w:val="0000FF"/>
        </w:rPr>
        <w:t>Note H – Debt</w:t>
      </w:r>
      <w:r>
        <w:rPr>
          <w:rFonts w:ascii="Arial" w:cs="Arial" w:eastAsia="Arial" w:hAnsi="Arial"/>
          <w:sz w:val="18"/>
          <w:szCs w:val="18"/>
          <w:color w:val="auto"/>
        </w:rPr>
        <w:t>” in the “Notes to Condensed Consolidated Financial Statements” in this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2025, cash flows used in operating activities totaled approximately $64.5 million, which represents a $22.1 million decrease in cash use compared to cash used in operating activities of $ 86.6 million during the six-month period ended June 30, 2024. Cash used in operating activities for working capital for the six months ended June 30, 2025 was $50.8 million, as compared to cash used in operating activities for working capital of $10.9 million for the six months ended June 30, 2024. We typically have a higher usage of cash for working capital in the first half of the year as most of our subsidiaries will build up inventories after the fourth quarter of the prior year. In the prior year, our 5.11 business did not have a build up of inventory until the latter half of the second quarter of 2024 due to a delay in receipt of inventory as purchases of non-PFAS inventory had longer than expected lead times. The cash flows for working capital in the first half of 2025 reflect more normalized cash flow patterns.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used in investing activities for the six months ended June 30, 2025 totaled $22.2 million, compared to cash used in investing activities of $336.1 million in the same period of 2024. In the prior year, cash used in investing activities reflects our acquisition of The Honey Pot Co. in January 2024 and the proceeds of $58.5 million from the sale of the Crosman division of Velocity Outdoor, while investing activities in the current year is primarily capital expenditures. Capital expenditures spend increased $5.3 million during the six months ended June 30, 2025 as compared to the six months ended June 30, 2024, with $24.0 million in capital expenditures in 2025 and $18.7 million in capital expenditures in 2024. The increase in capital expenditures is primarily due to increased capital expenditures at Lugano related to their salon expansion, and Arnold, related to the relocation of two of their facilities in the United States. We expect capital expenditures for the full year of 2025 to be between approximately $50 million to $60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financing activities totaled approximately $98.4 million during the six months ended June 30, 2025 compared to cash flows provided by financing activities of $41.6 million during the six months ended June 30, 2024. Financing activities in the current year reflects $58.9 million in Trust preferred shares issued under our at-the-market share offering program while financing activities in the first six months of 2024 reflects $14.3 million in Trust common and preferred shares issued under our at-the-market share offering program. In the current year, we added an additional $200 million in outstanding term loan, a portion of which was used to repay amounts outstanding under our revolving credit facility, resulting in net borrowings of $90 million. In the prior year comparable period, we had net borrowings under the credit facility of $46 million. The prior year cash provided by financing activities also reflects the amount of equity investment made by noncontrolling shareholders related to the acquisition of The Honey Pot Co. ($41.7 million). Financing activities in both periods reflect the payment of our common and preferred share distributions, and prior period financing cash flows includes the payment of the profit allocation from the sale of Marucci to the Allocation Interest Holders of $48.9 million.</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Lugano business entered into various financing arrangements with third parties that resulted in debt being recorded. In the six months ended June 30, 2025 and 2024, the net cash flows provided by these financing arrangements totaled $18.7 million and $38.2 million,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Intercompany Debt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component of our acquisition financing strategy that we utilize in acquiring the subsidiary businesses we own and manage is to provide both equity capital and debt capital, raised at the parent level through our existing credit facility. Our strategy of providing intercompany debt financing within the capital structure of our subsidiaries allows us the ability to distribute cash to the parent company through monthly interest payments and amortization of the principal on these intercompany loans. Each loan to our subsidiary businesses has a scheduled maturity and each subsidiary business is entitled to repay all or a portion of the principal amount of the outstanding loans, without penalty, prior to maturity. Certain of our subsidiaries have paid down their respective intercompany debt balances through the cash flow generated by these subsidiaries and we have recapitalized, and expect to continue to recapitalize, these subsidiaries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will from time to time, amend the intercompany credit agreements to reflect changes in the business or funding needs of our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amendments have been made in the time period indicated: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made several amendments to the Lugano intercompany credit agreement to allow Lugano to continue to expand its operations and build inventory to support its salon expansion. Amendments were made to the Lugano intercompany credit agreement in the first quarter of 2025 and the first, second, third and fourth quarter of 2024.</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2024, we amended the PrimaLoft intercompany credit agreement to amend the fixed charge ratio and leverage ratio covenants contained within its intercompany credit agreement.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2024, we amended the Velocity intercompany credit agreement to reflect the sale of the Crosman division. The amendment revises the principal payments due under the credit facility and waives the fixed charge coverage covenant for the quarters ended June 30, 2024 and September 30, 2024.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2024, we amended the Arnold intercompany credit agreement to increase the amount of the term loan outstanding under the credit agreement. Arnold was in the process of relocating two of their product divisions to a new facility at the time of the amendment. Arnold incurred total expense of approximately $13.0 million in the year ended December 31, 2024, and an additional $0.9 million in costs in the first quarter of 2025 related to the relocation of the two facilities. Arnold exceeded the capital expenditure spend that was permitted under the amendment and was granted a waiver at December 31, 2024, March 31, 2025 and June 30, 2025.</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fourth quarter of 2024, we amended the Altor intercompany credit agreement to increase the amount of the term loan to finance the acquisition of Lifoam on October 1, 2024, and extended the term of the intercompany credit agreement by an additional three years.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2025, we amended the Velocity intercompany credit agreement to amend the applicable fixed charge coverage ratio covenant and the applicable Total Debt to EBITDA ratio covenant.</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subsidiaries were in compliance with the financial covenants included within their intercompany credit arrangements at June 30, 2025 except Lugano and Arnold. Arnold received a waiver for the fourth quarter of 2024, and the first and second quarter of 2025 related to the fixed charge ratio covenant in their intercompany credit agreement. As a result of the restatement of Lugano's historical financial information, Lugano was not in compliance with the covenants in its intercompany credit agreement with the Company at March 31, 2025. On June 6, 2025, the Company issued a Notice of Default to Lugano for failure to comply with the intercompany credit agreement (the Lugano Events of Default"). On August 29, 2025, the Company entered into a forbearance agreement with Lugano (the Lugano Forbearance Agreement"). In accordance with the Lugano Forbearance Agreement, as amended, the Company agreed to forbear from exercising its rights and remedies as a lender under the Lugano intercompany credit agreement due to the Lugano Events of Default. The Lugano Forbearance Agreement, as amended, was in effect until November 16, 2025 when Lugano filed for bankruptcy protection.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87" w:name="page88"/>
    <w:bookmarkEnd w:id="87"/>
    <w:p>
      <w:pPr>
        <w:jc w:val="both"/>
        <w:spacing w:after="0" w:line="287" w:lineRule="auto"/>
        <w:rPr>
          <w:sz w:val="20"/>
          <w:szCs w:val="20"/>
          <w:color w:val="auto"/>
        </w:rPr>
      </w:pPr>
      <w:r>
        <w:rPr>
          <w:rFonts w:ascii="Arial" w:cs="Arial" w:eastAsia="Arial" w:hAnsi="Arial"/>
          <w:sz w:val="18"/>
          <w:szCs w:val="18"/>
          <w:color w:val="auto"/>
        </w:rPr>
        <w:t>All intercompany loans eliminate in consolidation and are not reflected in the consolidated balance sheet. As of June 30, 2025, we had the following outstanding loans due from each of our subsidiary businesses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5" w:lineRule="exact"/>
        <w:rPr>
          <w:sz w:val="20"/>
          <w:szCs w:val="20"/>
          <w:color w:val="auto"/>
        </w:rPr>
      </w:pPr>
    </w:p>
    <w:tbl>
      <w:tblPr>
        <w:tblLayout w:type="fixed"/>
        <w:tblInd w:w="2920" w:type="dxa"/>
        <w:tblCellMar>
          <w:top w:w="0" w:type="dxa"/>
          <w:left w:w="0" w:type="dxa"/>
          <w:bottom w:w="0" w:type="dxa"/>
          <w:right w:w="0" w:type="dxa"/>
        </w:tblCellMar>
      </w:tblPr>
      <w:tr>
        <w:trPr>
          <w:trHeight w:val="229"/>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Subsidiary</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Intercompany loan</w:t>
            </w: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165,817</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148,821</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678,399</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150,969</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90,500</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65,725</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181,230</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87,465</w:t>
            </w:r>
          </w:p>
        </w:tc>
      </w:tr>
      <w:tr>
        <w:trPr>
          <w:trHeight w:val="21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66,713</w:t>
            </w:r>
          </w:p>
        </w:tc>
      </w:tr>
      <w:tr>
        <w:trPr>
          <w:trHeight w:val="209"/>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intercompany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1,635,639</w:t>
            </w:r>
          </w:p>
        </w:tc>
      </w:tr>
      <w:tr>
        <w:trPr>
          <w:trHeight w:val="21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(1,635,639)</w:t>
            </w: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subsidiaries. Accordingly, we are dependent upon the earnings of and cash flow from these businesses, which are available for (i) operating expenses; (ii) payment of principal and interest under our applicable credit facility and interest on our Senior Notes; (iii) payments to CGM due pursuant to the MSA and payments to Sostratus LLC pursuant to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Credit Facility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12, 2022, we entered into the Third Amended and Restated Credit Agreement (the "2022 Credit Facility"). The 2022 Credit Facility provides for revolving loans, swing line loans and letters of credit up to a maximum aggregate amount of $600 million (the "2022 Revolving Credit Facility") and also permits the LLC, prior to the applicable maturity date, to increase the revolving loan commitment and/or obtain term loans in an aggregate amount of up to $250 million, subject to certain restrictions and conditions. All amounts outstanding under the 2022 Revolving Credit Facility will become due on July 12, 2027, which is the maturity date of loans advanced under the 2022 Revolving Credit Facility. The 2022 Credit Facility also provided for a $400 million term loan (the “2022 Term Loan”). In January 2025, the Company entered into an amendment of the 2022 Credit Facility to provide for (a) an additional advance of the term loan in the aggregate amount of $200 million on the date of the amendment, and (b) delayed draw term loan commitments in the aggregate amount of $100 million, which may be reduced or terminated by the Company upon five business days’ notice and pursuant to which the Company may make no more than two draws by July 9, 2025. The initial $200 million draw was used to reduce the amount outstanding under the 2022 Revolving Credit Facility and for general corporate purposes. The 2022 Term Loan requires quarterly payments commencing September 30, 2022, with a final payment of all remaining principal and interest due on July 12, 2027, which is the 2022 Term Loan’s maturity date.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2025 the LLC indicated that it that it intended to delay the filing of its Quarterly Report on Form 10-Q for the first quarter of 2025 as a result of concerns about financing, accounting, and inventory practices at one of its subsidiaries, Lugano Holding, Inc. (“Lugano”), and irregularities identified in sales, cost of sales, inventory, and accounts receivable recorded by Lugano. The LLC also provided notice to the Administrative Agent advising of the existence of potential defaults and/or events of default in connection therewith (collectively, the “Lugano Events of Default”).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22, 2025, the LLC entered into a Forbearance Agreement and Second Amendment to Credit Agreement (the “Second Amendment”) to its Credit Agreement. The Second Amendment was by and among the LLC, the lenders party thereto, and the Administrative Agent. The Second Amendment provided that the Administrative Agent and the Lenders will refrain from exercising rights and remedies available to them with respect to the Lugano Events of Default until the earliest of: (a) 11:59 p.m. (Eastern Time) on July 25, 2025; (b) the occurrence of any event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default other than a Lugano Event of Default; (c) the breach by the LLC of any covenant or provision of the Second Amendment; (d) a declaration by any holders of the LLC’s 2029 Senior Unsecured Notes of any default or event of default under the Indenture dated as of March 23, 2021 between the LLC and U.S. Bank National Association, as Trustee; and (e) the declaration by the Trustee or any holder of the 2032 Senior Unsecured Notes of any default or event of default under the Indenture dated as of November 27, 2021 between the Borrower and U.S. Bank National Association, as Trustee (the “First Forbearance Period”).</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Forbearance Period, the Lenders under the Credit Agreement agreed to honor requests for credit extensions from the LLC for revolving loans composed of term SOFR loans with an applicable rate of 2.50% per annum and an interest period of one month; provided, however, that such credit extensions were not to cause the Lenders’ revolving credit exposures (inclusive of letters of credit obligations) to exceed $40 million. Lenders representing at least 50% of the total credit exposure of all Lenders under the Credit Agreement were able, in their discretion, to approve additional revolving borrowings by the LLC in an amount not to exceed an aggregate of $10 million. The funds provided were able to be used by the LLC for working capital, capital expenditures, general corporate purposes, and any other purpose of the LLC not otherwise prohibited under the Credit Agreement.</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forbearance of the lenders described above, the First Forbearance Agreement also amended the Credit Agreement to, among other modifications: (i) reduce the aggregate borrowing amount available for revolving commitments to $100 million; (ii)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(iii) limit the management fees that may be paid by the LLC’s subsidiaries to the Manager to no more than $2.0 million per fiscal quarter; (iv) restrict investments by the LLC into Lugano to no more than $5 million in the aggregate; (v) impose additional reporting requirements on the LLC; (vi) prohibit certain acquisitions and dispositions; and (vii) require that cash-on hand in excess of $10 million as of the last business day of any week be paid by the LLC to the Administrative Agent, for the account of the lenders, which payments would be applied to the outstanding revolving loans owing by the LLC and (ix) terminate the commitment of the Lenders to advance Incremental Delayed Draw Term Loans. On May 22, 2025, the Manager delivered to the Company a waiver agreeing to the management fee limitations described above.</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availability under the 2022 Revolving Credit Facility after giving effect to the First Forbearance Agreement and during the First Forbearance Period was approximately $ 36.7 million at June 30, 2025. The outstanding borrowings under the 2022 Revolving Credit Facility include $3.3 million of outstanding letters of credit at June 30, 2025, which are not reflected on our balance sheet.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2022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Notes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offered pursuant to a private offering to qualified institutional buyers in accordance with Rule 144A under the Securities Act of 1933 (the "Securities Act"), and to non-U.S. persons under Regulation S under the Securities Act. The 2032 Notes were issued pursuant to an indenture, dated as of November 17, 2021 (the “2032 Notes Indenture”), between the LLC and U.S. Bank National Association, as trustee. The 2032 Notes bear interest at the rate of 5.000% per annum and will mature on January 15, 2032. Interest on the 2032 Notes is payable in cash on July 15th and January 15th of each year. The 2032 Notes are general unsecured obligations of the LLC and are not guaranteed by our subsidiaries.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2032 Senior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offered pursuant to a private offering to qualified institutional buyers in accordance with Rule 144A under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Securities Act, and to non-U.S. persons under Regulation S under the Securities Act. The 2029 Notes were issued pursuant to an indenture, dated as of March 23, 2021 (the “2029 Notes Indenture”), between the LLC and U.S. Bank National Association, as trustee. The 2029 Notes bear interest at the rate of 5.250% per annum and will mature on April 15, 2029. Interest on the 2029 Notes is payable in cash 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9" w:name="page90"/>
    <w:bookmarkEnd w:id="89"/>
    <w:p>
      <w:pPr>
        <w:jc w:val="both"/>
        <w:spacing w:after="0" w:line="287" w:lineRule="auto"/>
        <w:rPr>
          <w:sz w:val="20"/>
          <w:szCs w:val="20"/>
          <w:color w:val="auto"/>
        </w:rPr>
      </w:pPr>
      <w:r>
        <w:rPr>
          <w:rFonts w:ascii="Arial" w:cs="Arial" w:eastAsia="Arial" w:hAnsi="Arial"/>
          <w:sz w:val="18"/>
          <w:szCs w:val="18"/>
          <w:color w:val="auto"/>
        </w:rPr>
        <w:t>April 15th and October 15th of each year. The 2029 Notes are general unsecured obligations of the LLC and are not guaranteed by our subsidiaries.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0000FF"/>
        </w:rPr>
        <w:t>Note Q – Subsequent Events</w:t>
      </w:r>
      <w:r>
        <w:rPr>
          <w:rFonts w:ascii="Arial" w:cs="Arial" w:eastAsia="Arial" w:hAnsi="Arial"/>
          <w:sz w:val="18"/>
          <w:szCs w:val="18"/>
          <w:color w:val="auto"/>
        </w:rPr>
        <w:t>” in the "Notes to the Condensed Consolidated Financial Statements" in this Form 10-Q for additional information concerning the 2029 Senior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our 2022 Credit Facility are subject to certain conditions and customary events of default, including, without limitation, failure to make payments, cross-default to certain other debt, breaches of covenants, breaches of representations and warranties, a change in control, certain monetary judgments, and bankruptcy and ERISA events. Upon any such event of default, the principal amount of any unpaid loans and all other obligations under the 2022 Credit Facility may be declared immediately due and payable and any letters of credit then outstanding may be required to be cash collateralized, and the Agent and the Lenders may exercise any rights or remedies available to them under the 2022 Credit Facility.</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not in compliance with the financial covenants in the 2022 Credit Facility as of the year ended December 31, 2024, and had not received forbearance or other relief from its lenders as of that date. The Company entered into the First Forbearance Agreement on May 22, 2025, which waived an event of default related to the Company's failure to comply with the financial covenants in the 2022 Credit Facility as of June 30, 2025. However, the Company would have been in violation of the financial covenants in the 2022 Credit Facility without the relief granted by the First Forbearance Agreement. Accordingly, the Company has classified outstanding borrowings under the 2022 Term Loan and 2022 Revolving Credit facility as current at June 30, 2025 and December 31, 2024 in the Consolidated Financial Statements. Furthermore, because the 2029 Notes and 2032 Notes may have been subject to acceleration had the lenders under the 2022 Credit Facility exercised their acceleration rights, the 2029 Notes and 2032 Notes have also been classified as current at June 30, 2025 and December 31, 2024 in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040" w:type="dxa"/>
            <w:vAlign w:val="bottom"/>
            <w:tcBorders>
              <w:top w:val="single" w:sz="8" w:color="auto"/>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top w:val="single" w:sz="8" w:color="auto"/>
              <w:bottom w:val="single" w:sz="8" w:color="auto"/>
            </w:tcBorders>
          </w:tcPr>
          <w:p>
            <w:pPr>
              <w:spacing w:after="0"/>
              <w:rPr>
                <w:sz w:val="19"/>
                <w:szCs w:val="19"/>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credit facilities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17,094</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Interest on Senior Notes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33,750</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fee on Revolving Credit Facility</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r>
      <w:tr>
        <w:trPr>
          <w:trHeight w:val="216"/>
        </w:trPr>
        <w:tc>
          <w:tcPr>
            <w:tcW w:w="5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interest expense </w:t>
            </w:r>
            <w:r>
              <w:rPr>
                <w:rFonts w:ascii="Arial" w:cs="Arial" w:eastAsia="Arial" w:hAnsi="Arial"/>
                <w:sz w:val="21"/>
                <w:szCs w:val="21"/>
                <w:b w:val="1"/>
                <w:bCs w:val="1"/>
                <w:color w:val="auto"/>
                <w:vertAlign w:val="superscript"/>
              </w:rPr>
              <w:t>(1)</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16,075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4,863</w:t>
            </w: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10"/>
        </w:trPr>
        <w:tc>
          <w:tcPr>
            <w:tcW w:w="538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69,947</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54,863</w:t>
            </w: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interest expense includes interest amounts related to Lugano financing arrangements.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debt at June 30, 2025 and December 31, 2024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3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5"/>
                <w:szCs w:val="15"/>
                <w:b w:val="1"/>
                <w:bCs w:val="1"/>
                <w:color w:val="auto"/>
              </w:rPr>
              <w:t>June 30, 2025</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2024</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Effective Interest Rate</w:t>
            </w:r>
          </w:p>
        </w:tc>
        <w:tc>
          <w:tcPr>
            <w:tcW w:w="220" w:type="dxa"/>
            <w:vAlign w:val="bottom"/>
          </w:tcPr>
          <w:p>
            <w:pPr>
              <w:spacing w:after="0"/>
              <w:rPr>
                <w:sz w:val="16"/>
                <w:szCs w:val="16"/>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Interest Rate</w:t>
            </w:r>
          </w:p>
        </w:tc>
        <w:tc>
          <w:tcPr>
            <w:tcW w:w="40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2032</w:t>
            </w:r>
          </w:p>
        </w:tc>
        <w:tc>
          <w:tcPr>
            <w:tcW w:w="3920" w:type="dxa"/>
            <w:vAlign w:val="bottom"/>
          </w:tcPr>
          <w:p>
            <w:pPr>
              <w:ind w:left="40"/>
              <w:spacing w:after="0"/>
              <w:rPr>
                <w:sz w:val="20"/>
                <w:szCs w:val="20"/>
                <w:color w:val="auto"/>
              </w:rPr>
            </w:pPr>
            <w:r>
              <w:rPr>
                <w:rFonts w:ascii="Arial" w:cs="Arial" w:eastAsia="Arial" w:hAnsi="Arial"/>
                <w:sz w:val="16"/>
                <w:szCs w:val="16"/>
                <w:color w:val="auto"/>
              </w:rPr>
              <w:t>Senior Notes</w:t>
            </w:r>
          </w:p>
        </w:tc>
        <w:tc>
          <w:tcPr>
            <w:tcW w:w="2000" w:type="dxa"/>
            <w:vAlign w:val="bottom"/>
          </w:tcPr>
          <w:p>
            <w:pPr>
              <w:jc w:val="center"/>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215"/>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3920" w:type="dxa"/>
            <w:vAlign w:val="bottom"/>
          </w:tcPr>
          <w:p>
            <w:pPr>
              <w:ind w:left="4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w:t>
            </w:r>
          </w:p>
        </w:tc>
        <w:tc>
          <w:tcPr>
            <w:tcW w:w="0" w:type="dxa"/>
            <w:vAlign w:val="bottom"/>
          </w:tcPr>
          <w:p>
            <w:pPr>
              <w:spacing w:after="0"/>
              <w:rPr>
                <w:sz w:val="1"/>
                <w:szCs w:val="1"/>
                <w:color w:val="auto"/>
              </w:rPr>
            </w:pPr>
          </w:p>
        </w:tc>
      </w:tr>
      <w:tr>
        <w:trPr>
          <w:trHeight w:val="210"/>
        </w:trPr>
        <w:tc>
          <w:tcPr>
            <w:tcW w:w="4320" w:type="dxa"/>
            <w:vAlign w:val="bottom"/>
            <w:gridSpan w:val="2"/>
          </w:tcPr>
          <w:p>
            <w:pPr>
              <w:ind w:left="360"/>
              <w:spacing w:after="0"/>
              <w:rPr>
                <w:sz w:val="20"/>
                <w:szCs w:val="20"/>
                <w:color w:val="auto"/>
              </w:rPr>
            </w:pPr>
            <w:r>
              <w:rPr>
                <w:rFonts w:ascii="Arial" w:cs="Arial" w:eastAsia="Arial" w:hAnsi="Arial"/>
                <w:sz w:val="16"/>
                <w:szCs w:val="16"/>
                <w:color w:val="auto"/>
              </w:rPr>
              <w:t>Total debt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1,857,036</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1,774,290</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0" w:type="dxa"/>
            <w:vAlign w:val="bottom"/>
            <w:vMerge w:val="restart"/>
          </w:tcPr>
          <w:p>
            <w:pPr>
              <w:jc w:val="right"/>
              <w:ind w:right="52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1"/>
        </w:trPr>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0" w:type="dxa"/>
            <w:vAlign w:val="bottom"/>
            <w:tcBorders>
              <w:bottom w:val="single" w:sz="8" w:color="9A9A9A"/>
            </w:tcBorders>
          </w:tcPr>
          <w:p>
            <w:pPr>
              <w:spacing w:after="0"/>
              <w:rPr>
                <w:sz w:val="13"/>
                <w:szCs w:val="13"/>
                <w:color w:val="auto"/>
              </w:rPr>
            </w:pPr>
          </w:p>
        </w:tc>
        <w:tc>
          <w:tcPr>
            <w:tcW w:w="39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included information to reconcile non-GAAP financial measures for the periods presented to the most directly comparable GAAP financial measure. We use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 The presentation of these non-GAAP financial measures supplements other metrics we use to internally evaluate our subsidiary businesses and facilitate the comparison of past and present operations. These measures are not intended to replace the presentation of financial results in accordance with U.S. GAAP, and may be different from or otherwise inconsistent with non-GAAP financial measures used by other companies.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reconcile the most directly comparable GAAP financial measures to Adjusted earnings before Interest, Income Taxes, Depreciation and Amortization ("Adjusted EBITDA") and Adjusted Earnings.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 EBITDA is calculated as net income (loss) from continuing operations before interest expense,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depreciation expense and amortization expense. Amortization expenses consist of amortization of intangibles, amortization of inventory step-up associated with purchase price allocations of our acquisitions,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(iii) impairment charges, which reflect write downs to goodwill or other intangible assets;</w:t>
      </w:r>
    </w:p>
    <w:p>
      <w:pPr>
        <w:spacing w:after="0" w:line="3" w:lineRule="exact"/>
        <w:rPr>
          <w:sz w:val="20"/>
          <w:szCs w:val="20"/>
          <w:color w:val="auto"/>
        </w:rPr>
      </w:pPr>
    </w:p>
    <w:p>
      <w:pPr>
        <w:jc w:val="both"/>
        <w:ind w:firstLine="8"/>
        <w:spacing w:after="0" w:line="258" w:lineRule="auto"/>
        <w:tabs>
          <w:tab w:leader="none" w:pos="3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and adjusted to exclude the impact of certain costs, expenses, gains and 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1" w:name="page92"/>
    <w:bookmarkEnd w:id="91"/>
    <w:p>
      <w:pPr>
        <w:jc w:val="both"/>
        <w:spacing w:after="0" w:line="268" w:lineRule="auto"/>
        <w:rPr>
          <w:sz w:val="20"/>
          <w:szCs w:val="20"/>
          <w:color w:val="auto"/>
        </w:rPr>
      </w:pPr>
      <w:r>
        <w:rPr>
          <w:rFonts w:ascii="Arial" w:cs="Arial" w:eastAsia="Arial" w:hAnsi="Arial"/>
          <w:sz w:val="18"/>
          <w:szCs w:val="18"/>
          <w:color w:val="auto"/>
        </w:rPr>
        <w:t>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Net income (loss) from continuing operations to Adjusted EBITDA</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tables reconcile </w:t>
      </w:r>
      <w:r>
        <w:rPr>
          <w:rFonts w:ascii="Arial" w:cs="Arial" w:eastAsia="Arial" w:hAnsi="Arial"/>
          <w:sz w:val="18"/>
          <w:szCs w:val="18"/>
          <w:i w:val="1"/>
          <w:iCs w:val="1"/>
          <w:color w:val="auto"/>
        </w:rPr>
        <w:t>Adj</w:t>
      </w:r>
      <w:r>
        <w:rPr>
          <w:rFonts w:ascii="Arial" w:cs="Arial" w:eastAsia="Arial" w:hAnsi="Arial"/>
          <w:sz w:val="18"/>
          <w:szCs w:val="18"/>
          <w:color w:val="auto"/>
        </w:rPr>
        <w:t>u</w:t>
      </w:r>
      <w:r>
        <w:rPr>
          <w:rFonts w:ascii="Arial" w:cs="Arial" w:eastAsia="Arial" w:hAnsi="Arial"/>
          <w:sz w:val="18"/>
          <w:szCs w:val="18"/>
          <w:i w:val="1"/>
          <w:iCs w:val="1"/>
          <w:color w:val="auto"/>
        </w:rPr>
        <w:t>sted EBITDA</w:t>
      </w:r>
      <w:r>
        <w:rPr>
          <w:rFonts w:ascii="Arial" w:cs="Arial" w:eastAsia="Arial" w:hAnsi="Arial"/>
          <w:sz w:val="18"/>
          <w:szCs w:val="18"/>
          <w:color w:val="auto"/>
        </w:rPr>
        <w:t xml:space="preserve">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2" w:name="page93"/>
    <w:bookmarkEnd w:id="92"/>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989330</wp:posOffset>
            </wp:positionV>
            <wp:extent cx="64719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jc w:val="center"/>
        <w:ind w:right="7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Six months ended June 30,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6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BOA</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Lugano</w:t>
            </w:r>
          </w:p>
        </w:tc>
        <w:tc>
          <w:tcPr>
            <w:tcW w:w="8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THP</w:t>
            </w:r>
          </w:p>
        </w:tc>
        <w:tc>
          <w:tcPr>
            <w:tcW w:w="78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Arnold</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Sterno</w:t>
            </w:r>
          </w:p>
        </w:tc>
        <w:tc>
          <w:tcPr>
            <w:tcW w:w="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2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Net income (loss) from</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(28,023)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17,257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(120,442)</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2,589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(6,731)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1,206</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(14,941)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9,966</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(130,531)</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20" w:type="dxa"/>
            <w:vAlign w:val="bottom"/>
          </w:tcPr>
          <w:p>
            <w:pPr>
              <w:spacing w:after="0"/>
              <w:rPr>
                <w:sz w:val="20"/>
                <w:szCs w:val="20"/>
                <w:color w:val="auto"/>
              </w:rPr>
            </w:pPr>
            <w:r>
              <w:rPr>
                <w:rFonts w:ascii="Arial" w:cs="Arial" w:eastAsia="Arial" w:hAnsi="Arial"/>
                <w:sz w:val="14"/>
                <w:szCs w:val="14"/>
                <w:color w:val="auto"/>
              </w:rPr>
              <w:t>Adjusted for:</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Provision (benefit) for</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770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9,815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3,198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19,896</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2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53,926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15,762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69,947</w:t>
            </w: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Intercompany</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(80,936)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31,805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5,024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9,553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4,470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00"/>
              <w:spacing w:after="0" w:line="149" w:lineRule="exact"/>
              <w:rPr>
                <w:sz w:val="20"/>
                <w:szCs w:val="20"/>
                <w:color w:val="auto"/>
              </w:rPr>
            </w:pPr>
            <w:r>
              <w:rPr>
                <w:rFonts w:ascii="Arial" w:cs="Arial" w:eastAsia="Arial" w:hAnsi="Arial"/>
                <w:sz w:val="14"/>
                <w:szCs w:val="14"/>
                <w:color w:val="auto"/>
              </w:rPr>
              <w:t>Loss on debt</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2,827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color w:val="auto"/>
              </w:rPr>
              <w:t>modification</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10,496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8,319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13,115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6,986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71,927</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20"/>
                <w:szCs w:val="20"/>
                <w:color w:val="auto"/>
              </w:rPr>
            </w:pPr>
            <w:r>
              <w:rPr>
                <w:rFonts w:ascii="Arial" w:cs="Arial" w:eastAsia="Arial" w:hAnsi="Arial"/>
                <w:sz w:val="14"/>
                <w:szCs w:val="14"/>
                <w:b w:val="1"/>
                <w:bCs w:val="1"/>
                <w:i w:val="1"/>
                <w:iCs w:val="1"/>
                <w:color w:val="auto"/>
              </w:rPr>
              <w:t>EBITDA</w:t>
            </w:r>
          </w:p>
        </w:tc>
        <w:tc>
          <w:tcPr>
            <w:tcW w:w="700" w:type="dxa"/>
            <w:vAlign w:val="bottom"/>
          </w:tcPr>
          <w:p>
            <w:pPr>
              <w:jc w:val="right"/>
              <w:spacing w:after="0"/>
              <w:rPr>
                <w:sz w:val="20"/>
                <w:szCs w:val="20"/>
                <w:color w:val="auto"/>
              </w:rPr>
            </w:pPr>
            <w:r>
              <w:rPr>
                <w:rFonts w:ascii="Arial" w:cs="Arial" w:eastAsia="Arial" w:hAnsi="Arial"/>
                <w:sz w:val="14"/>
                <w:szCs w:val="14"/>
                <w:color w:val="auto"/>
              </w:rPr>
              <w:t>(52,238)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29,618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37,694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(70,062)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16,695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24,516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4,485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24,620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34,066</w:t>
            </w: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11,729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11,968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200"/>
              <w:spacing w:after="0" w:line="139" w:lineRule="exact"/>
              <w:rPr>
                <w:sz w:val="20"/>
                <w:szCs w:val="20"/>
                <w:color w:val="auto"/>
              </w:rPr>
            </w:pPr>
            <w:r>
              <w:rPr>
                <w:rFonts w:ascii="Arial" w:cs="Arial" w:eastAsia="Arial" w:hAnsi="Arial"/>
                <w:sz w:val="14"/>
                <w:szCs w:val="14"/>
                <w:color w:val="auto"/>
              </w:rPr>
              <w:t>shareholder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2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2,714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1,542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31,515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31,515</w:t>
            </w:r>
          </w:p>
        </w:tc>
        <w:tc>
          <w:tcPr>
            <w:tcW w:w="0" w:type="dxa"/>
            <w:vAlign w:val="bottom"/>
          </w:tcPr>
          <w:p>
            <w:pPr>
              <w:spacing w:after="0"/>
              <w:rPr>
                <w:sz w:val="1"/>
                <w:szCs w:val="1"/>
                <w:color w:val="auto"/>
              </w:rPr>
            </w:pPr>
          </w:p>
        </w:tc>
      </w:tr>
      <w:tr>
        <w:trPr>
          <w:trHeight w:val="149"/>
        </w:trPr>
        <w:tc>
          <w:tcPr>
            <w:tcW w:w="1620" w:type="dxa"/>
            <w:vAlign w:val="bottom"/>
          </w:tcPr>
          <w:p>
            <w:pPr>
              <w:ind w:left="200"/>
              <w:spacing w:after="0" w:line="149" w:lineRule="exact"/>
              <w:rPr>
                <w:sz w:val="20"/>
                <w:szCs w:val="20"/>
                <w:color w:val="auto"/>
              </w:rPr>
            </w:pPr>
            <w:r>
              <w:rPr>
                <w:rFonts w:ascii="Arial" w:cs="Arial" w:eastAsia="Arial" w:hAnsi="Arial"/>
                <w:sz w:val="14"/>
                <w:szCs w:val="14"/>
                <w:color w:val="auto"/>
              </w:rPr>
              <w:t>Integration services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color w:val="auto"/>
              </w:rPr>
              <w:t>fee</w:t>
            </w: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b w:val="1"/>
                <w:bCs w:val="1"/>
                <w:color w:val="auto"/>
                <w:vertAlign w:val="superscript"/>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5,427</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20"/>
                <w:szCs w:val="20"/>
                <w:color w:val="auto"/>
              </w:rPr>
            </w:pPr>
            <w:r>
              <w:rPr>
                <w:rFonts w:ascii="Arial" w:cs="Arial" w:eastAsia="Arial" w:hAnsi="Arial"/>
                <w:sz w:val="14"/>
                <w:szCs w:val="14"/>
                <w:b w:val="1"/>
                <w:bCs w:val="1"/>
                <w:i w:val="1"/>
                <w:iCs w:val="1"/>
                <w:color w:val="auto"/>
              </w:rPr>
              <w:t>Adjusted EBITDA</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(52,226)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40,513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(25,276)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20,716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18,053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28,647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6,724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25,139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92,052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80" w:hanging="4"/>
        <w:spacing w:after="0" w:line="277" w:lineRule="auto"/>
        <w:tabs>
          <w:tab w:leader="none" w:pos="455"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severance costs related to chief executive officer at Arnold. For Altor, other includes the add-back of certain expenses incurred related to restructuring of their facilities after the acquisition of Lifoam.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111125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1195070</wp:posOffset>
            </wp:positionV>
            <wp:extent cx="65919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Adjusted EBITDA</w:t>
      </w:r>
    </w:p>
    <w:p>
      <w:pPr>
        <w:spacing w:after="0" w:line="39"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65919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6"/>
                <w:szCs w:val="16"/>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5.11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BOA</w:t>
            </w: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Lugano</w:t>
            </w: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40" w:type="dxa"/>
            <w:vAlign w:val="bottom"/>
          </w:tcPr>
          <w:p>
            <w:pPr>
              <w:spacing w:after="0"/>
              <w:rPr>
                <w:sz w:val="16"/>
                <w:szCs w:val="1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THP</w:t>
            </w:r>
          </w:p>
        </w:tc>
        <w:tc>
          <w:tcPr>
            <w:tcW w:w="80" w:type="dxa"/>
            <w:vAlign w:val="bottom"/>
          </w:tcPr>
          <w:p>
            <w:pPr>
              <w:spacing w:after="0"/>
              <w:rPr>
                <w:sz w:val="16"/>
                <w:szCs w:val="16"/>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Velocity</w:t>
            </w:r>
          </w:p>
        </w:tc>
        <w:tc>
          <w:tcPr>
            <w:tcW w:w="120" w:type="dxa"/>
            <w:vAlign w:val="bottom"/>
          </w:tcPr>
          <w:p>
            <w:pPr>
              <w:spacing w:after="0"/>
              <w:rPr>
                <w:sz w:val="16"/>
                <w:szCs w:val="16"/>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00" w:type="dxa"/>
            <w:vAlign w:val="bottom"/>
          </w:tcPr>
          <w:p>
            <w:pPr>
              <w:spacing w:after="0"/>
              <w:rPr>
                <w:sz w:val="16"/>
                <w:szCs w:val="1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100" w:type="dxa"/>
            <w:vAlign w:val="bottom"/>
          </w:tcPr>
          <w:p>
            <w:pPr>
              <w:spacing w:after="0"/>
              <w:rPr>
                <w:sz w:val="16"/>
                <w:szCs w:val="1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Sterno</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(As</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91"/>
              <w:spacing w:after="0" w:line="135"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Restated)</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91"/>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34"/>
        </w:trPr>
        <w:tc>
          <w:tcPr>
            <w:tcW w:w="17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Net income (loss) from</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(192,892)</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20"/>
                <w:szCs w:val="20"/>
                <w:color w:val="auto"/>
              </w:rPr>
            </w:pPr>
            <w:r>
              <w:rPr>
                <w:rFonts w:ascii="Arial" w:cs="Arial" w:eastAsia="Arial" w:hAnsi="Arial"/>
                <w:sz w:val="14"/>
                <w:szCs w:val="14"/>
                <w:color w:val="auto"/>
              </w:rPr>
              <w:t>Adjusted for:</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180"/>
              <w:spacing w:after="0" w:line="153" w:lineRule="exact"/>
              <w:rPr>
                <w:sz w:val="20"/>
                <w:szCs w:val="20"/>
                <w:color w:val="auto"/>
              </w:rPr>
            </w:pPr>
            <w:r>
              <w:rPr>
                <w:rFonts w:ascii="Arial" w:cs="Arial" w:eastAsia="Arial" w:hAnsi="Arial"/>
                <w:sz w:val="14"/>
                <w:szCs w:val="14"/>
                <w:color w:val="auto"/>
              </w:rPr>
              <w:t>Provision (benefit) for</w:t>
            </w: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18,703</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50,041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4,730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54,863</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25,337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11,581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10,849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10,650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10,645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8,170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4,414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9,890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74,365</w:t>
            </w: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EBITDA</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30,227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22,859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(44,961)</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83,836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25,898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4"/>
                <w:szCs w:val="14"/>
                <w:color w:val="auto"/>
              </w:rPr>
              <w:t>2,664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112,690</w:t>
            </w:r>
          </w:p>
        </w:tc>
        <w:tc>
          <w:tcPr>
            <w:tcW w:w="0" w:type="dxa"/>
            <w:vAlign w:val="bottom"/>
          </w:tcPr>
          <w:p>
            <w:pPr>
              <w:spacing w:after="0"/>
              <w:rPr>
                <w:sz w:val="1"/>
                <w:szCs w:val="1"/>
                <w:color w:val="auto"/>
              </w:rPr>
            </w:pPr>
          </w:p>
        </w:tc>
      </w:tr>
      <w:tr>
        <w:trPr>
          <w:trHeight w:val="189"/>
        </w:trPr>
        <w:tc>
          <w:tcPr>
            <w:tcW w:w="1700" w:type="dxa"/>
            <w:vAlign w:val="bottom"/>
          </w:tcPr>
          <w:p>
            <w:pPr>
              <w:ind w:left="18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shareholder</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7,751</w:t>
            </w:r>
          </w:p>
        </w:tc>
        <w:tc>
          <w:tcPr>
            <w:tcW w:w="0" w:type="dxa"/>
            <w:vAlign w:val="bottom"/>
          </w:tcPr>
          <w:p>
            <w:pPr>
              <w:spacing w:after="0"/>
              <w:rPr>
                <w:sz w:val="1"/>
                <w:szCs w:val="1"/>
                <w:color w:val="auto"/>
              </w:rPr>
            </w:pPr>
          </w:p>
        </w:tc>
      </w:tr>
      <w:tr>
        <w:trPr>
          <w:trHeight w:val="215"/>
        </w:trPr>
        <w:tc>
          <w:tcPr>
            <w:tcW w:w="1700" w:type="dxa"/>
            <w:vAlign w:val="bottom"/>
          </w:tcPr>
          <w:p>
            <w:pPr>
              <w:ind w:left="180"/>
              <w:spacing w:after="0"/>
              <w:rPr>
                <w:sz w:val="20"/>
                <w:szCs w:val="20"/>
                <w:color w:val="auto"/>
              </w:rPr>
            </w:pPr>
            <w:r>
              <w:rPr>
                <w:rFonts w:ascii="Arial" w:cs="Arial" w:eastAsia="Arial" w:hAnsi="Arial"/>
                <w:sz w:val="14"/>
                <w:szCs w:val="14"/>
                <w:color w:val="auto"/>
              </w:rPr>
              <w:t>Impairment expense</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expenses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98"/>
        </w:trPr>
        <w:tc>
          <w:tcPr>
            <w:tcW w:w="1700" w:type="dxa"/>
            <w:vAlign w:val="bottom"/>
          </w:tcPr>
          <w:p>
            <w:pPr>
              <w:ind w:left="180"/>
              <w:spacing w:after="0"/>
              <w:rPr>
                <w:sz w:val="20"/>
                <w:szCs w:val="20"/>
                <w:color w:val="auto"/>
              </w:rPr>
            </w:pPr>
            <w:r>
              <w:rPr>
                <w:rFonts w:ascii="Arial" w:cs="Arial" w:eastAsia="Arial" w:hAnsi="Arial"/>
                <w:sz w:val="14"/>
                <w:szCs w:val="14"/>
                <w:color w:val="auto"/>
              </w:rPr>
              <w:t>Integration services fee</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83"/>
        </w:trPr>
        <w:tc>
          <w:tcPr>
            <w:tcW w:w="1700" w:type="dxa"/>
            <w:vAlign w:val="bottom"/>
          </w:tcPr>
          <w:p>
            <w:pPr>
              <w:spacing w:after="0" w:line="183" w:lineRule="exact"/>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21"/>
                <w:szCs w:val="21"/>
                <w:b w:val="1"/>
                <w:bCs w:val="1"/>
                <w:i w:val="1"/>
                <w:iCs w:val="1"/>
                <w:color w:val="auto"/>
                <w:vertAlign w:val="superscript"/>
              </w:rPr>
              <w:t>(1)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31,387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39,423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(27,379)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20,285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10,398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20,335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13,887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22,952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88,418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328"/>
        <w:spacing w:after="0" w:line="278" w:lineRule="auto"/>
        <w:tabs>
          <w:tab w:leader="none" w:pos="231" w:val="left"/>
        </w:tabs>
        <w:numPr>
          <w:ilvl w:val="0"/>
          <w:numId w:val="32"/>
        </w:numPr>
        <w:rPr>
          <w:rFonts w:ascii="Arial" w:cs="Arial" w:eastAsia="Arial" w:hAnsi="Arial"/>
          <w:sz w:val="21"/>
          <w:szCs w:val="21"/>
          <w:b w:val="1"/>
          <w:bCs w:val="1"/>
          <w:color w:val="auto"/>
          <w:vertAlign w:val="superscript"/>
        </w:rPr>
      </w:pPr>
      <w:r>
        <w:rPr>
          <w:rFonts w:ascii="Arial" w:cs="Arial" w:eastAsia="Arial" w:hAnsi="Arial"/>
          <w:sz w:val="16"/>
          <w:szCs w:val="16"/>
          <w:color w:val="auto"/>
        </w:rPr>
        <w:t>As a result of the sale of Ergobaby in December 2024, Adjusted EBITDA does not include $6.4 million that was previously included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111125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Adjusted Earnings to Net income (loss), which we consider the most comparable GAAP financial measure,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900" w:type="dxa"/>
            <w:vAlign w:val="bottom"/>
            <w:tcBorders>
              <w:top w:val="single" w:sz="8" w:color="auto"/>
              <w:bottom w:val="single" w:sz="8" w:color="auto"/>
            </w:tcBorders>
            <w:gridSpan w:val="5"/>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(127,682)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(188,358)</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discontinued operations, net of tax</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Net loss from continuing operations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(130,531)</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(192,892)</w:t>
            </w: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income from continuing operations attributable to noncontrolling</w:t>
            </w:r>
          </w:p>
        </w:tc>
        <w:tc>
          <w:tcPr>
            <w:tcW w:w="1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(46,472)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(58,558)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Net loss attributable to Holdings - continuing operations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(84,059)</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(134,334)</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(12,146)</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expense - intangibles and inventory step-up</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51,285</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8,182</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of Crosman</w:t>
            </w:r>
          </w:p>
        </w:tc>
        <w:tc>
          <w:tcPr>
            <w:tcW w:w="1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24,606</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Tax effect - loss on sale of Crosman</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Acquisition expenses</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Integration Services Fee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Plus (less):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18,703</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54,863</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modification</w:t>
            </w:r>
          </w:p>
        </w:tc>
        <w:tc>
          <w:tcPr>
            <w:tcW w:w="1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Tax effect - loss on sale of Crosman</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Income from continuing operations attributable to noncontrolling</w:t>
            </w:r>
          </w:p>
        </w:tc>
        <w:tc>
          <w:tcPr>
            <w:tcW w:w="1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(46,472)</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(58,558)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1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Distributions paid - preferred shares</w:t>
            </w:r>
          </w:p>
        </w:tc>
        <w:tc>
          <w:tcPr>
            <w:tcW w:w="1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12,146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88,084</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92,052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88,418</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LLC in exchange for a management fee paid quarterly, as defined in the MSA. Our Chief Executive Officer is a partner of CGM.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In January 2025, the LLC and the Manager amended the Sixth Amended and Restated Management Services Agreement by entering into a Seventh Amended and Restated Management Services Agreement (the “MSA Amendment”), which restructures the management fee to consist of a base management fee and an incentive management fee. Pursuant to the MSA Amendment, the base management fee will be</w:t>
      </w:r>
    </w:p>
    <w:p>
      <w:pPr>
        <w:spacing w:after="0" w:line="1" w:lineRule="exact"/>
        <w:rPr>
          <w:sz w:val="20"/>
          <w:szCs w:val="20"/>
          <w:color w:val="auto"/>
        </w:rPr>
      </w:pPr>
    </w:p>
    <w:p>
      <w:pPr>
        <w:jc w:val="both"/>
        <w:ind w:firstLine="8"/>
        <w:spacing w:after="0" w:line="252"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The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2025 and 2024, the Company incurred the following management fees to CGM, by entity:</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BOA</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36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Lugano </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PrimaLoft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Velocity</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Arnold Magnetics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16,988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33,431</w:t>
            </w:r>
          </w:p>
        </w:tc>
      </w:tr>
      <w:tr>
        <w:trPr>
          <w:trHeight w:val="235"/>
        </w:trPr>
        <w:tc>
          <w:tcPr>
            <w:tcW w:w="36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18,739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b w:val="1"/>
          <w:bCs w:val="1"/>
          <w:color w:val="auto"/>
          <w:vertAlign w:val="superscript"/>
        </w:rPr>
      </w:pPr>
      <w:r>
        <w:rPr>
          <w:rFonts w:ascii="Arial" w:cs="Arial" w:eastAsia="Arial" w:hAnsi="Arial"/>
          <w:sz w:val="16"/>
          <w:szCs w:val="16"/>
          <w:color w:val="auto"/>
        </w:rPr>
        <w:t>Lugano ceased paying a management fee to CGM upon the Lugano Event of Default (as previously defined) in June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Restatement on Management Fees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estimated the aggregate amount of overpaid management fees as of March 31, 2025 at approximately $43.1 million, which amount will reduce future payments on a dollar-for-dollar basis. The Company's board of directors intends to direct the Company to pursue its right to recover all such excess management fees paid to the Manager as soon as is reasonably practicable in light of the facts and circumstances.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entry into the Forbearance Agreement and Second Amendment to Credit Agreement (the “First Forbearance Agreement”) on May 22, 2025, the Credit Agreement was modified to (i) limit the management fees that may be paid by the LLC to Compass Group Management LLC (the "Manager") to no more than $10.5 million per fiscal quarter (with the amount of such management fees that cannot be paid due to this limitation being available to offset any potential future reduction in management fees as a result of any adjustments for deemed overpayments) and (ii) limit the management fees that may be paid by the LLC’s subsidiaries to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6" w:name="page97"/>
    <w:bookmarkEnd w:id="96"/>
    <w:p>
      <w:pPr>
        <w:jc w:val="both"/>
        <w:spacing w:after="0" w:line="262" w:lineRule="auto"/>
        <w:rPr>
          <w:sz w:val="20"/>
          <w:szCs w:val="20"/>
          <w:color w:val="auto"/>
        </w:rPr>
      </w:pPr>
      <w:r>
        <w:rPr>
          <w:rFonts w:ascii="Arial" w:cs="Arial" w:eastAsia="Arial" w:hAnsi="Arial"/>
          <w:sz w:val="18"/>
          <w:szCs w:val="18"/>
          <w:color w:val="auto"/>
        </w:rPr>
        <w:t>Manager to no more than $2.0 million per fiscal quarter. On May 22, 2025, the Manager delivered to the Company a waiver agreeing to the management fee limitations described above and waiving any management fees in excess of such limitations. For the quarter ended June 30, 2025, the total management fee incurred was $19.0 million, however, due to the restrictions imposed by the First Forbearance Agreement, the total amount paid to the Manager was $12.2 million.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w:t>
      </w:r>
      <w:r>
        <w:rPr>
          <w:rFonts w:ascii="Arial" w:cs="Arial" w:eastAsia="Arial" w:hAnsi="Arial"/>
          <w:sz w:val="18"/>
          <w:szCs w:val="18"/>
          <w:color w:val="0000FF"/>
        </w:rPr>
        <w:t>- Related Parties</w:t>
      </w:r>
      <w:r>
        <w:rPr>
          <w:rFonts w:ascii="Arial" w:cs="Arial" w:eastAsia="Arial" w:hAnsi="Arial"/>
          <w:sz w:val="18"/>
          <w:szCs w:val="18"/>
          <w:color w:val="auto"/>
        </w:rPr>
        <w:t>" included in the "Notes to the Condensed Consolidated Financial Statements" in this Form 10-Q,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-301625</wp:posOffset>
            </wp:positionV>
            <wp:extent cx="625792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57925" cy="12890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Integration services represent fees paid by newly acquired companies to the Manager for integration services performed during the first year of ownership.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Integration services fees are recorded as selling, general and administrative expense in the consolidated statement of operations. The amendment to the Management Service Agreement entered into in January 2025 eliminated the payment of integration services for future acquisitions.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paid CGM a total integration services fee of $ 3.5 million, payable quarterly over a twelve -month period beginning June 30, 2024 and ending in the quarter ended March 31, 2025. THP paid CGM $0.9 million in integration service fees in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our Initial Public Offering, we issued Allocation Interests governed by our LLC agreement that entitled the holders (the "Holders") to receive distributions pursuant to a profit allocation formula upon the occurrence of certain events. The Holders are entitled to receive, if due pursuant to the profit allocation formula, an allocation payment upon the sale of a business (a "Sale Event") and upon election of the Holder during the 30-day period following the fifth anniversary of the date upon which we acquired a controlling interest in a business (a "Holding Event"). Payments of profit allocation to the Holders are accounted for as dividends declared on Allocation Interests and recorded in stockholders' equity once they are approved by the Company’s board of directors.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sale of Marucci in November 2023 represented a Sale Event and the Company's board of directors approved a distribution of $48.9 million in the first quarter of 2024. This distribution was paid to the Holders of the Allocation Interests in February 2024.</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therefore no profit allocation payment was due to the Holders. The negative amount will offset future profit allocation payments due to the Holders.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Lugano Bankruptcy will be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2024 Form 10-K/A.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5.11 purchased approximately $0.4 million and $0.6 million during the three and six months ended June 30, 2025, respectively and approximately $0.2 million and $0.6 million during the three and six months ended June 30, 2024, respectively in inventory from the vendor.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purchased approximately $11.1 million and $23.1 million from this supplier during the three and six months ended June 30, 2025, respectively and approximately $13.6 million and $24.2 million from this supplier during the three and six months ended June 30, 2024,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Transaction - </w:t>
      </w:r>
      <w:r>
        <w:rPr>
          <w:rFonts w:ascii="Arial" w:cs="Arial" w:eastAsia="Arial" w:hAnsi="Arial"/>
          <w:sz w:val="18"/>
          <w:szCs w:val="18"/>
          <w:color w:val="auto"/>
        </w:rPr>
        <w:t>In the first quarter of 2025, the former Chief Executive Officer of Lugano represented that he had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the second quarter of 2024. Lugano had approximately $(1.6) million and $0.3 million in net purchases during the three and six months ended June 30, 2025, respectively and approximately $0.9 million and $4.0 million in net purchases during the three and six months ended June 30, 2024, respectively in inventory from the vendor. The total purchases are net of returns to the vendor. During the three months ended June 30, 2025, Lugano had $12k in purchases from the vendor and $1.6 million in returns to the vendor, resulting in ($1.6) million in net returns during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the 2024 Form 10-K/A.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 Testing</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Each of our subsidiary businesses represents a reporting unit.</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The valuation approaches are subject to key judgments and assumptions that are sensitive to change such as judgments and assumptions about appropriate sales growth rates, operating margins, weighted average cost of capital, and comparable company market multiples. When developing these key judgments and assumptions, we consider economic,</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98" w:name="page99"/>
    <w:bookmarkEnd w:id="98"/>
    <w:p>
      <w:pPr>
        <w:jc w:val="both"/>
        <w:spacing w:after="0" w:line="268" w:lineRule="auto"/>
        <w:rPr>
          <w:sz w:val="20"/>
          <w:szCs w:val="20"/>
          <w:color w:val="auto"/>
        </w:rPr>
      </w:pPr>
      <w:r>
        <w:rPr>
          <w:rFonts w:ascii="Arial" w:cs="Arial" w:eastAsia="Arial" w:hAnsi="Arial"/>
          <w:sz w:val="18"/>
          <w:szCs w:val="18"/>
          <w:color w:val="auto"/>
        </w:rPr>
        <w:t>operational and market conditions that could impact the fair value of the reporting unit. Estimates are inherently uncertain and represent only management’s reasonable expectations regarding future developments. These estimates and the judgments and assumptions upon which the estimates are based will most likely differ from actual future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Annual Impairment Testing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quantitative testing because we could not conclude that the fair value of the reporting unit significantly exceeded the carrying value based on qualitative factors alone. We 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annual impairment testing at March 31, 2024, we performed a qualitative assessment of our reporting units. The results of the qualitative analysis indicated that it was more-likely-than-not that the fair value of each of our reporting units except Velocity exceeded their carrying value. Based on our analysis, we determined that the Velocity operating segment required quantitative testing because we could not conclude that the fair value of this reporting unit significantly exceeded the carrying value based on qualitative factors alone. We performed a quantitative test of Velocity and the results of the testing indicated that the fair value of Velocity did not exceed the carrying value, resulting in goodwill impairment expense of $8.2 million as of March 31, 2024, which represented the remaining balance of goodwill at Velocity.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 consists of a trade name with a carrying value of approximately $ 30.8 million. The results of the qualitative analysis of our reporting unit's indefinite-lived intangible asset, which we completed as of March 31, 2025, indicated that the fair value of the indefinite lived intangible asset exceeded its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color w:val="auto"/>
        </w:rPr>
        <w:t xml:space="preserve"> of the condensed consolidated financial statements for a discussion of recent accounting pronouncements.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H.R. 1, “An Act to provide for reconciliation pursuant to title II of H. Con. Res. 14,” commonly referred to as the One Big Beautiful Bill Act (OBBBA), was enacted. The OBBBA includes significant federal tax law changes which, among other impacts, modify and make permanent certain business tax provisions originally enacted in the 2017 Tax Cuts and Jobs Act. The OBBBA is subject to further clarification from the issuance of future technical guidance by the U.S. Department of Treasury. We are currently evaluating the impact of the OBBBA, but do not expect it to have a material impact on our results of operations or financial condition.. Any effects will be recorded in the period the law was enacted.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market risk since December 31, 2024. For a further discussion of our exposure to market risk, refer to the section entitled "Quantitative and Qualitative Disclosures about Market Risk" that was disclosed in Part II, Item 7A of our Form 10-K/A.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evaluated the effectiveness of the Company’s disclosure controls and procedures as of the end of the period covered by this Form 10-Q. As previously disclosed in the 2024 Form 10-K/A, management identified material weaknesses in internal control over financial reporting. Because these material weaknesses had not been fully remediated as of June 30, 2025, management concluded that the Company’s disclosure controls and procedures were not effective as of that date.</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identified material weaknesses, our management, including our Chief Executive Officer and Chief Financial Officer, believes that the condensed consolidated financial statements fairly present, in all material respects, our financial position, results of operations and cash flows for the periods presented in this Quarterly Report on Form 10-Q, in accordance with accounting principles generally accepted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June 30, 2025, there were no changes in the Company’s internal control over financial reporting that have materially affected, or are reasonably likely to materially affect, the Company’s internal control over financial reporting. The material weaknesses described in the 2024 Form 10-K/A were identified subsequent to the end of the quarter, and therefore no remediation activities had been designed or implemented as of June 30, 2025. Following the identification of the material weaknesses, management began developing a remediation plan, as described in the 2024 Form 10-K/A. These remediation activities were initiated after the quarter ended and accordingly are not reflected as changes in internal control over financial reporting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the Company's legal proceedings can be found in Note N - Commitments and Contingencies of the accompanying Notes to the condensed consolidated financial statements.and in the section entitled "Legal Proceedings" that was disclosed in Part I, Item 3 of the 2024 Form 10-K/A, as filed with the SEC on December 8,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 factors disclosed in our 2024 Form 10-K/A for the fiscal year ended December 31, 2024 should be considered together with information included in this Quarterly Report on Form 10-Q for the quarter ended June 30, 2025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17"/>
          <w:szCs w:val="17"/>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000" w:type="dxa"/>
            <w:vAlign w:val="bottom"/>
            <w:gridSpan w:val="28"/>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Third Amended and Restated Trust Agreement of the Trust (incorporated by reference to Exhibit 3.1 of the Form 8-K filed on</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August 4, 2021 (File No. 001-34927)).</w:t>
              </w:r>
            </w:hyperlink>
          </w:p>
        </w:tc>
        <w:tc>
          <w:tcPr>
            <w:tcW w:w="6180" w:type="dxa"/>
            <w:vAlign w:val="bottom"/>
            <w:tcBorders>
              <w:top w:val="single" w:sz="8" w:color="0000FF"/>
            </w:tcBorders>
            <w:gridSpan w:val="24"/>
          </w:tcPr>
          <w:p>
            <w:pPr>
              <w:spacing w:after="0"/>
              <w:rPr>
                <w:sz w:val="12"/>
                <w:szCs w:val="12"/>
                <w:color w:val="auto"/>
              </w:rPr>
            </w:pPr>
          </w:p>
        </w:tc>
        <w:tc>
          <w:tcPr>
            <w:tcW w:w="100" w:type="dxa"/>
            <w:vAlign w:val="bottom"/>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7">
              <w:r>
                <w:rPr>
                  <w:rFonts w:ascii="Arial" w:cs="Arial" w:eastAsia="Arial" w:hAnsi="Arial"/>
                  <w:sz w:val="16"/>
                  <w:szCs w:val="16"/>
                  <w:color w:val="0000FF"/>
                </w:rPr>
                <w:t>First amendment to Third Amended and Restated Trust Agreement of the Trust (incorporated by reference to Exhibit 3.1 of</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the Form 8-K filed on September 3, 2024 (File No. 001-34926)).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3.3</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Sixth Amended and Restated Operating Agreement of the Company (incorporated by reference to Exhibit 3.2 of the Form 8-</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K filed on August 4, 2021 (File No. 001-34927)).</w:t>
              </w:r>
            </w:hyperlink>
          </w:p>
        </w:tc>
        <w:tc>
          <w:tcPr>
            <w:tcW w:w="5440" w:type="dxa"/>
            <w:vAlign w:val="bottom"/>
            <w:tcBorders>
              <w:top w:val="single" w:sz="8" w:color="0000FF"/>
            </w:tcBorders>
            <w:gridSpan w:val="22"/>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39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8">
              <w:r>
                <w:rPr>
                  <w:rFonts w:ascii="Arial" w:cs="Arial" w:eastAsia="Arial" w:hAnsi="Arial"/>
                  <w:sz w:val="16"/>
                  <w:szCs w:val="16"/>
                  <w:color w:val="0000FF"/>
                </w:rPr>
                <w:t>First Amendment to the Sixth Amended and Restated Operating Agreement of the Company (incorporated by reference to</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Exhibit 3.1 of the Form 8-K filed on February 14, 2022 (File No. 001-34927)).</w:t>
              </w:r>
            </w:hyperlink>
          </w:p>
        </w:tc>
        <w:tc>
          <w:tcPr>
            <w:tcW w:w="32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7">
              <w:r>
                <w:rPr>
                  <w:rFonts w:ascii="Arial" w:cs="Arial" w:eastAsia="Arial" w:hAnsi="Arial"/>
                  <w:sz w:val="16"/>
                  <w:szCs w:val="16"/>
                  <w:color w:val="0000FF"/>
                </w:rPr>
                <w:t>Second Amendment to the Sixth Amended and Restated Trust agreement of the Trust (incorporated by reference to Exhibit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3.</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Form 8-K filed on September 3, 2024 (File No. 001-34926)).</w:t>
              </w:r>
            </w:hyperlink>
          </w:p>
        </w:tc>
        <w:tc>
          <w:tcPr>
            <w:tcW w:w="3820" w:type="dxa"/>
            <w:vAlign w:val="bottom"/>
            <w:tcBorders>
              <w:top w:val="single" w:sz="8" w:color="0000FF"/>
            </w:tcBorders>
            <w:gridSpan w:val="19"/>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3.7</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 A</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Shares (incorporated by reference to Exhibit 3.1 of the Form 8-K filed on March 20, 2024 (File No. 001-34926)).</w:t>
              </w:r>
            </w:hyperlink>
          </w:p>
        </w:tc>
        <w:tc>
          <w:tcPr>
            <w:tcW w:w="280" w:type="dxa"/>
            <w:vAlign w:val="bottom"/>
            <w:gridSpan w:val="9"/>
          </w:tcPr>
          <w:p>
            <w:pPr>
              <w:spacing w:after="0"/>
              <w:rPr>
                <w:sz w:val="12"/>
                <w:szCs w:val="12"/>
                <w:color w:val="auto"/>
              </w:rPr>
            </w:pPr>
          </w:p>
        </w:tc>
      </w:tr>
      <w:tr>
        <w:trPr>
          <w:trHeight w:val="34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3.8</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0">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A Preferred Shares (incorporated by reference Exhibit 4.11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80">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4"/>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3.9</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1">
              <w:r>
                <w:rPr>
                  <w:rFonts w:ascii="Arial" w:cs="Arial" w:eastAsia="Arial" w:hAnsi="Arial"/>
                  <w:sz w:val="16"/>
                  <w:szCs w:val="16"/>
                  <w:color w:val="0000FF"/>
                </w:rPr>
                <w:t>Compass Group Diversified Holdings LLC Trust Interest Designation of Series A Trust Preferred Interests (incorporated by</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reference to Exhibit 3.2 of the Form 8-K filed on June 28, 2017 (File No. 001-34927))</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60" w:type="dxa"/>
            <w:vAlign w:val="bottom"/>
            <w:gridSpan w:val="8"/>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3.10</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A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Interests (incorporated by reference to Exhibit 3.4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3.11</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2">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Trust Preferred Interests (incorporated by reference Exhibit 4.14 of the Form S-3 filed on September 4, 2024 (File No.</w:t>
              </w:r>
            </w:hyperlink>
          </w:p>
        </w:tc>
        <w:tc>
          <w:tcPr>
            <w:tcW w:w="280" w:type="dxa"/>
            <w:vAlign w:val="bottom"/>
            <w:gridSpan w:val="8"/>
          </w:tcPr>
          <w:p>
            <w:pPr>
              <w:jc w:val="right"/>
              <w:ind w:right="20"/>
              <w:spacing w:after="0" w:line="142" w:lineRule="exact"/>
              <w:rPr>
                <w:rFonts w:ascii="Arial" w:cs="Arial" w:eastAsia="Arial" w:hAnsi="Arial"/>
                <w:sz w:val="16"/>
                <w:szCs w:val="16"/>
                <w:color w:val="0000FF"/>
                <w:w w:val="74"/>
              </w:rPr>
            </w:pPr>
            <w:hyperlink r:id="rId182">
              <w:r>
                <w:rPr>
                  <w:rFonts w:ascii="Arial" w:cs="Arial" w:eastAsia="Arial" w:hAnsi="Arial"/>
                  <w:sz w:val="16"/>
                  <w:szCs w:val="16"/>
                  <w:color w:val="0000FF"/>
                  <w:w w:val="74"/>
                </w:rPr>
                <w:t>333-</w:t>
              </w:r>
            </w:hyperlink>
          </w:p>
        </w:tc>
        <w:tc>
          <w:tcPr>
            <w:tcW w:w="200" w:type="dxa"/>
            <w:vAlign w:val="bottom"/>
            <w:gridSpan w:val="5"/>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82">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3.12</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3.4 of the Form 8-K filed on August 4, 2021 (File No. 001-34927)).</w:t>
              </w:r>
            </w:hyperlink>
          </w:p>
        </w:tc>
        <w:tc>
          <w:tcPr>
            <w:tcW w:w="120" w:type="dxa"/>
            <w:vAlign w:val="bottom"/>
            <w:gridSpan w:val="2"/>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20"/>
        </w:trPr>
        <w:tc>
          <w:tcPr>
            <w:tcW w:w="1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8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3.13</w:t>
            </w:r>
          </w:p>
        </w:tc>
        <w:tc>
          <w:tcPr>
            <w:tcW w:w="1020" w:type="dxa"/>
            <w:vAlign w:val="bottom"/>
          </w:tcPr>
          <w:p>
            <w:pPr>
              <w:spacing w:after="0"/>
              <w:rPr>
                <w:sz w:val="24"/>
                <w:szCs w:val="24"/>
                <w:color w:val="auto"/>
              </w:rPr>
            </w:pPr>
          </w:p>
        </w:tc>
        <w:tc>
          <w:tcPr>
            <w:tcW w:w="8680" w:type="dxa"/>
            <w:vAlign w:val="bottom"/>
            <w:tcBorders>
              <w:bottom w:val="single" w:sz="8" w:color="0000FF"/>
            </w:tcBorders>
            <w:gridSpan w:val="1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 B</w:t>
              </w:r>
            </w:hyperlink>
          </w:p>
        </w:tc>
        <w:tc>
          <w:tcPr>
            <w:tcW w:w="320" w:type="dxa"/>
            <w:vAlign w:val="bottom"/>
            <w:gridSpan w:val="11"/>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20" w:type="dxa"/>
            <w:vAlign w:val="bottom"/>
            <w:tcBorders>
              <w:bottom w:val="single" w:sz="8" w:color="0000FF"/>
            </w:tcBorders>
            <w:gridSpan w:val="19"/>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Shares (incorporated by reference to Exhibit 3.2 of the Form 8-K filed on March 20, 2024 (File No. 001-34926)).</w:t>
              </w:r>
            </w:hyperlink>
          </w:p>
        </w:tc>
        <w:tc>
          <w:tcPr>
            <w:tcW w:w="280" w:type="dxa"/>
            <w:vAlign w:val="bottom"/>
            <w:gridSpan w:val="9"/>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3.14</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3">
              <w:r>
                <w:rPr>
                  <w:rFonts w:ascii="Arial" w:cs="Arial" w:eastAsia="Arial" w:hAnsi="Arial"/>
                  <w:sz w:val="16"/>
                  <w:szCs w:val="16"/>
                  <w:color w:val="0000FF"/>
                </w:rPr>
                <w:t>Second Amendment to Amended and Restated Share Designation of Compass Diversified Holdings with respect to Series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B Preferred Shares (incorporated by reference Exhibit 4.17 of the Form S-3 filed on September 4, 2024 (File No. 333-</w:t>
              </w:r>
            </w:hyperlink>
          </w:p>
        </w:tc>
        <w:tc>
          <w:tcPr>
            <w:tcW w:w="220" w:type="dxa"/>
            <w:vAlign w:val="bottom"/>
            <w:gridSpan w:val="6"/>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83">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99"/>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3.15</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4">
              <w:r>
                <w:rPr>
                  <w:rFonts w:ascii="Arial" w:cs="Arial" w:eastAsia="Arial" w:hAnsi="Arial"/>
                  <w:sz w:val="16"/>
                  <w:szCs w:val="16"/>
                  <w:color w:val="0000FF"/>
                </w:rPr>
                <w:t>Trust Interest Designation of Compass Group Diversified Holdings LLC with respect to Series B Trust Preferred Interests</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(incorporated by reference to Exhibit 3.2 of the Form 8-K filed on March 13, 2018 (File No. 001-34927)),</w:t>
              </w:r>
            </w:hyperlink>
          </w:p>
        </w:tc>
        <w:tc>
          <w:tcPr>
            <w:tcW w:w="1200" w:type="dxa"/>
            <w:vAlign w:val="bottom"/>
            <w:tcBorders>
              <w:top w:val="single" w:sz="8" w:color="0000FF"/>
            </w:tcBorders>
            <w:gridSpan w:val="5"/>
          </w:tcPr>
          <w:p>
            <w:pPr>
              <w:spacing w:after="0"/>
              <w:rPr>
                <w:sz w:val="12"/>
                <w:szCs w:val="12"/>
                <w:color w:val="auto"/>
              </w:rPr>
            </w:pPr>
          </w:p>
        </w:tc>
        <w:tc>
          <w:tcPr>
            <w:tcW w:w="380" w:type="dxa"/>
            <w:vAlign w:val="bottom"/>
            <w:gridSpan w:val="12"/>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3.16</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B Trust</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Interests (incorporated by reference to Exhibit 3.5 of the Form 8-K filed on March 20, 2024 (File No. 001-34926))</w:t>
              </w:r>
            </w:hyperlink>
          </w:p>
        </w:tc>
        <w:tc>
          <w:tcPr>
            <w:tcW w:w="12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w:t>
              </w:r>
            </w:hyperlink>
          </w:p>
        </w:tc>
        <w:tc>
          <w:tcPr>
            <w:tcW w:w="180" w:type="dxa"/>
            <w:vAlign w:val="bottom"/>
            <w:gridSpan w:val="4"/>
          </w:tcPr>
          <w:p>
            <w:pPr>
              <w:spacing w:after="0"/>
              <w:rPr>
                <w:sz w:val="12"/>
                <w:szCs w:val="12"/>
                <w:color w:val="auto"/>
              </w:rPr>
            </w:pPr>
          </w:p>
        </w:tc>
      </w:tr>
      <w:tr>
        <w:trPr>
          <w:trHeight w:val="358"/>
        </w:trPr>
        <w:tc>
          <w:tcPr>
            <w:tcW w:w="1220" w:type="dxa"/>
            <w:vAlign w:val="bottom"/>
            <w:gridSpan w:val="2"/>
          </w:tcPr>
          <w:p>
            <w:pPr>
              <w:ind w:left="140"/>
              <w:spacing w:after="0"/>
              <w:rPr>
                <w:sz w:val="20"/>
                <w:szCs w:val="20"/>
                <w:color w:val="auto"/>
              </w:rPr>
            </w:pPr>
            <w:r>
              <w:rPr>
                <w:rFonts w:ascii="Arial" w:cs="Arial" w:eastAsia="Arial" w:hAnsi="Arial"/>
                <w:sz w:val="16"/>
                <w:szCs w:val="16"/>
                <w:color w:val="auto"/>
              </w:rPr>
              <w:t>3.17</w:t>
            </w:r>
          </w:p>
        </w:tc>
        <w:tc>
          <w:tcPr>
            <w:tcW w:w="1020" w:type="dxa"/>
            <w:vAlign w:val="bottom"/>
          </w:tcPr>
          <w:p>
            <w:pPr>
              <w:spacing w:after="0"/>
              <w:rPr>
                <w:sz w:val="24"/>
                <w:szCs w:val="24"/>
                <w:color w:val="auto"/>
              </w:rPr>
            </w:pPr>
          </w:p>
        </w:tc>
        <w:tc>
          <w:tcPr>
            <w:tcW w:w="9000" w:type="dxa"/>
            <w:vAlign w:val="bottom"/>
            <w:gridSpan w:val="28"/>
          </w:tcPr>
          <w:p>
            <w:pPr>
              <w:spacing w:after="0"/>
              <w:rPr>
                <w:rFonts w:ascii="Arial" w:cs="Arial" w:eastAsia="Arial" w:hAnsi="Arial"/>
                <w:sz w:val="16"/>
                <w:szCs w:val="16"/>
                <w:color w:val="0000FF"/>
              </w:rPr>
            </w:pPr>
            <w:hyperlink r:id="rId185">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5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Trust Preferred Interests (incorporated by reference Exhibit 4.20 of the Form S-3 filed on September 4, 2024 (File No.</w:t>
              </w:r>
            </w:hyperlink>
          </w:p>
        </w:tc>
        <w:tc>
          <w:tcPr>
            <w:tcW w:w="480" w:type="dxa"/>
            <w:vAlign w:val="bottom"/>
            <w:gridSpan w:val="13"/>
          </w:tcPr>
          <w:p>
            <w:pPr>
              <w:jc w:val="right"/>
              <w:ind w:right="220"/>
              <w:spacing w:after="0" w:line="142" w:lineRule="exact"/>
              <w:rPr>
                <w:rFonts w:ascii="Arial" w:cs="Arial" w:eastAsia="Arial" w:hAnsi="Arial"/>
                <w:sz w:val="16"/>
                <w:szCs w:val="16"/>
                <w:color w:val="0000FF"/>
                <w:w w:val="74"/>
              </w:rPr>
            </w:pPr>
            <w:hyperlink r:id="rId185">
              <w:r>
                <w:rPr>
                  <w:rFonts w:ascii="Arial" w:cs="Arial" w:eastAsia="Arial" w:hAnsi="Arial"/>
                  <w:sz w:val="16"/>
                  <w:szCs w:val="16"/>
                  <w:color w:val="0000FF"/>
                  <w:w w:val="74"/>
                </w:rPr>
                <w:t>333-</w:t>
              </w:r>
            </w:hyperlink>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85">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82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gridSpan w:val="5"/>
          </w:tcPr>
          <w:p>
            <w:pPr>
              <w:ind w:left="3240"/>
              <w:spacing w:after="0"/>
              <w:rPr>
                <w:sz w:val="20"/>
                <w:szCs w:val="20"/>
                <w:color w:val="auto"/>
              </w:rPr>
            </w:pPr>
            <w:r>
              <w:rPr>
                <w:rFonts w:ascii="Arial" w:cs="Arial" w:eastAsia="Arial" w:hAnsi="Arial"/>
                <w:sz w:val="16"/>
                <w:szCs w:val="16"/>
                <w:color w:val="auto"/>
              </w:rPr>
              <w:t>102</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2220" w:type="dxa"/>
            <w:vAlign w:val="bottom"/>
          </w:tcPr>
          <w:p>
            <w:pPr>
              <w:ind w:left="120"/>
              <w:spacing w:after="0"/>
              <w:rPr>
                <w:sz w:val="20"/>
                <w:szCs w:val="20"/>
                <w:color w:val="auto"/>
              </w:rPr>
            </w:pPr>
            <w:r>
              <w:rPr>
                <w:rFonts w:ascii="Arial" w:cs="Arial" w:eastAsia="Arial" w:hAnsi="Arial"/>
                <w:sz w:val="16"/>
                <w:szCs w:val="16"/>
                <w:color w:val="auto"/>
              </w:rPr>
              <w:t>3.18</w:t>
            </w:r>
          </w:p>
        </w:tc>
        <w:tc>
          <w:tcPr>
            <w:tcW w:w="8880" w:type="dxa"/>
            <w:vAlign w:val="bottom"/>
            <w:gridSpan w:val="23"/>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3.5 of the Form 8-K filed on August 4, 2021 (File No. 001-34927)).</w:t>
              </w:r>
            </w:hyperlink>
          </w:p>
        </w:tc>
        <w:tc>
          <w:tcPr>
            <w:tcW w:w="11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3.19</w:t>
            </w:r>
          </w:p>
        </w:tc>
        <w:tc>
          <w:tcPr>
            <w:tcW w:w="8680" w:type="dxa"/>
            <w:vAlign w:val="bottom"/>
            <w:tcBorders>
              <w:bottom w:val="single" w:sz="8" w:color="0000FF"/>
            </w:tcBorders>
            <w:gridSpan w:val="16"/>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 C</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20" w:type="dxa"/>
            <w:vAlign w:val="bottom"/>
            <w:tcBorders>
              <w:bottom w:val="single" w:sz="8" w:color="0000FF"/>
            </w:tcBorders>
            <w:gridSpan w:val="1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Shares (incorporated by reference to Exhibit 3.3 of the Form 8-K filed on March 20, 2024 (File No. 001-34926)).</w:t>
              </w:r>
            </w:hyperlink>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3.20</w:t>
            </w:r>
          </w:p>
        </w:tc>
        <w:tc>
          <w:tcPr>
            <w:tcW w:w="8880" w:type="dxa"/>
            <w:vAlign w:val="bottom"/>
            <w:gridSpan w:val="23"/>
          </w:tcPr>
          <w:p>
            <w:pPr>
              <w:spacing w:after="0"/>
              <w:rPr>
                <w:rFonts w:ascii="Arial" w:cs="Arial" w:eastAsia="Arial" w:hAnsi="Arial"/>
                <w:sz w:val="16"/>
                <w:szCs w:val="16"/>
                <w:color w:val="0000FF"/>
              </w:rPr>
            </w:pPr>
            <w:hyperlink r:id="rId188">
              <w:r>
                <w:rPr>
                  <w:rFonts w:ascii="Arial" w:cs="Arial" w:eastAsia="Arial" w:hAnsi="Arial"/>
                  <w:sz w:val="16"/>
                  <w:szCs w:val="16"/>
                  <w:color w:val="0000FF"/>
                </w:rPr>
                <w:t>Second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C Preferred Shares (incorporated by reference Exhibit 4.23 of the Form S-3 filed on September 4, 2024 (File No. 333-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88">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7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20" w:type="dxa"/>
            <w:vAlign w:val="bottom"/>
          </w:tcPr>
          <w:p>
            <w:pPr>
              <w:ind w:left="120"/>
              <w:spacing w:after="0"/>
              <w:rPr>
                <w:sz w:val="20"/>
                <w:szCs w:val="20"/>
                <w:color w:val="auto"/>
              </w:rPr>
            </w:pPr>
            <w:r>
              <w:rPr>
                <w:rFonts w:ascii="Arial" w:cs="Arial" w:eastAsia="Arial" w:hAnsi="Arial"/>
                <w:sz w:val="16"/>
                <w:szCs w:val="16"/>
                <w:color w:val="auto"/>
              </w:rPr>
              <w:t>3.21</w:t>
            </w:r>
          </w:p>
        </w:tc>
        <w:tc>
          <w:tcPr>
            <w:tcW w:w="8880" w:type="dxa"/>
            <w:vAlign w:val="bottom"/>
            <w:gridSpan w:val="23"/>
          </w:tcPr>
          <w:p>
            <w:pPr>
              <w:spacing w:after="0"/>
              <w:rPr>
                <w:rFonts w:ascii="Arial" w:cs="Arial" w:eastAsia="Arial" w:hAnsi="Arial"/>
                <w:sz w:val="16"/>
                <w:szCs w:val="16"/>
                <w:color w:val="0000FF"/>
              </w:rPr>
            </w:pPr>
            <w:hyperlink r:id="rId189">
              <w:r>
                <w:rPr>
                  <w:rFonts w:ascii="Arial" w:cs="Arial" w:eastAsia="Arial" w:hAnsi="Arial"/>
                  <w:sz w:val="16"/>
                  <w:szCs w:val="16"/>
                  <w:color w:val="0000FF"/>
                </w:rPr>
                <w:t>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(incorporated by reference to Exhibit 3.2 of the Form 8-K filed on November 20, 2019 (File No. 001-34927)).</w:t>
              </w:r>
            </w:hyperlink>
          </w:p>
        </w:tc>
        <w:tc>
          <w:tcPr>
            <w:tcW w:w="920" w:type="dxa"/>
            <w:vAlign w:val="bottom"/>
            <w:tcBorders>
              <w:top w:val="single" w:sz="8" w:color="0000FF"/>
            </w:tcBorders>
            <w:gridSpan w:val="7"/>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220" w:type="dxa"/>
            <w:vAlign w:val="bottom"/>
          </w:tcPr>
          <w:p>
            <w:pPr>
              <w:ind w:left="120"/>
              <w:spacing w:after="0"/>
              <w:rPr>
                <w:sz w:val="20"/>
                <w:szCs w:val="20"/>
                <w:color w:val="auto"/>
              </w:rPr>
            </w:pPr>
            <w:r>
              <w:rPr>
                <w:rFonts w:ascii="Arial" w:cs="Arial" w:eastAsia="Arial" w:hAnsi="Arial"/>
                <w:sz w:val="16"/>
                <w:szCs w:val="16"/>
                <w:color w:val="auto"/>
              </w:rPr>
              <w:t>3.22</w:t>
            </w:r>
          </w:p>
        </w:tc>
        <w:tc>
          <w:tcPr>
            <w:tcW w:w="8880" w:type="dxa"/>
            <w:vAlign w:val="bottom"/>
            <w:gridSpan w:val="23"/>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C Trust</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7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Preferred Interests (incorporated by reference to Exhibit 3.6 of the Form 8-K filed on March 20, 2024 (File No. 001-34926))</w:t>
              </w:r>
            </w:hyperlink>
          </w:p>
        </w:tc>
        <w:tc>
          <w:tcPr>
            <w:tcW w:w="100" w:type="dxa"/>
            <w:vAlign w:val="bottom"/>
            <w:tcBorders>
              <w:bottom w:val="single" w:sz="8" w:color="0000FF"/>
            </w:tcBorders>
            <w:gridSpan w:val="4"/>
          </w:tcPr>
          <w:p>
            <w:pPr>
              <w:jc w:val="right"/>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3.23</w:t>
            </w:r>
          </w:p>
        </w:tc>
        <w:tc>
          <w:tcPr>
            <w:tcW w:w="8540" w:type="dxa"/>
            <w:vAlign w:val="bottom"/>
            <w:tcBorders>
              <w:bottom w:val="single" w:sz="8" w:color="0000FF"/>
            </w:tcBorders>
            <w:gridSpan w:val="13"/>
          </w:tcPr>
          <w:p>
            <w:pPr>
              <w:spacing w:after="0"/>
              <w:rPr>
                <w:rFonts w:ascii="Arial" w:cs="Arial" w:eastAsia="Arial" w:hAnsi="Arial"/>
                <w:sz w:val="16"/>
                <w:szCs w:val="16"/>
                <w:color w:val="0000FF"/>
              </w:rPr>
            </w:pPr>
            <w:hyperlink r:id="rId190">
              <w:r>
                <w:rPr>
                  <w:rFonts w:ascii="Arial" w:cs="Arial" w:eastAsia="Arial" w:hAnsi="Arial"/>
                  <w:sz w:val="16"/>
                  <w:szCs w:val="16"/>
                  <w:color w:val="0000FF"/>
                </w:rPr>
                <w:t>Second Amendment to Trust Interest Designation of Compass Group Diversified Holdings LLC with respect to Series C</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3"/>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Trust Preferred Interests (incorporated by reference Exhibit 4.26 of the Form S-3 filed on September 4, 2024 (File No. 333-</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90">
              <w:r>
                <w:rPr>
                  <w:rFonts w:ascii="Arial" w:cs="Arial" w:eastAsia="Arial" w:hAnsi="Arial"/>
                  <w:sz w:val="16"/>
                  <w:szCs w:val="16"/>
                  <w:color w:val="0000FF"/>
                  <w:w w:val="99"/>
                </w:rPr>
                <w:t>281931)</w:t>
              </w:r>
              <w:r>
                <w:rPr>
                  <w:rFonts w:ascii="Arial" w:cs="Arial" w:eastAsia="Arial" w:hAnsi="Arial"/>
                  <w:sz w:val="16"/>
                  <w:szCs w:val="16"/>
                  <w:u w:val="single" w:color="auto"/>
                  <w:color w:val="0000FF"/>
                  <w:w w:val="99"/>
                </w:rPr>
                <w:t>)</w:t>
              </w:r>
              <w:r>
                <w:rPr>
                  <w:rFonts w:ascii="Arial" w:cs="Arial" w:eastAsia="Arial" w:hAnsi="Arial"/>
                  <w:sz w:val="16"/>
                  <w:szCs w:val="16"/>
                  <w:color w:val="0000FF"/>
                  <w:w w:val="99"/>
                </w:rPr>
                <w:t>.</w:t>
              </w:r>
            </w:hyperlink>
          </w:p>
        </w:tc>
        <w:tc>
          <w:tcPr>
            <w:tcW w:w="17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7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2220" w:type="dxa"/>
            <w:vAlign w:val="bottom"/>
          </w:tcPr>
          <w:p>
            <w:pPr>
              <w:ind w:left="120"/>
              <w:spacing w:after="0"/>
              <w:rPr>
                <w:sz w:val="20"/>
                <w:szCs w:val="20"/>
                <w:color w:val="auto"/>
              </w:rPr>
            </w:pPr>
            <w:r>
              <w:rPr>
                <w:rFonts w:ascii="Arial" w:cs="Arial" w:eastAsia="Arial" w:hAnsi="Arial"/>
                <w:sz w:val="16"/>
                <w:szCs w:val="16"/>
                <w:color w:val="auto"/>
              </w:rPr>
              <w:t>10.1</w:t>
            </w:r>
          </w:p>
        </w:tc>
        <w:tc>
          <w:tcPr>
            <w:tcW w:w="8880" w:type="dxa"/>
            <w:vAlign w:val="bottom"/>
            <w:gridSpan w:val="23"/>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Forbearance Agreement and Second Amendment to Credit Agreement, dated May 22, 2025, by and among Compass</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4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Group Diversified Holdings LLC, the Lenders party thereto, and Bank of America, N.A., in its capacity as Administrative</w:t>
              </w:r>
            </w:hyperlink>
          </w:p>
        </w:tc>
        <w:tc>
          <w:tcPr>
            <w:tcW w:w="80" w:type="dxa"/>
            <w:vAlign w:val="bottom"/>
            <w:tcBorders>
              <w:bottom w:val="single" w:sz="8" w:color="0000FF"/>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80" w:type="dxa"/>
            <w:vAlign w:val="bottom"/>
            <w:gridSpan w:val="2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Agent for the Lenders, Swing Line Lender and L/C Issuer (incorporated by reference to Exhibit 10.1 of the Form 8-K filed on</w:t>
              </w:r>
            </w:hyperlink>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8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May 27, 2025 (File No. 001-34927))</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31.1*</w:t>
            </w:r>
          </w:p>
        </w:tc>
        <w:tc>
          <w:tcPr>
            <w:tcW w:w="8880" w:type="dxa"/>
            <w:vAlign w:val="bottom"/>
            <w:gridSpan w:val="23"/>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31.2*</w:t>
            </w:r>
          </w:p>
        </w:tc>
        <w:tc>
          <w:tcPr>
            <w:tcW w:w="8880" w:type="dxa"/>
            <w:vAlign w:val="bottom"/>
            <w:gridSpan w:val="23"/>
          </w:tcPr>
          <w:p>
            <w:pPr>
              <w:spacing w:after="0"/>
              <w:rPr>
                <w:sz w:val="20"/>
                <w:szCs w:val="20"/>
                <w:color w:val="auto"/>
              </w:rPr>
            </w:pPr>
            <w:r>
              <w:rPr>
                <w:rFonts w:ascii="Arial" w:cs="Arial" w:eastAsia="Arial" w:hAnsi="Arial"/>
                <w:sz w:val="16"/>
                <w:szCs w:val="16"/>
                <w:color w:val="0000FF"/>
              </w:rPr>
              <w:t>Rule 13a-14(a)/15d-14(a) Rule 13a-14(a)/15d-14(a) Certification of Chief Financial Officer of Registrant</w:t>
            </w:r>
          </w:p>
        </w:tc>
        <w:tc>
          <w:tcPr>
            <w:tcW w:w="0" w:type="dxa"/>
            <w:vAlign w:val="bottom"/>
          </w:tcPr>
          <w:p>
            <w:pPr>
              <w:spacing w:after="0"/>
              <w:rPr>
                <w:sz w:val="1"/>
                <w:szCs w:val="1"/>
                <w:color w:val="auto"/>
              </w:rPr>
            </w:pPr>
          </w:p>
        </w:tc>
      </w:tr>
      <w:tr>
        <w:trPr>
          <w:trHeight w:val="20"/>
        </w:trPr>
        <w:tc>
          <w:tcPr>
            <w:tcW w:w="222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2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vMerge w:val="continue"/>
          </w:tcPr>
          <w:p>
            <w:pPr>
              <w:spacing w:after="0"/>
              <w:rPr>
                <w:sz w:val="24"/>
                <w:szCs w:val="24"/>
                <w:color w:val="auto"/>
              </w:rPr>
            </w:pPr>
          </w:p>
        </w:tc>
        <w:tc>
          <w:tcPr>
            <w:tcW w:w="8880" w:type="dxa"/>
            <w:vAlign w:val="bottom"/>
            <w:gridSpan w:val="23"/>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 Section</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5820" w:type="dxa"/>
            <w:vAlign w:val="bottom"/>
            <w:tcBorders>
              <w:top w:val="single" w:sz="8" w:color="0000FF"/>
            </w:tcBorders>
            <w:gridSpan w:val="10"/>
          </w:tcPr>
          <w:p>
            <w:pPr>
              <w:spacing w:after="0"/>
              <w:rPr>
                <w:sz w:val="12"/>
                <w:szCs w:val="12"/>
                <w:color w:val="auto"/>
              </w:rPr>
            </w:pPr>
          </w:p>
        </w:tc>
        <w:tc>
          <w:tcPr>
            <w:tcW w:w="26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22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88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 Section 906</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4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640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6"/>
                <w:szCs w:val="16"/>
                <w:color w:val="auto"/>
              </w:rPr>
              <w:t>101.INS*</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880" w:type="dxa"/>
            <w:vAlign w:val="bottom"/>
            <w:gridSpan w:val="23"/>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377"/>
        </w:trPr>
        <w:tc>
          <w:tcPr>
            <w:tcW w:w="2220" w:type="dxa"/>
            <w:vAlign w:val="bottom"/>
          </w:tcPr>
          <w:p>
            <w:pPr>
              <w:spacing w:after="0"/>
              <w:rPr>
                <w:sz w:val="20"/>
                <w:szCs w:val="20"/>
                <w:color w:val="auto"/>
              </w:rPr>
            </w:pPr>
            <w:r>
              <w:rPr>
                <w:rFonts w:ascii="Arial" w:cs="Arial" w:eastAsia="Arial" w:hAnsi="Arial"/>
                <w:sz w:val="16"/>
                <w:szCs w:val="16"/>
                <w:color w:val="auto"/>
              </w:rPr>
              <w:t>101.SCH*</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19"/>
        </w:trPr>
        <w:tc>
          <w:tcPr>
            <w:tcW w:w="2220" w:type="dxa"/>
            <w:vAlign w:val="bottom"/>
          </w:tcPr>
          <w:p>
            <w:pPr>
              <w:spacing w:after="0"/>
              <w:rPr>
                <w:sz w:val="20"/>
                <w:szCs w:val="20"/>
                <w:color w:val="auto"/>
              </w:rPr>
            </w:pPr>
            <w:r>
              <w:rPr>
                <w:rFonts w:ascii="Arial" w:cs="Arial" w:eastAsia="Arial" w:hAnsi="Arial"/>
                <w:sz w:val="16"/>
                <w:szCs w:val="16"/>
                <w:color w:val="auto"/>
              </w:rPr>
              <w:t>101.CAL*</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2220" w:type="dxa"/>
            <w:vAlign w:val="bottom"/>
          </w:tcPr>
          <w:p>
            <w:pPr>
              <w:spacing w:after="0"/>
              <w:rPr>
                <w:sz w:val="20"/>
                <w:szCs w:val="20"/>
                <w:color w:val="auto"/>
              </w:rPr>
            </w:pPr>
            <w:r>
              <w:rPr>
                <w:rFonts w:ascii="Arial" w:cs="Arial" w:eastAsia="Arial" w:hAnsi="Arial"/>
                <w:sz w:val="16"/>
                <w:szCs w:val="16"/>
                <w:color w:val="auto"/>
              </w:rPr>
              <w:t>101.DEF*</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2220" w:type="dxa"/>
            <w:vAlign w:val="bottom"/>
          </w:tcPr>
          <w:p>
            <w:pPr>
              <w:spacing w:after="0"/>
              <w:rPr>
                <w:sz w:val="20"/>
                <w:szCs w:val="20"/>
                <w:color w:val="auto"/>
              </w:rPr>
            </w:pPr>
            <w:r>
              <w:rPr>
                <w:rFonts w:ascii="Arial" w:cs="Arial" w:eastAsia="Arial" w:hAnsi="Arial"/>
                <w:sz w:val="16"/>
                <w:szCs w:val="16"/>
                <w:color w:val="auto"/>
              </w:rPr>
              <w:t>101.LAB*</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18"/>
        </w:trPr>
        <w:tc>
          <w:tcPr>
            <w:tcW w:w="2220" w:type="dxa"/>
            <w:vAlign w:val="bottom"/>
          </w:tcPr>
          <w:p>
            <w:pPr>
              <w:spacing w:after="0"/>
              <w:rPr>
                <w:sz w:val="20"/>
                <w:szCs w:val="20"/>
                <w:color w:val="auto"/>
              </w:rPr>
            </w:pPr>
            <w:r>
              <w:rPr>
                <w:rFonts w:ascii="Arial" w:cs="Arial" w:eastAsia="Arial" w:hAnsi="Arial"/>
                <w:sz w:val="16"/>
                <w:szCs w:val="16"/>
                <w:color w:val="auto"/>
              </w:rPr>
              <w:t>101.PRE*</w:t>
            </w:r>
          </w:p>
        </w:tc>
        <w:tc>
          <w:tcPr>
            <w:tcW w:w="8880" w:type="dxa"/>
            <w:vAlign w:val="bottom"/>
            <w:gridSpan w:val="2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19"/>
        </w:trPr>
        <w:tc>
          <w:tcPr>
            <w:tcW w:w="2220" w:type="dxa"/>
            <w:vAlign w:val="bottom"/>
          </w:tcPr>
          <w:p>
            <w:pPr>
              <w:spacing w:after="0"/>
              <w:rPr>
                <w:sz w:val="20"/>
                <w:szCs w:val="20"/>
                <w:color w:val="auto"/>
              </w:rPr>
            </w:pPr>
            <w:r>
              <w:rPr>
                <w:rFonts w:ascii="Arial" w:cs="Arial" w:eastAsia="Arial" w:hAnsi="Arial"/>
                <w:sz w:val="16"/>
                <w:szCs w:val="16"/>
                <w:color w:val="auto"/>
              </w:rPr>
              <w:t>104</w:t>
            </w:r>
          </w:p>
        </w:tc>
        <w:tc>
          <w:tcPr>
            <w:tcW w:w="8880" w:type="dxa"/>
            <w:vAlign w:val="bottom"/>
            <w:gridSpan w:val="23"/>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400" w:hanging="1394"/>
        <w:spacing w:after="0"/>
        <w:tabs>
          <w:tab w:leader="none" w:pos="1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right="180" w:hanging="1394"/>
        <w:spacing w:after="0" w:line="228" w:lineRule="auto"/>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84" w:right="4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Date: December 29, 2025</w:t>
            </w:r>
          </w:p>
        </w:tc>
        <w:tc>
          <w:tcPr>
            <w:tcW w:w="7160" w:type="dxa"/>
            <w:vAlign w:val="bottom"/>
            <w:gridSpan w:val="2"/>
          </w:tcPr>
          <w:p>
            <w:pPr>
              <w:ind w:left="1940"/>
              <w:spacing w:after="0"/>
              <w:rPr>
                <w:sz w:val="20"/>
                <w:szCs w:val="20"/>
                <w:color w:val="auto"/>
              </w:rPr>
            </w:pPr>
            <w:r>
              <w:rPr>
                <w:rFonts w:ascii="Arial" w:cs="Arial" w:eastAsia="Arial" w:hAnsi="Arial"/>
                <w:sz w:val="16"/>
                <w:szCs w:val="16"/>
                <w:color w:val="auto"/>
              </w:rPr>
              <w:t>COMPASS DIVERSIFIED HOLDINGS</w:t>
            </w:r>
          </w:p>
        </w:tc>
      </w:tr>
      <w:tr>
        <w:trPr>
          <w:trHeight w:val="481"/>
        </w:trPr>
        <w:tc>
          <w:tcPr>
            <w:tcW w:w="4020" w:type="dxa"/>
            <w:vAlign w:val="bottom"/>
          </w:tcPr>
          <w:p>
            <w:pPr>
              <w:spacing w:after="0"/>
              <w:rPr>
                <w:sz w:val="24"/>
                <w:szCs w:val="24"/>
                <w:color w:val="auto"/>
              </w:rPr>
            </w:pPr>
          </w:p>
        </w:tc>
        <w:tc>
          <w:tcPr>
            <w:tcW w:w="3000" w:type="dxa"/>
            <w:vAlign w:val="bottom"/>
          </w:tcPr>
          <w:p>
            <w:pPr>
              <w:ind w:left="19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r>
        <w:trPr>
          <w:trHeight w:val="215"/>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Date: December 29, 2025</w:t>
            </w:r>
          </w:p>
        </w:tc>
        <w:tc>
          <w:tcPr>
            <w:tcW w:w="7160" w:type="dxa"/>
            <w:vAlign w:val="bottom"/>
            <w:gridSpan w:val="2"/>
          </w:tcPr>
          <w:p>
            <w:pPr>
              <w:ind w:left="1940"/>
              <w:spacing w:after="0"/>
              <w:rPr>
                <w:sz w:val="20"/>
                <w:szCs w:val="20"/>
                <w:color w:val="auto"/>
              </w:rPr>
            </w:pPr>
            <w:r>
              <w:rPr>
                <w:rFonts w:ascii="Arial" w:cs="Arial" w:eastAsia="Arial" w:hAnsi="Arial"/>
                <w:sz w:val="16"/>
                <w:szCs w:val="16"/>
                <w:color w:val="auto"/>
              </w:rPr>
              <w:t>COMPASS GROUP DIVERSIFIED HOLDINGS LLC</w:t>
            </w:r>
          </w:p>
        </w:tc>
      </w:tr>
      <w:tr>
        <w:trPr>
          <w:trHeight w:val="481"/>
        </w:trPr>
        <w:tc>
          <w:tcPr>
            <w:tcW w:w="4020" w:type="dxa"/>
            <w:vAlign w:val="bottom"/>
          </w:tcPr>
          <w:p>
            <w:pPr>
              <w:spacing w:after="0"/>
              <w:rPr>
                <w:sz w:val="24"/>
                <w:szCs w:val="24"/>
                <w:color w:val="auto"/>
              </w:rPr>
            </w:pPr>
          </w:p>
        </w:tc>
        <w:tc>
          <w:tcPr>
            <w:tcW w:w="3000" w:type="dxa"/>
            <w:vAlign w:val="bottom"/>
          </w:tcPr>
          <w:p>
            <w:pPr>
              <w:ind w:left="194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Keller</w:t>
            </w:r>
          </w:p>
        </w:tc>
      </w:tr>
      <w:tr>
        <w:trPr>
          <w:trHeight w:val="209"/>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Stephen Keller</w:t>
            </w:r>
          </w:p>
        </w:tc>
      </w:tr>
    </w:tbl>
    <w:p>
      <w:pPr>
        <w:ind w:left="7060"/>
        <w:spacing w:after="0" w:line="233" w:lineRule="auto"/>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60" w:type="dxa"/>
            <w:vAlign w:val="bottom"/>
            <w:gridSpan w:val="23"/>
          </w:tcPr>
          <w:p>
            <w:pPr>
              <w:ind w:left="1660"/>
              <w:spacing w:after="0"/>
              <w:rPr>
                <w:sz w:val="20"/>
                <w:szCs w:val="20"/>
                <w:color w:val="auto"/>
              </w:rPr>
            </w:pPr>
            <w:r>
              <w:rPr>
                <w:rFonts w:ascii="Arial" w:cs="Arial" w:eastAsia="Arial" w:hAnsi="Arial"/>
                <w:sz w:val="17"/>
                <w:szCs w:val="17"/>
                <w:b w:val="1"/>
                <w:bCs w:val="1"/>
                <w:color w:val="auto"/>
              </w:rPr>
              <w:t>EXHIBIT INDEX</w:t>
            </w:r>
          </w:p>
        </w:tc>
      </w:tr>
      <w:tr>
        <w:trPr>
          <w:trHeight w:val="287"/>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80" w:type="dxa"/>
            <w:vAlign w:val="bottom"/>
            <w:gridSpan w:val="2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6">
              <w:r>
                <w:rPr>
                  <w:rFonts w:ascii="Arial" w:cs="Arial" w:eastAsia="Arial" w:hAnsi="Arial"/>
                  <w:sz w:val="16"/>
                  <w:szCs w:val="16"/>
                  <w:color w:val="0000FF"/>
                </w:rPr>
                <w:t>Third Amended and Restated Trust Agreement of the Trust (incorporated by reference to Exhibit 3.1 of the Form 8-K</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filed on August 4, 2021 (File No. 001-34927)).</w:t>
              </w:r>
            </w:hyperlink>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7">
              <w:r>
                <w:rPr>
                  <w:rFonts w:ascii="Arial" w:cs="Arial" w:eastAsia="Arial" w:hAnsi="Arial"/>
                  <w:sz w:val="16"/>
                  <w:szCs w:val="16"/>
                  <w:color w:val="0000FF"/>
                </w:rPr>
                <w:t>First amendment to Third Amended and Restated Trust Agreement of the Trust (incorporated by reference to Exhibit</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Form 8-K filed on September 3, 2024 (File No. 001-34926)).</w:t>
              </w:r>
            </w:hyperlink>
          </w:p>
        </w:tc>
        <w:tc>
          <w:tcPr>
            <w:tcW w:w="3300" w:type="dxa"/>
            <w:vAlign w:val="bottom"/>
            <w:tcBorders>
              <w:top w:val="single" w:sz="8" w:color="0000FF"/>
            </w:tcBorders>
            <w:gridSpan w:val="13"/>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6">
              <w:r>
                <w:rPr>
                  <w:rFonts w:ascii="Arial" w:cs="Arial" w:eastAsia="Arial" w:hAnsi="Arial"/>
                  <w:sz w:val="16"/>
                  <w:szCs w:val="16"/>
                  <w:color w:val="0000FF"/>
                </w:rPr>
                <w:t>Sixth Amended and Restated Operating Agreement of the Company (incorporated by reference to Exhibit 3.2 of the</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8">
              <w:r>
                <w:rPr>
                  <w:rFonts w:ascii="Arial" w:cs="Arial" w:eastAsia="Arial" w:hAnsi="Arial"/>
                  <w:sz w:val="16"/>
                  <w:szCs w:val="16"/>
                  <w:color w:val="0000FF"/>
                </w:rPr>
                <w:t>First Amendment to the Sixth Amended and Restated Operating Agreement of the Company (incorporated by</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reference to Exhibit 3.1 of the Form 8-K filed on February 14, 2022 (File No. 001-34927)).</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7">
              <w:r>
                <w:rPr>
                  <w:rFonts w:ascii="Arial" w:cs="Arial" w:eastAsia="Arial" w:hAnsi="Arial"/>
                  <w:sz w:val="16"/>
                  <w:szCs w:val="16"/>
                  <w:color w:val="0000FF"/>
                </w:rPr>
                <w:t>Second Amendment to the Sixth Amended and Restated Trust agreement of the Trust (incorporated by reference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Exhibit 3.2 of the Form 8-K filed on September 3, 2024 (File No. 001-34926)).</w:t>
              </w:r>
            </w:hyperlink>
          </w:p>
        </w:tc>
        <w:tc>
          <w:tcPr>
            <w:tcW w:w="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52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A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3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3.3 of the Form 8-K filed on August 4, 2021 (File No. 001-34927))</w:t>
              </w:r>
            </w:hyperlink>
          </w:p>
        </w:tc>
        <w:tc>
          <w:tcPr>
            <w:tcW w:w="11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A Preferred Shares (incorporated by reference to Exhibit 3.1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79">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3.8</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0">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Series A Preferred Shares (incorporated by reference Exhibit 4.11 of the Form S-3 filed on September 4, 2024 (File</w:t>
              </w:r>
            </w:hyperlink>
          </w:p>
        </w:tc>
        <w:tc>
          <w:tcPr>
            <w:tcW w:w="40" w:type="dxa"/>
            <w:vAlign w:val="bottom"/>
            <w:tcBorders>
              <w:bottom w:val="single" w:sz="8" w:color="0000FF"/>
            </w:tcBorders>
            <w:gridSpan w:val="2"/>
          </w:tcPr>
          <w:p>
            <w:pPr>
              <w:spacing w:after="0"/>
              <w:rPr>
                <w:sz w:val="12"/>
                <w:szCs w:val="12"/>
                <w:color w:val="auto"/>
              </w:rPr>
            </w:pPr>
          </w:p>
        </w:tc>
        <w:tc>
          <w:tcPr>
            <w:tcW w:w="300" w:type="dxa"/>
            <w:vAlign w:val="bottom"/>
            <w:tcBorders>
              <w:bottom w:val="single" w:sz="8" w:color="0000FF"/>
            </w:tcBorders>
            <w:gridSpan w:val="9"/>
          </w:tcPr>
          <w:p>
            <w:pPr>
              <w:jc w:val="right"/>
              <w:ind w:right="40"/>
              <w:spacing w:after="0" w:line="142" w:lineRule="exact"/>
              <w:rPr>
                <w:rFonts w:ascii="Arial" w:cs="Arial" w:eastAsia="Arial" w:hAnsi="Arial"/>
                <w:sz w:val="16"/>
                <w:szCs w:val="16"/>
                <w:color w:val="0000FF"/>
                <w:w w:val="96"/>
              </w:rPr>
            </w:pPr>
            <w:hyperlink r:id="rId180">
              <w:r>
                <w:rPr>
                  <w:rFonts w:ascii="Arial" w:cs="Arial" w:eastAsia="Arial" w:hAnsi="Arial"/>
                  <w:sz w:val="16"/>
                  <w:szCs w:val="16"/>
                  <w:color w:val="0000FF"/>
                  <w:w w:val="96"/>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80">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1">
              <w:r>
                <w:rPr>
                  <w:rFonts w:ascii="Arial" w:cs="Arial" w:eastAsia="Arial" w:hAnsi="Arial"/>
                  <w:sz w:val="16"/>
                  <w:szCs w:val="16"/>
                  <w:color w:val="0000FF"/>
                </w:rPr>
                <w:t>Compass Group Diversified Holdings LLC Trust Interest Designation of Series A Trust Preferred Interests (incorporated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by reference to Exhibit 3.2 of the Form 8-K filed on June 28, 2017 (File No. 001-34927))</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360" w:type="dxa"/>
            <w:vAlign w:val="bottom"/>
            <w:gridSpan w:val="6"/>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3.10</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Trust Preferred Interests (incorporated by reference to Exhibit 3.4 of the Form 8-K filed on March 20, 2024 (File No.</w:t>
              </w:r>
            </w:hyperlink>
          </w:p>
        </w:tc>
        <w:tc>
          <w:tcPr>
            <w:tcW w:w="120" w:type="dxa"/>
            <w:vAlign w:val="bottom"/>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79">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2">
              <w:r>
                <w:rPr>
                  <w:rFonts w:ascii="Arial" w:cs="Arial" w:eastAsia="Arial" w:hAnsi="Arial"/>
                  <w:sz w:val="16"/>
                  <w:szCs w:val="16"/>
                  <w:color w:val="0000FF"/>
                </w:rPr>
                <w:t>Second Amendment to Trust Interest Designation of Compass Group Diversified Holdings LLC with respect to Series A</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Trust Preferred Interests (incorporated by reference Exhibit 4.14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82">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B Preferred Shares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3.4 of the Form 8-K filed on August 4, 2021 (File No. 001-34927)).</w:t>
              </w:r>
            </w:hyperlink>
          </w:p>
        </w:tc>
        <w:tc>
          <w:tcPr>
            <w:tcW w:w="80" w:type="dxa"/>
            <w:vAlign w:val="bottom"/>
            <w:gridSpan w:val="4"/>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80" w:type="dxa"/>
            <w:vAlign w:val="bottom"/>
            <w:gridSpan w:val="1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3.13</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B Preferred Shares (incorporated by reference to Exhibit 3.2 of the Form 8-K filed on March 20, 2024 (File No. 001-</w:t>
              </w:r>
            </w:hyperlink>
          </w:p>
        </w:tc>
        <w:tc>
          <w:tcPr>
            <w:tcW w:w="40" w:type="dxa"/>
            <w:vAlign w:val="bottom"/>
            <w:gridSpan w:val="2"/>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79">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3.14</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3">
              <w:r>
                <w:rPr>
                  <w:rFonts w:ascii="Arial" w:cs="Arial" w:eastAsia="Arial" w:hAnsi="Arial"/>
                  <w:sz w:val="16"/>
                  <w:szCs w:val="16"/>
                  <w:color w:val="0000FF"/>
                </w:rPr>
                <w:t>Second Amendment to Amended and Restated Share Designation of Compass Diversified Holdings with respect to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Series B Preferred Shares (incorporated by reference Exhibit 4.17 of the Form S-3 filed on September 4, 2024 (File</w:t>
              </w:r>
            </w:hyperlink>
          </w:p>
        </w:tc>
        <w:tc>
          <w:tcPr>
            <w:tcW w:w="340" w:type="dxa"/>
            <w:vAlign w:val="bottom"/>
            <w:tcBorders>
              <w:bottom w:val="single" w:sz="8" w:color="0000FF"/>
            </w:tcBorders>
            <w:gridSpan w:val="11"/>
          </w:tcPr>
          <w:p>
            <w:pPr>
              <w:jc w:val="right"/>
              <w:ind w:right="40"/>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No.</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0000FF"/>
            </w:tcBorders>
            <w:gridSpan w:val="4"/>
          </w:tcPr>
          <w:p>
            <w:pPr>
              <w:spacing w:after="0" w:line="142" w:lineRule="exact"/>
              <w:rPr>
                <w:rFonts w:ascii="Arial" w:cs="Arial" w:eastAsia="Arial" w:hAnsi="Arial"/>
                <w:sz w:val="16"/>
                <w:szCs w:val="16"/>
                <w:color w:val="0000FF"/>
                <w:w w:val="99"/>
              </w:rPr>
            </w:pPr>
            <w:hyperlink r:id="rId183">
              <w:r>
                <w:rPr>
                  <w:rFonts w:ascii="Arial" w:cs="Arial" w:eastAsia="Arial" w:hAnsi="Arial"/>
                  <w:sz w:val="16"/>
                  <w:szCs w:val="16"/>
                  <w:color w:val="0000FF"/>
                  <w:w w:val="99"/>
                </w:rPr>
                <w:t>333-281931)).</w:t>
              </w:r>
            </w:hyperlink>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3.15</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4">
              <w:r>
                <w:rPr>
                  <w:rFonts w:ascii="Arial" w:cs="Arial" w:eastAsia="Arial" w:hAnsi="Arial"/>
                  <w:sz w:val="16"/>
                  <w:szCs w:val="16"/>
                  <w:color w:val="0000FF"/>
                </w:rPr>
                <w:t>Trust Interest Designation of Compass Group Diversified Holdings LLC with respect to Series B Trust Preferred</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9"/>
              </w:rPr>
            </w:pPr>
            <w:hyperlink r:id="rId184">
              <w:r>
                <w:rPr>
                  <w:rFonts w:ascii="Arial" w:cs="Arial" w:eastAsia="Arial" w:hAnsi="Arial"/>
                  <w:sz w:val="16"/>
                  <w:szCs w:val="16"/>
                  <w:color w:val="0000FF"/>
                  <w:w w:val="99"/>
                </w:rPr>
                <w:t>Interests (incorporated by reference to Exhibit 3.2 of the Form 8-K filed on March 13, 2018 (File No. 001-34927)),</w:t>
              </w:r>
            </w:hyperlink>
          </w:p>
        </w:tc>
        <w:tc>
          <w:tcPr>
            <w:tcW w:w="140" w:type="dxa"/>
            <w:vAlign w:val="bottom"/>
            <w:tcBorders>
              <w:bottom w:val="single" w:sz="8" w:color="0000FF"/>
            </w:tcBorders>
          </w:tcPr>
          <w:p>
            <w:pPr>
              <w:spacing w:after="0"/>
              <w:rPr>
                <w:sz w:val="12"/>
                <w:szCs w:val="12"/>
                <w:color w:val="auto"/>
              </w:rPr>
            </w:pPr>
          </w:p>
        </w:tc>
        <w:tc>
          <w:tcPr>
            <w:tcW w:w="500" w:type="dxa"/>
            <w:vAlign w:val="bottom"/>
            <w:gridSpan w:val="12"/>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3.16</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Trust Preferred Interests (incorporated by reference to Exhibit 3.5 of the Form 8-K filed on March 20, 2024 (File No.</w:t>
              </w:r>
            </w:hyperlink>
          </w:p>
        </w:tc>
        <w:tc>
          <w:tcPr>
            <w:tcW w:w="300" w:type="dxa"/>
            <w:vAlign w:val="bottom"/>
            <w:gridSpan w:val="9"/>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79">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3.17</w:t>
            </w:r>
          </w:p>
        </w:tc>
        <w:tc>
          <w:tcPr>
            <w:tcW w:w="110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FF"/>
              </w:rPr>
            </w:pPr>
            <w:hyperlink r:id="rId185">
              <w:r>
                <w:rPr>
                  <w:rFonts w:ascii="Arial" w:cs="Arial" w:eastAsia="Arial" w:hAnsi="Arial"/>
                  <w:sz w:val="16"/>
                  <w:szCs w:val="16"/>
                  <w:color w:val="0000FF"/>
                </w:rPr>
                <w:t>Second Amendment to Trust Interest Designation of Compass Group Diversified Holdings LLC with respect to Series B</w:t>
              </w:r>
            </w:hyperlink>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Trust Preferred Interests (incorporated by reference Exhibit 4.20 of the Form S-3 filed on September 4, 2024 (File No.</w:t>
              </w:r>
            </w:hyperlink>
          </w:p>
        </w:tc>
        <w:tc>
          <w:tcPr>
            <w:tcW w:w="60" w:type="dxa"/>
            <w:vAlign w:val="bottom"/>
            <w:gridSpan w:val="3"/>
          </w:tcPr>
          <w:p>
            <w:pPr>
              <w:spacing w:after="0"/>
              <w:rPr>
                <w:sz w:val="12"/>
                <w:szCs w:val="12"/>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9"/>
              </w:rPr>
            </w:pPr>
            <w:hyperlink r:id="rId185">
              <w:r>
                <w:rPr>
                  <w:rFonts w:ascii="Arial" w:cs="Arial" w:eastAsia="Arial" w:hAnsi="Arial"/>
                  <w:sz w:val="16"/>
                  <w:szCs w:val="16"/>
                  <w:color w:val="0000FF"/>
                  <w:w w:val="99"/>
                </w:rPr>
                <w:t>333-281931)).</w:t>
              </w:r>
            </w:hyperlink>
          </w:p>
        </w:tc>
        <w:tc>
          <w:tcPr>
            <w:tcW w:w="226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111125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87" w:right="7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2300" w:type="dxa"/>
            <w:vAlign w:val="bottom"/>
          </w:tcPr>
          <w:p>
            <w:pPr>
              <w:ind w:left="120"/>
              <w:spacing w:after="0"/>
              <w:rPr>
                <w:sz w:val="20"/>
                <w:szCs w:val="20"/>
                <w:color w:val="auto"/>
              </w:rPr>
            </w:pPr>
            <w:r>
              <w:rPr>
                <w:rFonts w:ascii="Arial" w:cs="Arial" w:eastAsia="Arial" w:hAnsi="Arial"/>
                <w:sz w:val="16"/>
                <w:szCs w:val="16"/>
                <w:color w:val="auto"/>
              </w:rPr>
              <w:t>3.18</w:t>
            </w:r>
          </w:p>
        </w:tc>
        <w:tc>
          <w:tcPr>
            <w:tcW w:w="8580" w:type="dxa"/>
            <w:vAlign w:val="bottom"/>
            <w:gridSpan w:val="24"/>
          </w:tcPr>
          <w:p>
            <w:pPr>
              <w:spacing w:after="0"/>
              <w:rPr>
                <w:rFonts w:ascii="Arial" w:cs="Arial" w:eastAsia="Arial" w:hAnsi="Arial"/>
                <w:sz w:val="16"/>
                <w:szCs w:val="16"/>
                <w:color w:val="0000FF"/>
              </w:rPr>
            </w:pPr>
            <w:hyperlink r:id="rId176">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3.5 of the Form 8-K filed on August 4, 2021 (File No. 001-34927)).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3.19</w:t>
            </w:r>
          </w:p>
        </w:tc>
        <w:tc>
          <w:tcPr>
            <w:tcW w:w="8580" w:type="dxa"/>
            <w:vAlign w:val="bottom"/>
            <w:gridSpan w:val="24"/>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Amended and Restated Share Designation of Compass Diversified Holdings with respect to Series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C Preferred Shares (incorporated by reference to Exhibit 3.3 of the Form 8-K filed on March 20, 2024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79">
              <w:r>
                <w:rPr>
                  <w:rFonts w:ascii="Arial" w:cs="Arial" w:eastAsia="Arial" w:hAnsi="Arial"/>
                  <w:sz w:val="16"/>
                  <w:szCs w:val="16"/>
                  <w:color w:val="0000FF"/>
                  <w:w w:val="97"/>
                </w:rPr>
                <w:t>34926)</w:t>
              </w:r>
              <w:r>
                <w:rPr>
                  <w:rFonts w:ascii="Arial" w:cs="Arial" w:eastAsia="Arial" w:hAnsi="Arial"/>
                  <w:sz w:val="16"/>
                  <w:szCs w:val="16"/>
                  <w:u w:val="single" w:color="auto"/>
                  <w:color w:val="0000FF"/>
                  <w:w w:val="97"/>
                </w:rPr>
                <w:t>)</w:t>
              </w:r>
              <w:r>
                <w:rPr>
                  <w:rFonts w:ascii="Arial" w:cs="Arial" w:eastAsia="Arial" w:hAnsi="Arial"/>
                  <w:sz w:val="16"/>
                  <w:szCs w:val="16"/>
                  <w:color w:val="0000FF"/>
                  <w:w w:val="97"/>
                </w:rPr>
                <w:t>.</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3.20</w:t>
            </w:r>
          </w:p>
        </w:tc>
        <w:tc>
          <w:tcPr>
            <w:tcW w:w="8580" w:type="dxa"/>
            <w:vAlign w:val="bottom"/>
            <w:gridSpan w:val="24"/>
          </w:tcPr>
          <w:p>
            <w:pPr>
              <w:spacing w:after="0"/>
              <w:rPr>
                <w:rFonts w:ascii="Arial" w:cs="Arial" w:eastAsia="Arial" w:hAnsi="Arial"/>
                <w:sz w:val="16"/>
                <w:szCs w:val="16"/>
                <w:color w:val="0000FF"/>
              </w:rPr>
            </w:pPr>
            <w:hyperlink r:id="rId188">
              <w:r>
                <w:rPr>
                  <w:rFonts w:ascii="Arial" w:cs="Arial" w:eastAsia="Arial" w:hAnsi="Arial"/>
                  <w:sz w:val="16"/>
                  <w:szCs w:val="16"/>
                  <w:color w:val="0000FF"/>
                </w:rPr>
                <w:t>Second Amendment to Amended and Restated Share Designation of Compass Diversified Holdings with respect to</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2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Series C Preferred Shares (incorporated by reference Exhibit 4.23 of the Form S-3 filed on September 4, 2024 (File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No. 333-281931)).</w:t>
              </w:r>
            </w:hyperlink>
          </w:p>
        </w:tc>
        <w:tc>
          <w:tcPr>
            <w:tcW w:w="69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3.21</w:t>
            </w:r>
          </w:p>
        </w:tc>
        <w:tc>
          <w:tcPr>
            <w:tcW w:w="7960" w:type="dxa"/>
            <w:vAlign w:val="bottom"/>
            <w:tcBorders>
              <w:bottom w:val="single" w:sz="8" w:color="0000FF"/>
            </w:tcBorders>
            <w:gridSpan w:val="10"/>
          </w:tcPr>
          <w:p>
            <w:pPr>
              <w:spacing w:after="0"/>
              <w:rPr>
                <w:rFonts w:ascii="Arial" w:cs="Arial" w:eastAsia="Arial" w:hAnsi="Arial"/>
                <w:sz w:val="16"/>
                <w:szCs w:val="16"/>
                <w:color w:val="0000FF"/>
              </w:rPr>
            </w:pPr>
            <w:hyperlink r:id="rId189">
              <w:r>
                <w:rPr>
                  <w:rFonts w:ascii="Arial" w:cs="Arial" w:eastAsia="Arial" w:hAnsi="Arial"/>
                  <w:sz w:val="16"/>
                  <w:szCs w:val="16"/>
                  <w:color w:val="0000FF"/>
                </w:rPr>
                <w:t>Trust Interest Designation of Compass Group Diversified Holdings LLC with respect to Series C Trust Preferred</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80" w:type="dxa"/>
            <w:vAlign w:val="bottom"/>
            <w:gridSpan w:val="24"/>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Interests (incorporated by reference to Exhibit 3.2 of the Form 8-K filed on November 20, 2019 (File No. 001-34927)).</w:t>
              </w:r>
            </w:hyperlink>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3.22</w:t>
            </w:r>
          </w:p>
        </w:tc>
        <w:tc>
          <w:tcPr>
            <w:tcW w:w="8380" w:type="dxa"/>
            <w:vAlign w:val="bottom"/>
            <w:tcBorders>
              <w:top w:val="single" w:sz="8" w:color="0000FF"/>
            </w:tcBorders>
            <w:gridSpan w:val="17"/>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First Amendment to Trust Interest Designation of Compass Group Diversified Holdings LLC with respect to Series C</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3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Trust Preferred Interests (incorporated by reference to Exhibit 3.6 of the Form 8-K filed on March 20, 2024 (File No.</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179">
              <w:r>
                <w:rPr>
                  <w:rFonts w:ascii="Arial" w:cs="Arial" w:eastAsia="Arial" w:hAnsi="Arial"/>
                  <w:sz w:val="16"/>
                  <w:szCs w:val="16"/>
                  <w:color w:val="0000FF"/>
                  <w:w w:val="98"/>
                </w:rPr>
                <w:t>001-34926)).</w:t>
              </w:r>
            </w:hyperlink>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3.23</w:t>
            </w:r>
          </w:p>
        </w:tc>
        <w:tc>
          <w:tcPr>
            <w:tcW w:w="8580" w:type="dxa"/>
            <w:vAlign w:val="bottom"/>
            <w:gridSpan w:val="24"/>
          </w:tcPr>
          <w:p>
            <w:pPr>
              <w:spacing w:after="0"/>
              <w:rPr>
                <w:rFonts w:ascii="Arial" w:cs="Arial" w:eastAsia="Arial" w:hAnsi="Arial"/>
                <w:sz w:val="16"/>
                <w:szCs w:val="16"/>
                <w:color w:val="0000FF"/>
              </w:rPr>
            </w:pPr>
            <w:hyperlink r:id="rId190">
              <w:r>
                <w:rPr>
                  <w:rFonts w:ascii="Arial" w:cs="Arial" w:eastAsia="Arial" w:hAnsi="Arial"/>
                  <w:sz w:val="16"/>
                  <w:szCs w:val="16"/>
                  <w:color w:val="0000FF"/>
                </w:rPr>
                <w:t>Second Amendment to Trust Interest Designation of Compass Group Diversified Holdings LLC with respect to Series C</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Trust Preferred Interests (incorporated by reference Exhibit 4.26 of the Form S-3 filed on September 4, 2024 (File No.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90">
              <w:r>
                <w:rPr>
                  <w:rFonts w:ascii="Arial" w:cs="Arial" w:eastAsia="Arial" w:hAnsi="Arial"/>
                  <w:sz w:val="16"/>
                  <w:szCs w:val="16"/>
                  <w:color w:val="0000FF"/>
                  <w:w w:val="99"/>
                </w:rPr>
                <w:t>333-281931)).</w:t>
              </w:r>
            </w:hyperlink>
          </w:p>
        </w:tc>
        <w:tc>
          <w:tcPr>
            <w:tcW w:w="3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300" w:type="dxa"/>
            <w:vAlign w:val="bottom"/>
          </w:tcPr>
          <w:p>
            <w:pPr>
              <w:ind w:left="120"/>
              <w:spacing w:after="0"/>
              <w:rPr>
                <w:sz w:val="20"/>
                <w:szCs w:val="20"/>
                <w:color w:val="auto"/>
              </w:rPr>
            </w:pPr>
            <w:r>
              <w:rPr>
                <w:rFonts w:ascii="Arial" w:cs="Arial" w:eastAsia="Arial" w:hAnsi="Arial"/>
                <w:sz w:val="16"/>
                <w:szCs w:val="16"/>
                <w:color w:val="auto"/>
              </w:rPr>
              <w:t>10.1</w:t>
            </w:r>
          </w:p>
        </w:tc>
        <w:tc>
          <w:tcPr>
            <w:tcW w:w="8580" w:type="dxa"/>
            <w:vAlign w:val="bottom"/>
            <w:gridSpan w:val="24"/>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Forbearance Agreement and Second Amendment to Credit Agreement, dated May 22, 2025, by and among Compass</w:t>
              </w:r>
            </w:hyperlink>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4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Group Diversified Holdings LLC, the Lenders party thereto, and Bank of America, N.A., in its capacity as Administrative</w:t>
              </w:r>
            </w:hyperlink>
          </w:p>
        </w:tc>
        <w:tc>
          <w:tcPr>
            <w:tcW w:w="8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8520" w:type="dxa"/>
            <w:vAlign w:val="bottom"/>
            <w:gridSpan w:val="21"/>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Agent for the Lenders, Swing Line Lender and L/C Issuer (incorporated by reference to Exhibit 10.1 of the Form 8-K</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filed on May 27, 2025 (File No. 001-34927))</w:t>
              </w:r>
            </w:hyperlink>
          </w:p>
        </w:tc>
        <w:tc>
          <w:tcPr>
            <w:tcW w:w="5140" w:type="dxa"/>
            <w:vAlign w:val="bottom"/>
            <w:tcBorders>
              <w:top w:val="single" w:sz="8" w:color="0000FF"/>
            </w:tcBorders>
            <w:gridSpan w:val="10"/>
          </w:tcPr>
          <w:p>
            <w:pPr>
              <w:spacing w:after="0"/>
              <w:rPr>
                <w:sz w:val="12"/>
                <w:szCs w:val="12"/>
                <w:color w:val="auto"/>
              </w:rPr>
            </w:pPr>
          </w:p>
        </w:tc>
        <w:tc>
          <w:tcPr>
            <w:tcW w:w="3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2300" w:type="dxa"/>
            <w:vAlign w:val="bottom"/>
          </w:tcPr>
          <w:p>
            <w:pPr>
              <w:ind w:left="120"/>
              <w:spacing w:after="0"/>
              <w:rPr>
                <w:sz w:val="20"/>
                <w:szCs w:val="20"/>
                <w:color w:val="auto"/>
              </w:rPr>
            </w:pPr>
            <w:r>
              <w:rPr>
                <w:rFonts w:ascii="Arial" w:cs="Arial" w:eastAsia="Arial" w:hAnsi="Arial"/>
                <w:sz w:val="16"/>
                <w:szCs w:val="16"/>
                <w:color w:val="auto"/>
              </w:rPr>
              <w:t>31.1*</w:t>
            </w:r>
          </w:p>
        </w:tc>
        <w:tc>
          <w:tcPr>
            <w:tcW w:w="8580" w:type="dxa"/>
            <w:vAlign w:val="bottom"/>
            <w:gridSpan w:val="24"/>
          </w:tcPr>
          <w:p>
            <w:pPr>
              <w:spacing w:after="0"/>
              <w:rPr>
                <w:sz w:val="20"/>
                <w:szCs w:val="20"/>
                <w:color w:val="auto"/>
              </w:rPr>
            </w:pPr>
            <w:r>
              <w:rPr>
                <w:rFonts w:ascii="Arial" w:cs="Arial" w:eastAsia="Arial" w:hAnsi="Arial"/>
                <w:sz w:val="16"/>
                <w:szCs w:val="16"/>
                <w:color w:val="0000FF"/>
              </w:rPr>
              <w:t>Rule 13a-14(a)/15d-14(a) Certification of Chief Executive Officer of Registrant</w:t>
            </w:r>
          </w:p>
        </w:tc>
        <w:tc>
          <w:tcPr>
            <w:tcW w:w="0" w:type="dxa"/>
            <w:vAlign w:val="bottom"/>
          </w:tcPr>
          <w:p>
            <w:pPr>
              <w:spacing w:after="0"/>
              <w:rPr>
                <w:sz w:val="1"/>
                <w:szCs w:val="1"/>
                <w:color w:val="auto"/>
              </w:rPr>
            </w:pPr>
          </w:p>
        </w:tc>
      </w:tr>
      <w:tr>
        <w:trPr>
          <w:trHeight w:val="344"/>
        </w:trPr>
        <w:tc>
          <w:tcPr>
            <w:tcW w:w="2300" w:type="dxa"/>
            <w:vAlign w:val="bottom"/>
          </w:tcPr>
          <w:p>
            <w:pPr>
              <w:ind w:left="120"/>
              <w:spacing w:after="0"/>
              <w:rPr>
                <w:sz w:val="20"/>
                <w:szCs w:val="20"/>
                <w:color w:val="auto"/>
              </w:rPr>
            </w:pPr>
            <w:r>
              <w:rPr>
                <w:rFonts w:ascii="Arial" w:cs="Arial" w:eastAsia="Arial" w:hAnsi="Arial"/>
                <w:sz w:val="16"/>
                <w:szCs w:val="16"/>
                <w:color w:val="auto"/>
              </w:rPr>
              <w:t>31.2*</w:t>
            </w:r>
          </w:p>
        </w:tc>
        <w:tc>
          <w:tcPr>
            <w:tcW w:w="556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Rule 13a-14(a)/15d-14(a) Certification of Chief Financial Officer of Registrant</w:t>
            </w:r>
          </w:p>
        </w:tc>
        <w:tc>
          <w:tcPr>
            <w:tcW w:w="30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3380" w:type="dxa"/>
            <w:vAlign w:val="bottom"/>
            <w:gridSpan w:val="6"/>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00" w:type="dxa"/>
            <w:vAlign w:val="bottom"/>
            <w:vMerge w:val="continue"/>
          </w:tcPr>
          <w:p>
            <w:pPr>
              <w:spacing w:after="0"/>
              <w:rPr>
                <w:sz w:val="24"/>
                <w:szCs w:val="24"/>
                <w:color w:val="auto"/>
              </w:rPr>
            </w:pPr>
          </w:p>
        </w:tc>
        <w:tc>
          <w:tcPr>
            <w:tcW w:w="8580" w:type="dxa"/>
            <w:vAlign w:val="bottom"/>
            <w:gridSpan w:val="24"/>
          </w:tcPr>
          <w:p>
            <w:pPr>
              <w:spacing w:after="0"/>
              <w:rPr>
                <w:sz w:val="20"/>
                <w:szCs w:val="20"/>
                <w:color w:val="auto"/>
              </w:rPr>
            </w:pPr>
            <w:r>
              <w:rPr>
                <w:rFonts w:ascii="Arial" w:cs="Arial" w:eastAsia="Arial" w:hAnsi="Arial"/>
                <w:sz w:val="16"/>
                <w:szCs w:val="16"/>
                <w:color w:val="0000FF"/>
              </w:rPr>
              <w:t>Certification of Chief Executive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60" w:type="dxa"/>
            <w:vAlign w:val="bottom"/>
            <w:tcBorders>
              <w:top w:val="single" w:sz="8" w:color="0000FF"/>
            </w:tcBorders>
            <w:gridSpan w:val="6"/>
          </w:tcPr>
          <w:p>
            <w:pPr>
              <w:spacing w:after="0"/>
              <w:rPr>
                <w:sz w:val="12"/>
                <w:szCs w:val="12"/>
                <w:color w:val="auto"/>
              </w:rPr>
            </w:pPr>
          </w:p>
        </w:tc>
        <w:tc>
          <w:tcPr>
            <w:tcW w:w="5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23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8580" w:type="dxa"/>
            <w:vAlign w:val="bottom"/>
            <w:gridSpan w:val="24"/>
          </w:tcPr>
          <w:p>
            <w:pPr>
              <w:spacing w:after="0"/>
              <w:rPr>
                <w:sz w:val="20"/>
                <w:szCs w:val="20"/>
                <w:color w:val="auto"/>
              </w:rPr>
            </w:pPr>
            <w:r>
              <w:rPr>
                <w:rFonts w:ascii="Arial" w:cs="Arial" w:eastAsia="Arial" w:hAnsi="Arial"/>
                <w:sz w:val="16"/>
                <w:szCs w:val="16"/>
                <w:color w:val="0000FF"/>
              </w:rPr>
              <w:t>Certification of Chief Financial Officer of Registrant pursuant to 18 U.S.C. Section 1350, as adopted pursuant to</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4600" w:type="dxa"/>
            <w:vAlign w:val="bottom"/>
            <w:tcBorders>
              <w:top w:val="single" w:sz="8" w:color="0000FF"/>
            </w:tcBorders>
            <w:gridSpan w:val="5"/>
          </w:tcPr>
          <w:p>
            <w:pPr>
              <w:spacing w:after="0"/>
              <w:rPr>
                <w:sz w:val="12"/>
                <w:szCs w:val="12"/>
                <w:color w:val="auto"/>
              </w:rPr>
            </w:pPr>
          </w:p>
        </w:tc>
        <w:tc>
          <w:tcPr>
            <w:tcW w:w="6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300" w:type="dxa"/>
            <w:vAlign w:val="bottom"/>
          </w:tcPr>
          <w:p>
            <w:pPr>
              <w:spacing w:after="0"/>
              <w:rPr>
                <w:sz w:val="20"/>
                <w:szCs w:val="20"/>
                <w:color w:val="auto"/>
              </w:rPr>
            </w:pPr>
            <w:r>
              <w:rPr>
                <w:rFonts w:ascii="Arial" w:cs="Arial" w:eastAsia="Arial" w:hAnsi="Arial"/>
                <w:sz w:val="16"/>
                <w:szCs w:val="16"/>
                <w:color w:val="auto"/>
              </w:rPr>
              <w:t>101.INS*</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580" w:type="dxa"/>
            <w:vAlign w:val="bottom"/>
            <w:gridSpan w:val="24"/>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5"/>
        </w:trPr>
        <w:tc>
          <w:tcPr>
            <w:tcW w:w="2300" w:type="dxa"/>
            <w:vAlign w:val="bottom"/>
          </w:tcPr>
          <w:p>
            <w:pPr>
              <w:spacing w:after="0"/>
              <w:rPr>
                <w:sz w:val="20"/>
                <w:szCs w:val="20"/>
                <w:color w:val="auto"/>
              </w:rPr>
            </w:pPr>
            <w:r>
              <w:rPr>
                <w:rFonts w:ascii="Arial" w:cs="Arial" w:eastAsia="Arial" w:hAnsi="Arial"/>
                <w:sz w:val="16"/>
                <w:szCs w:val="16"/>
                <w:color w:val="auto"/>
              </w:rPr>
              <w:t>101.SCH*</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101.CAL*</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101.DEF*</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101.LAB*</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0"/>
                <w:szCs w:val="20"/>
                <w:color w:val="auto"/>
              </w:rPr>
            </w:pPr>
            <w:r>
              <w:rPr>
                <w:rFonts w:ascii="Arial" w:cs="Arial" w:eastAsia="Arial" w:hAnsi="Arial"/>
                <w:sz w:val="16"/>
                <w:szCs w:val="16"/>
                <w:color w:val="auto"/>
              </w:rPr>
              <w:t>101.PRE*</w:t>
            </w:r>
          </w:p>
        </w:tc>
        <w:tc>
          <w:tcPr>
            <w:tcW w:w="8580" w:type="dxa"/>
            <w:vAlign w:val="bottom"/>
            <w:gridSpan w:val="2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16"/>
                <w:szCs w:val="16"/>
                <w:color w:val="auto"/>
              </w:rPr>
              <w:t>104</w:t>
            </w:r>
          </w:p>
        </w:tc>
        <w:tc>
          <w:tcPr>
            <w:tcW w:w="8580" w:type="dxa"/>
            <w:vAlign w:val="bottom"/>
            <w:gridSpan w:val="24"/>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hanging="1354"/>
        <w:spacing w:after="0"/>
        <w:tabs>
          <w:tab w:leader="none" w:pos="1360" w:val="left"/>
        </w:tabs>
        <w:numPr>
          <w:ilvl w:val="0"/>
          <w:numId w:val="37"/>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8" w:lineRule="exact"/>
        <w:rPr>
          <w:sz w:val="20"/>
          <w:szCs w:val="20"/>
          <w:color w:val="auto"/>
        </w:rPr>
      </w:pPr>
    </w:p>
    <w:p>
      <w:pPr>
        <w:jc w:val="both"/>
        <w:ind w:left="1360" w:right="280" w:hanging="1354"/>
        <w:spacing w:after="0" w:line="226" w:lineRule="auto"/>
        <w:tabs>
          <w:tab w:leader="none" w:pos="1360" w:val="left"/>
        </w:tabs>
        <w:numPr>
          <w:ilvl w:val="0"/>
          <w:numId w:val="38"/>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840"/>
          </w:cols>
          <w:pgMar w:left="340" w:top="1022" w:right="7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Elias J. Sabo, certify that:</w:t>
      </w:r>
    </w:p>
    <w:p>
      <w:pPr>
        <w:spacing w:after="0" w:line="237"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Group Diversified Holdings LLC (the “registrant”);</w:t>
      </w:r>
    </w:p>
    <w:p>
      <w:pPr>
        <w:spacing w:after="0" w:line="223"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7"/>
          <w:szCs w:val="17"/>
          <w:color w:val="auto"/>
        </w:rPr>
      </w:pPr>
    </w:p>
    <w:p>
      <w:pPr>
        <w:ind w:left="660" w:right="380" w:hanging="328"/>
        <w:spacing w:after="0" w:line="301"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980" w:right="40" w:hanging="324"/>
        <w:spacing w:after="0" w:line="274" w:lineRule="auto"/>
        <w:tabs>
          <w:tab w:leader="none" w:pos="9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980" w:right="80" w:hanging="324"/>
        <w:spacing w:after="0" w:line="266" w:lineRule="auto"/>
        <w:tabs>
          <w:tab w:leader="none" w:pos="9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7"/>
          <w:szCs w:val="17"/>
          <w:color w:val="auto"/>
        </w:rPr>
      </w:pPr>
    </w:p>
    <w:p>
      <w:pPr>
        <w:ind w:left="980" w:right="20" w:hanging="324"/>
        <w:spacing w:after="0" w:line="274" w:lineRule="auto"/>
        <w:tabs>
          <w:tab w:leader="none" w:pos="978"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jc w:val="both"/>
        <w:ind w:left="980" w:right="200" w:hanging="324"/>
        <w:spacing w:after="0" w:line="266" w:lineRule="auto"/>
        <w:tabs>
          <w:tab w:leader="none" w:pos="9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right="480" w:hanging="324"/>
        <w:spacing w:after="0" w:line="284" w:lineRule="auto"/>
        <w:tabs>
          <w:tab w:leader="none" w:pos="9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80" w:right="100" w:hanging="324"/>
        <w:spacing w:after="0" w:line="284" w:lineRule="auto"/>
        <w:tabs>
          <w:tab w:leader="none" w:pos="9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December 29, 2025</w:t>
      </w:r>
    </w:p>
    <w:p>
      <w:pPr>
        <w:spacing w:after="0" w:line="12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27305</wp:posOffset>
            </wp:positionV>
            <wp:extent cx="2871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Elias J. Sabo</w:t>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Chief Executive Officer of</w:t>
      </w:r>
    </w:p>
    <w:p>
      <w:pPr>
        <w:ind w:left="66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Stephen Keller, certify that:</w:t>
      </w:r>
    </w:p>
    <w:p>
      <w:pPr>
        <w:spacing w:after="0" w:line="237" w:lineRule="exact"/>
        <w:rPr>
          <w:sz w:val="20"/>
          <w:szCs w:val="20"/>
          <w:color w:val="auto"/>
        </w:rPr>
      </w:pPr>
    </w:p>
    <w:p>
      <w:pPr>
        <w:ind w:left="660" w:right="80" w:hanging="328"/>
        <w:spacing w:after="0" w:line="284"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58" w:lineRule="exact"/>
        <w:rPr>
          <w:rFonts w:ascii="Arial" w:cs="Arial" w:eastAsia="Arial" w:hAnsi="Arial"/>
          <w:sz w:val="17"/>
          <w:szCs w:val="17"/>
          <w:color w:val="auto"/>
        </w:rPr>
      </w:pPr>
    </w:p>
    <w:p>
      <w:pPr>
        <w:ind w:left="660" w:right="20" w:hanging="328"/>
        <w:spacing w:after="0" w:line="266"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60" w:right="60" w:hanging="328"/>
        <w:spacing w:after="0" w:line="266"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7"/>
          <w:szCs w:val="17"/>
          <w:color w:val="auto"/>
        </w:rPr>
      </w:pPr>
    </w:p>
    <w:p>
      <w:pPr>
        <w:ind w:left="1300" w:right="180" w:hanging="320"/>
        <w:spacing w:after="0" w:line="274"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1300" w:right="40" w:hanging="320"/>
        <w:spacing w:after="0" w:line="266"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1300" w:right="80" w:hanging="320"/>
        <w:spacing w:after="0" w:line="266" w:lineRule="auto"/>
        <w:tabs>
          <w:tab w:leader="none" w:pos="1298"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1300" w:right="280" w:hanging="320"/>
        <w:spacing w:after="0" w:line="274"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100" w:hanging="328"/>
        <w:spacing w:after="0" w:line="284"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1300" w:right="160" w:hanging="320"/>
        <w:spacing w:after="0" w:line="284"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300" w:right="380" w:hanging="320"/>
        <w:spacing w:after="0" w:line="301" w:lineRule="auto"/>
        <w:tabs>
          <w:tab w:leader="none" w:pos="129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December 29, 2025</w:t>
      </w:r>
    </w:p>
    <w:p>
      <w:pPr>
        <w:spacing w:after="0" w:line="14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Stephen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27305</wp:posOffset>
            </wp:positionV>
            <wp:extent cx="30518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8"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Stephen Keller</w:t>
      </w:r>
    </w:p>
    <w:p>
      <w:pPr>
        <w:spacing w:after="0" w:line="17" w:lineRule="exact"/>
        <w:rPr>
          <w:sz w:val="20"/>
          <w:szCs w:val="20"/>
          <w:color w:val="auto"/>
        </w:rPr>
      </w:pPr>
    </w:p>
    <w:p>
      <w:pPr>
        <w:ind w:left="64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ind w:left="6460"/>
        <w:spacing w:after="0" w:line="215" w:lineRule="auto"/>
        <w:rPr>
          <w:sz w:val="20"/>
          <w:szCs w:val="20"/>
          <w:color w:val="auto"/>
        </w:rPr>
      </w:pPr>
      <w:r>
        <w:rPr>
          <w:rFonts w:ascii="Arial" w:cs="Arial" w:eastAsia="Arial" w:hAnsi="Arial"/>
          <w:sz w:val="17"/>
          <w:szCs w:val="17"/>
          <w:i w:val="1"/>
          <w:iCs w:val="1"/>
          <w:color w:val="auto"/>
        </w:rPr>
        <w:t>Financial Officer of</w:t>
      </w:r>
    </w:p>
    <w:p>
      <w:pPr>
        <w:ind w:left="6460"/>
        <w:spacing w:after="0" w:line="215"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In connection with the Quarterly Report of COMPASS GROUP DIVERSIFIED HOLDINGS LLC on Form 10-Q for the period ended June 30, 2025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09" w:lineRule="exact"/>
        <w:rPr>
          <w:sz w:val="20"/>
          <w:szCs w:val="20"/>
          <w:color w:val="auto"/>
        </w:rPr>
      </w:pPr>
    </w:p>
    <w:p>
      <w:pPr>
        <w:ind w:left="560" w:hanging="309"/>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December 29, 2025</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Elias J. Sabo</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Elias J. Sabo</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foregoing certification is being furnished to accompany Compass Group Diversified Holdings LLC’s Quarterly Report on Form 10-Q for the quarterly period ended June 30, 2025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COMPASS DIVERSIFIED HOLDINGS and COMPASS GROUP DIVERSIFIED HOLDINGS LLC on Form 10-Q for the period ended June 30, 2025 as filed with the Securities and Exchange Commission on the date hereof (the “Report”), I, Stephen Keller,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98" w:lineRule="exact"/>
        <w:rPr>
          <w:sz w:val="20"/>
          <w:szCs w:val="20"/>
          <w:color w:val="auto"/>
        </w:rPr>
      </w:pPr>
    </w:p>
    <w:p>
      <w:pPr>
        <w:ind w:left="560" w:hanging="309"/>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7" w:lineRule="exact"/>
        <w:rPr>
          <w:rFonts w:ascii="Arial" w:cs="Arial" w:eastAsia="Arial" w:hAnsi="Arial"/>
          <w:sz w:val="18"/>
          <w:szCs w:val="18"/>
          <w:color w:val="auto"/>
        </w:rPr>
      </w:pPr>
    </w:p>
    <w:p>
      <w:pPr>
        <w:ind w:left="580" w:right="400" w:hanging="329"/>
        <w:spacing w:after="0" w:line="287" w:lineRule="auto"/>
        <w:tabs>
          <w:tab w:leader="none" w:pos="5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Compass Diversified Holdings and Compass Group Diversified Holdings LLC.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Dated:  December 29, 2025</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Keller</w:t>
            </w:r>
          </w:p>
        </w:tc>
      </w:tr>
      <w:tr>
        <w:trPr>
          <w:trHeight w:val="21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Stephen Keller</w:t>
            </w:r>
          </w:p>
        </w:tc>
      </w:tr>
      <w:tr>
        <w:trPr>
          <w:trHeight w:val="181"/>
        </w:trPr>
        <w:tc>
          <w:tcPr>
            <w:tcW w:w="6940" w:type="dxa"/>
            <w:vAlign w:val="bottom"/>
          </w:tcPr>
          <w:p>
            <w:pPr>
              <w:spacing w:after="0"/>
              <w:rPr>
                <w:sz w:val="15"/>
                <w:szCs w:val="15"/>
                <w:color w:val="auto"/>
              </w:rPr>
            </w:pPr>
          </w:p>
        </w:tc>
        <w:tc>
          <w:tcPr>
            <w:tcW w:w="4220" w:type="dxa"/>
            <w:vAlign w:val="bottom"/>
          </w:tcPr>
          <w:p>
            <w:pPr>
              <w:ind w:left="20"/>
              <w:spacing w:after="0" w:line="181" w:lineRule="exact"/>
              <w:rPr>
                <w:sz w:val="20"/>
                <w:szCs w:val="20"/>
                <w:color w:val="auto"/>
              </w:rPr>
            </w:pPr>
            <w:r>
              <w:rPr>
                <w:rFonts w:ascii="Arial" w:cs="Arial" w:eastAsia="Arial" w:hAnsi="Arial"/>
                <w:sz w:val="18"/>
                <w:szCs w:val="18"/>
                <w:color w:val="auto"/>
              </w:rPr>
              <w:t>Regular Trustee, Compass Diversified Holdings and</w:t>
            </w:r>
          </w:p>
        </w:tc>
      </w:tr>
      <w:tr>
        <w:trPr>
          <w:trHeight w:val="184"/>
        </w:trPr>
        <w:tc>
          <w:tcPr>
            <w:tcW w:w="6940" w:type="dxa"/>
            <w:vAlign w:val="bottom"/>
          </w:tcPr>
          <w:p>
            <w:pPr>
              <w:spacing w:after="0"/>
              <w:rPr>
                <w:sz w:val="15"/>
                <w:szCs w:val="15"/>
                <w:color w:val="auto"/>
              </w:rPr>
            </w:pPr>
          </w:p>
        </w:tc>
        <w:tc>
          <w:tcPr>
            <w:tcW w:w="4220" w:type="dxa"/>
            <w:vAlign w:val="bottom"/>
          </w:tcPr>
          <w:p>
            <w:pPr>
              <w:ind w:left="20"/>
              <w:spacing w:after="0" w:line="183" w:lineRule="exact"/>
              <w:rPr>
                <w:sz w:val="20"/>
                <w:szCs w:val="20"/>
                <w:color w:val="auto"/>
              </w:rPr>
            </w:pPr>
            <w:r>
              <w:rPr>
                <w:rFonts w:ascii="Arial" w:cs="Arial" w:eastAsia="Arial" w:hAnsi="Arial"/>
                <w:sz w:val="18"/>
                <w:szCs w:val="18"/>
                <w:color w:val="auto"/>
              </w:rPr>
              <w:t>Chief Financial Officer,</w:t>
            </w:r>
          </w:p>
        </w:tc>
      </w:tr>
      <w:tr>
        <w:trPr>
          <w:trHeight w:val="239"/>
        </w:trPr>
        <w:tc>
          <w:tcPr>
            <w:tcW w:w="69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Compass Group Diversified Holdings LLC</w:t>
            </w:r>
          </w:p>
        </w:tc>
      </w:tr>
    </w:tbl>
    <w:p>
      <w:pPr>
        <w:spacing w:after="0" w:line="28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Quarterly Report on Form 10-Q for the quarterly period ended June 30, 2025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emdash "/>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Letter"/>
      <w:start w:val="4"/>
    </w:lvl>
  </w:abstractNum>
  <w:abstractNum w:abstractNumId="24">
    <w:nsid w:val="3006C83E"/>
    <w:multiLevelType w:val="hybridMultilevel"/>
    <w:lvl w:ilvl="0">
      <w:lvlJc w:val="left"/>
      <w:lvlText w:val="(%1)"/>
      <w:numFmt w:val="decimal"/>
      <w:start w:val="2"/>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4"/>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Roman"/>
      <w:start w:val="4"/>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Roman"/>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76" Type="http://schemas.openxmlformats.org/officeDocument/2006/relationships/hyperlink" Target="https://www.sec.gov/ix?doc=/Archives/edgar/data/0001345126/000119312521235786/d57259d8k.htm" TargetMode="External"/><Relationship Id="rId177" Type="http://schemas.openxmlformats.org/officeDocument/2006/relationships/hyperlink" Target="https://www.sec.gov/ix?doc=/Archives/edgar/data/0001345126/000134512624000048/codi-20240831.htm" TargetMode="External"/><Relationship Id="rId178" Type="http://schemas.openxmlformats.org/officeDocument/2006/relationships/hyperlink" Target="https://www.sec.gov/ix?doc=/Archives/edgar/data/0001345126/000134512622000008/codi-20220210.htm" TargetMode="External"/><Relationship Id="rId179" Type="http://schemas.openxmlformats.org/officeDocument/2006/relationships/hyperlink" Target="https://www.sec.gov/ix?doc=/Archives/edgar/data/0001345126/000119312524072850/d800897d8k.htm" TargetMode="External"/><Relationship Id="rId180" Type="http://schemas.openxmlformats.org/officeDocument/2006/relationships/hyperlink" Target="https://www.sec.gov/Archives/edgar/data/1345126/000119312524213116/d878317dex411.htm" TargetMode="External"/><Relationship Id="rId181" Type="http://schemas.openxmlformats.org/officeDocument/2006/relationships/hyperlink" Target="https://www.sec.gov/Archives/edgar/data/1345122/000134512617000038/exhibit32.htm" TargetMode="External"/><Relationship Id="rId182" Type="http://schemas.openxmlformats.org/officeDocument/2006/relationships/hyperlink" Target="https://www.sec.gov/Archives/edgar/data/1345126/000119312524213116/d878317dex414.htm" TargetMode="External"/><Relationship Id="rId183" Type="http://schemas.openxmlformats.org/officeDocument/2006/relationships/hyperlink" Target="https://www.sec.gov/Archives/edgar/data/1345126/000119312524213116/d878317dex417.htm" TargetMode="External"/><Relationship Id="rId184" Type="http://schemas.openxmlformats.org/officeDocument/2006/relationships/hyperlink" Target="https://www.sec.gov/Archives/edgar/data/1345126/000119312518080755/d436474dex32.htm" TargetMode="External"/><Relationship Id="rId185" Type="http://schemas.openxmlformats.org/officeDocument/2006/relationships/hyperlink" Target="https://www.sec.gov/Archives/edgar/data/1345126/000119312524213116/d878317dex420.htm" TargetMode="External"/><Relationship Id="rId188" Type="http://schemas.openxmlformats.org/officeDocument/2006/relationships/hyperlink" Target="https://www.sec.gov/Archives/edgar/data/1345126/000119312524213116/d878317dex423.htm" TargetMode="External"/><Relationship Id="rId189" Type="http://schemas.openxmlformats.org/officeDocument/2006/relationships/hyperlink" Target="https://www.sec.gov/ix?doc=/Archives/edgar/data/0001345126/000119312519296560/d835497d8k.htm" TargetMode="External"/><Relationship Id="rId190" Type="http://schemas.openxmlformats.org/officeDocument/2006/relationships/hyperlink" Target="https://www.sec.gov/Archives/edgar/data/1345126/000119312524213116/d878317dex426.htm" TargetMode="External"/><Relationship Id="rId191" Type="http://schemas.openxmlformats.org/officeDocument/2006/relationships/hyperlink" Target="https://www.sec.gov/Archives/edgar/data/1345126/000134512625000029/exhibit101-forbearanceand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2025-12-29T07:18:44Z</dcterms:created>
  <dcterms:modified xsi:type="dcterms:W3CDTF">2025-12-29T07:18:44Z</dcterms:modified>
</cp:coreProperties>
</file>