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525780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80645</wp:posOffset>
            </wp:positionV>
            <wp:extent cx="2331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-4445</wp:posOffset>
            </wp:positionV>
            <wp:extent cx="129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89535</wp:posOffset>
            </wp:positionV>
            <wp:extent cx="2331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DIVERSIFIED HOLDINGS</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5" w:lineRule="exact"/>
        <w:rPr>
          <w:sz w:val="24"/>
          <w:szCs w:val="24"/>
          <w:color w:val="auto"/>
        </w:rPr>
      </w:pPr>
    </w:p>
    <w:tbl>
      <w:tblPr>
        <w:tblLayout w:type="fixed"/>
        <w:tblInd w:w="1440" w:type="dxa"/>
        <w:tblCellMar>
          <w:top w:w="0" w:type="dxa"/>
          <w:left w:w="0" w:type="dxa"/>
          <w:bottom w:w="0" w:type="dxa"/>
          <w:right w:w="0" w:type="dxa"/>
        </w:tblCellMar>
      </w:tblPr>
      <w:tr>
        <w:trPr>
          <w:trHeight w:val="196"/>
        </w:trPr>
        <w:tc>
          <w:tcPr>
            <w:tcW w:w="2340" w:type="dxa"/>
            <w:vAlign w:val="bottom"/>
          </w:tcPr>
          <w:p>
            <w:pPr>
              <w:jc w:val="center"/>
              <w:ind w:right="228"/>
              <w:spacing w:after="0"/>
              <w:rPr>
                <w:sz w:val="20"/>
                <w:szCs w:val="20"/>
                <w:color w:val="auto"/>
              </w:rPr>
            </w:pPr>
            <w:r>
              <w:rPr>
                <w:rFonts w:ascii="Arial" w:cs="Arial" w:eastAsia="Arial" w:hAnsi="Arial"/>
                <w:sz w:val="14"/>
                <w:szCs w:val="14"/>
                <w:b w:val="1"/>
                <w:bCs w:val="1"/>
                <w:color w:val="auto"/>
              </w:rPr>
              <w:t>Delaware</w:t>
            </w:r>
          </w:p>
        </w:tc>
        <w:tc>
          <w:tcPr>
            <w:tcW w:w="3680" w:type="dxa"/>
            <w:vAlign w:val="bottom"/>
          </w:tcPr>
          <w:p>
            <w:pPr>
              <w:jc w:val="center"/>
              <w:ind w:right="8"/>
              <w:spacing w:after="0"/>
              <w:rPr>
                <w:sz w:val="20"/>
                <w:szCs w:val="20"/>
                <w:color w:val="auto"/>
              </w:rPr>
            </w:pPr>
            <w:r>
              <w:rPr>
                <w:rFonts w:ascii="Arial" w:cs="Arial" w:eastAsia="Arial" w:hAnsi="Arial"/>
                <w:sz w:val="14"/>
                <w:szCs w:val="14"/>
                <w:b w:val="1"/>
                <w:bCs w:val="1"/>
                <w:color w:val="auto"/>
              </w:rPr>
              <w:t>001-34927</w:t>
            </w:r>
          </w:p>
        </w:tc>
        <w:tc>
          <w:tcPr>
            <w:tcW w:w="2020" w:type="dxa"/>
            <w:vAlign w:val="bottom"/>
          </w:tcPr>
          <w:p>
            <w:pPr>
              <w:jc w:val="center"/>
              <w:ind w:left="428"/>
              <w:spacing w:after="0"/>
              <w:rPr>
                <w:sz w:val="20"/>
                <w:szCs w:val="20"/>
                <w:color w:val="auto"/>
              </w:rPr>
            </w:pPr>
            <w:r>
              <w:rPr>
                <w:rFonts w:ascii="Arial" w:cs="Arial" w:eastAsia="Arial" w:hAnsi="Arial"/>
                <w:sz w:val="14"/>
                <w:szCs w:val="14"/>
                <w:b w:val="1"/>
                <w:bCs w:val="1"/>
                <w:color w:val="auto"/>
              </w:rPr>
              <w:t>57-6218917</w:t>
            </w:r>
          </w:p>
        </w:tc>
      </w:tr>
      <w:tr>
        <w:trPr>
          <w:trHeight w:val="155"/>
        </w:trPr>
        <w:tc>
          <w:tcPr>
            <w:tcW w:w="2340" w:type="dxa"/>
            <w:vAlign w:val="bottom"/>
          </w:tcPr>
          <w:p>
            <w:pPr>
              <w:jc w:val="center"/>
              <w:ind w:right="22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3680" w:type="dxa"/>
            <w:vAlign w:val="bottom"/>
          </w:tcPr>
          <w:p>
            <w:pPr>
              <w:jc w:val="center"/>
              <w:ind w:right="8"/>
              <w:spacing w:after="0" w:line="155" w:lineRule="exact"/>
              <w:rPr>
                <w:sz w:val="20"/>
                <w:szCs w:val="20"/>
                <w:color w:val="auto"/>
              </w:rPr>
            </w:pPr>
            <w:r>
              <w:rPr>
                <w:rFonts w:ascii="Arial" w:cs="Arial" w:eastAsia="Arial" w:hAnsi="Arial"/>
                <w:sz w:val="14"/>
                <w:szCs w:val="14"/>
                <w:b w:val="1"/>
                <w:bCs w:val="1"/>
                <w:color w:val="auto"/>
              </w:rPr>
              <w:t>(Commission</w:t>
            </w:r>
          </w:p>
        </w:tc>
        <w:tc>
          <w:tcPr>
            <w:tcW w:w="2020" w:type="dxa"/>
            <w:vAlign w:val="bottom"/>
          </w:tcPr>
          <w:p>
            <w:pPr>
              <w:jc w:val="center"/>
              <w:ind w:left="42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340" w:type="dxa"/>
            <w:vAlign w:val="bottom"/>
          </w:tcPr>
          <w:p>
            <w:pPr>
              <w:jc w:val="center"/>
              <w:ind w:right="228"/>
              <w:spacing w:after="0"/>
              <w:rPr>
                <w:sz w:val="20"/>
                <w:szCs w:val="20"/>
                <w:color w:val="auto"/>
              </w:rPr>
            </w:pPr>
            <w:r>
              <w:rPr>
                <w:rFonts w:ascii="Arial" w:cs="Arial" w:eastAsia="Arial" w:hAnsi="Arial"/>
                <w:sz w:val="14"/>
                <w:szCs w:val="14"/>
                <w:b w:val="1"/>
                <w:bCs w:val="1"/>
                <w:color w:val="auto"/>
              </w:rPr>
              <w:t>incorporation or organization)</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020" w:type="dxa"/>
            <w:vAlign w:val="bottom"/>
          </w:tcPr>
          <w:p>
            <w:pPr>
              <w:jc w:val="center"/>
              <w:ind w:left="428"/>
              <w:spacing w:after="0"/>
              <w:rPr>
                <w:sz w:val="20"/>
                <w:szCs w:val="20"/>
                <w:color w:val="auto"/>
              </w:rPr>
            </w:pPr>
            <w:r>
              <w:rPr>
                <w:rFonts w:ascii="Arial" w:cs="Arial" w:eastAsia="Arial" w:hAnsi="Arial"/>
                <w:sz w:val="14"/>
                <w:szCs w:val="14"/>
                <w:b w:val="1"/>
                <w:bCs w:val="1"/>
                <w:color w:val="auto"/>
              </w:rPr>
              <w:t>identification number)</w:t>
            </w:r>
          </w:p>
        </w:tc>
      </w:tr>
      <w:tr>
        <w:trPr>
          <w:trHeight w:val="110"/>
        </w:trPr>
        <w:tc>
          <w:tcPr>
            <w:tcW w:w="234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r>
    </w:tbl>
    <w:p>
      <w:pPr>
        <w:spacing w:after="0" w:line="17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GROUP DIVERSIFIED HOLDINGS LLC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9" w:lineRule="exact"/>
        <w:rPr>
          <w:sz w:val="24"/>
          <w:szCs w:val="24"/>
          <w:color w:val="auto"/>
        </w:rPr>
      </w:pPr>
    </w:p>
    <w:tbl>
      <w:tblPr>
        <w:tblLayout w:type="fixed"/>
        <w:tblInd w:w="1440" w:type="dxa"/>
        <w:tblCellMar>
          <w:top w:w="0" w:type="dxa"/>
          <w:left w:w="0" w:type="dxa"/>
          <w:bottom w:w="0" w:type="dxa"/>
          <w:right w:w="0" w:type="dxa"/>
        </w:tblCellMar>
      </w:tblPr>
      <w:tr>
        <w:trPr>
          <w:trHeight w:val="196"/>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center"/>
              <w:ind w:right="68"/>
              <w:spacing w:after="0"/>
              <w:rPr>
                <w:sz w:val="20"/>
                <w:szCs w:val="20"/>
                <w:color w:val="auto"/>
              </w:rPr>
            </w:pPr>
            <w:r>
              <w:rPr>
                <w:rFonts w:ascii="Arial" w:cs="Arial" w:eastAsia="Arial" w:hAnsi="Arial"/>
                <w:sz w:val="14"/>
                <w:szCs w:val="14"/>
                <w:b w:val="1"/>
                <w:bCs w:val="1"/>
                <w:color w:val="auto"/>
              </w:rPr>
              <w:t>001-34926</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20-3812051</w:t>
            </w:r>
          </w:p>
        </w:tc>
      </w:tr>
      <w:tr>
        <w:trPr>
          <w:trHeight w:val="151"/>
        </w:trPr>
        <w:tc>
          <w:tcPr>
            <w:tcW w:w="2860" w:type="dxa"/>
            <w:vAlign w:val="bottom"/>
          </w:tcPr>
          <w:p>
            <w:pPr>
              <w:jc w:val="center"/>
              <w:ind w:right="748"/>
              <w:spacing w:after="0" w:line="151" w:lineRule="exact"/>
              <w:rPr>
                <w:sz w:val="20"/>
                <w:szCs w:val="20"/>
                <w:color w:val="auto"/>
              </w:rPr>
            </w:pPr>
            <w:r>
              <w:rPr>
                <w:rFonts w:ascii="Arial" w:cs="Arial" w:eastAsia="Arial" w:hAnsi="Arial"/>
                <w:sz w:val="14"/>
                <w:szCs w:val="14"/>
                <w:b w:val="1"/>
                <w:bCs w:val="1"/>
                <w:color w:val="auto"/>
              </w:rPr>
              <w:t>(State or other jurisdiction of</w:t>
            </w:r>
          </w:p>
        </w:tc>
        <w:tc>
          <w:tcPr>
            <w:tcW w:w="2700" w:type="dxa"/>
            <w:vAlign w:val="bottom"/>
          </w:tcPr>
          <w:p>
            <w:pPr>
              <w:jc w:val="center"/>
              <w:ind w:right="68"/>
              <w:spacing w:after="0" w:line="151"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888"/>
              <w:spacing w:after="0" w:line="151"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identification number)</w:t>
            </w:r>
          </w:p>
        </w:tc>
      </w:tr>
    </w:tbl>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6"/>
          <w:szCs w:val="16"/>
          <w:b w:val="1"/>
          <w:bCs w:val="1"/>
          <w:color w:val="auto"/>
        </w:rPr>
        <w:t>203</w:t>
      </w:r>
      <w:r>
        <w:rPr>
          <w:rFonts w:ascii="Times New Roman" w:cs="Times New Roman" w:eastAsia="Times New Roman" w:hAnsi="Times New Roman"/>
          <w:sz w:val="18"/>
          <w:szCs w:val="18"/>
          <w:color w:val="auto"/>
        </w:rPr>
        <w:t xml:space="preserve">) </w:t>
      </w:r>
      <w:r>
        <w:rPr>
          <w:rFonts w:ascii="Arial" w:cs="Arial" w:eastAsia="Arial" w:hAnsi="Arial"/>
          <w:sz w:val="16"/>
          <w:szCs w:val="16"/>
          <w:b w:val="1"/>
          <w:bCs w:val="1"/>
          <w:color w:val="auto"/>
        </w:rPr>
        <w:t>221-1703</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92075</wp:posOffset>
            </wp:positionV>
            <wp:extent cx="233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35" w:lineRule="exact"/>
        <w:rPr>
          <w:sz w:val="24"/>
          <w:szCs w:val="24"/>
          <w:color w:val="auto"/>
        </w:rPr>
      </w:pPr>
    </w:p>
    <w:tbl>
      <w:tblPr>
        <w:tblLayout w:type="fixed"/>
        <w:tblInd w:w="70" w:type="dxa"/>
        <w:tblCellMar>
          <w:top w:w="0" w:type="dxa"/>
          <w:left w:w="0" w:type="dxa"/>
          <w:bottom w:w="0" w:type="dxa"/>
          <w:right w:w="0" w:type="dxa"/>
        </w:tblCellMar>
      </w:tblPr>
      <w:tr>
        <w:trPr>
          <w:trHeight w:val="162"/>
        </w:trPr>
        <w:tc>
          <w:tcPr>
            <w:tcW w:w="5720" w:type="dxa"/>
            <w:vAlign w:val="bottom"/>
            <w:tcBorders>
              <w:top w:val="single" w:sz="8" w:color="auto"/>
              <w:lef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w:t>
            </w:r>
          </w:p>
        </w:tc>
        <w:tc>
          <w:tcPr>
            <w:tcW w:w="39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5720" w:type="dxa"/>
            <w:vAlign w:val="bottom"/>
            <w:tcBorders>
              <w:left w:val="single" w:sz="8" w:color="auto"/>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Symbol(s)</w:t>
            </w:r>
          </w:p>
        </w:tc>
        <w:tc>
          <w:tcPr>
            <w:tcW w:w="39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CODI</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6"/>
        </w:trPr>
        <w:tc>
          <w:tcPr>
            <w:tcW w:w="5720" w:type="dxa"/>
            <w:vAlign w:val="bottom"/>
            <w:tcBorders>
              <w:left w:val="single" w:sz="8" w:color="auto"/>
            </w:tcBorders>
          </w:tcPr>
          <w:p>
            <w:pPr>
              <w:ind w:left="40"/>
              <w:spacing w:after="0" w:line="146" w:lineRule="exact"/>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A</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76"/>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20" w:type="dxa"/>
            <w:vAlign w:val="bottom"/>
            <w:tcBorders>
              <w:left w:val="single" w:sz="8" w:color="auto"/>
            </w:tcBorders>
          </w:tcPr>
          <w:p>
            <w:pPr>
              <w:ind w:left="40"/>
              <w:spacing w:after="0" w:line="142" w:lineRule="exact"/>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B</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75"/>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20" w:type="dxa"/>
            <w:vAlign w:val="bottom"/>
            <w:tcBorders>
              <w:left w:val="single" w:sz="8" w:color="auto"/>
            </w:tcBorders>
          </w:tcPr>
          <w:p>
            <w:pPr>
              <w:ind w:left="40"/>
              <w:spacing w:after="0" w:line="142" w:lineRule="exact"/>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C</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76"/>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ind w:right="260"/>
        <w:spacing w:after="0" w:line="26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68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24" w:lineRule="exact"/>
        <w:rPr>
          <w:sz w:val="24"/>
          <w:szCs w:val="24"/>
          <w:color w:val="auto"/>
        </w:rPr>
      </w:pPr>
    </w:p>
    <w:p>
      <w:pPr>
        <w:ind w:right="6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18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908" w:right="379" w:bottom="1440" w:gutter="0" w:footer="0" w:header="0"/>
        </w:sectPr>
      </w:pPr>
    </w:p>
    <w:p>
      <w:pPr>
        <w:spacing w:after="0" w:line="26"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tabs>
          <w:tab w:leader="none" w:pos="480" w:val="left"/>
        </w:tabs>
        <w:rPr>
          <w:sz w:val="20"/>
          <w:szCs w:val="20"/>
          <w:color w:val="auto"/>
        </w:rPr>
      </w:pPr>
      <w:r>
        <w:rPr>
          <w:rFonts w:ascii="Wingdings" w:cs="Wingdings" w:eastAsia="Wingdings" w:hAnsi="Wingdings"/>
          <w:sz w:val="14"/>
          <w:szCs w:val="14"/>
          <w:b w:val="1"/>
          <w:bCs w:val="1"/>
          <w:color w:val="auto"/>
        </w:rPr>
        <w:t>x</w:t>
      </w:r>
      <w:r>
        <w:rPr>
          <w:sz w:val="20"/>
          <w:szCs w:val="20"/>
          <w:color w:val="auto"/>
        </w:rPr>
        <w:tab/>
      </w: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15" w:lineRule="exact"/>
        <w:rPr>
          <w:sz w:val="24"/>
          <w:szCs w:val="24"/>
          <w:color w:val="auto"/>
        </w:rPr>
      </w:pPr>
    </w:p>
    <w:p>
      <w:pPr>
        <w:sectPr>
          <w:pgSz w:w="11900" w:h="16838" w:orient="portrait"/>
          <w:cols w:equalWidth="0" w:num="5">
            <w:col w:w="3080" w:space="720"/>
            <w:col w:w="2260" w:space="720"/>
            <w:col w:w="140" w:space="220"/>
            <w:col w:w="1540" w:space="720"/>
            <w:col w:w="1800"/>
          </w:cols>
          <w:pgMar w:left="320" w:top="908" w:right="379" w:bottom="1440" w:gutter="0" w:footer="0" w:header="0"/>
          <w:type w:val="continuous"/>
        </w:sectPr>
      </w:pPr>
    </w:p>
    <w:p>
      <w:pPr>
        <w:spacing w:after="0" w:line="2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23" w:lineRule="exact"/>
        <w:rPr>
          <w:sz w:val="24"/>
          <w:szCs w:val="24"/>
          <w:color w:val="auto"/>
        </w:rPr>
      </w:pPr>
    </w:p>
    <w:p>
      <w:pPr>
        <w:sectPr>
          <w:pgSz w:w="11900" w:h="16838" w:orient="portrait"/>
          <w:cols w:equalWidth="0" w:num="4">
            <w:col w:w="3080" w:space="720"/>
            <w:col w:w="160" w:space="340"/>
            <w:col w:w="1760" w:space="720"/>
            <w:col w:w="4420"/>
          </w:cols>
          <w:pgMar w:left="320" w:top="908" w:right="379" w:bottom="1440" w:gutter="0" w:footer="0" w:header="0"/>
          <w:type w:val="continuous"/>
        </w:sectPr>
      </w:pPr>
    </w:p>
    <w:p>
      <w:pPr>
        <w:ind w:right="26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326" w:lineRule="exact"/>
        <w:rPr>
          <w:sz w:val="24"/>
          <w:szCs w:val="24"/>
          <w:color w:val="auto"/>
        </w:rPr>
      </w:pPr>
    </w:p>
    <w:p>
      <w:pPr>
        <w:ind w:left="1980"/>
        <w:spacing w:after="0"/>
        <w:rPr>
          <w:sz w:val="20"/>
          <w:szCs w:val="20"/>
          <w:color w:val="auto"/>
        </w:rPr>
      </w:pPr>
      <w:r>
        <w:rPr>
          <w:rFonts w:ascii="Arial" w:cs="Arial" w:eastAsia="Arial" w:hAnsi="Arial"/>
          <w:sz w:val="15"/>
          <w:szCs w:val="15"/>
          <w:color w:val="auto"/>
        </w:rPr>
        <w:t>As of January 9, 2026, there were 75,235,966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124460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7"/>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2"/>
                <w:szCs w:val="22"/>
                <w:b w:val="1"/>
                <w:bCs w:val="1"/>
                <w:color w:val="auto"/>
                <w:w w:val="97"/>
              </w:rPr>
              <w:t>COMPASS DIVERSIFIED HOLDINGS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0"/>
                <w:szCs w:val="20"/>
                <w:b w:val="1"/>
                <w:bCs w:val="1"/>
                <w:color w:val="auto"/>
                <w:w w:val="98"/>
              </w:rPr>
              <w:t>QUARTERLY REPORT ON FORM 10-Q</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900" w:type="dxa"/>
            <w:vAlign w:val="bottom"/>
            <w:gridSpan w:val="11"/>
          </w:tcPr>
          <w:p>
            <w:pPr>
              <w:jc w:val="center"/>
              <w:ind w:right="2500"/>
              <w:spacing w:after="0"/>
              <w:rPr>
                <w:sz w:val="20"/>
                <w:szCs w:val="20"/>
                <w:color w:val="auto"/>
              </w:rPr>
            </w:pPr>
            <w:r>
              <w:rPr>
                <w:rFonts w:ascii="Arial" w:cs="Arial" w:eastAsia="Arial" w:hAnsi="Arial"/>
                <w:sz w:val="20"/>
                <w:szCs w:val="20"/>
                <w:b w:val="1"/>
                <w:bCs w:val="1"/>
                <w:color w:val="auto"/>
                <w:w w:val="99"/>
              </w:rPr>
              <w:t>For the period ended September 30, 2025</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4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25"/>
        </w:trPr>
        <w:tc>
          <w:tcPr>
            <w:tcW w:w="10300" w:type="dxa"/>
            <w:vAlign w:val="bottom"/>
            <w:gridSpan w:val="18"/>
            <w:vMerge w:val="restart"/>
          </w:tcPr>
          <w:p>
            <w:pPr>
              <w:spacing w:after="0"/>
              <w:rPr>
                <w:sz w:val="20"/>
                <w:szCs w:val="20"/>
                <w:color w:val="auto"/>
              </w:rPr>
            </w:pPr>
            <w:r>
              <w:rPr>
                <w:rFonts w:ascii="Arial" w:cs="Arial" w:eastAsia="Arial" w:hAnsi="Arial"/>
                <w:sz w:val="17"/>
                <w:szCs w:val="17"/>
                <w:color w:val="0000FF"/>
              </w:rPr>
              <w:t>FORWARD-LOOKING STATEMENTS</w:t>
            </w:r>
          </w:p>
        </w:tc>
        <w:tc>
          <w:tcPr>
            <w:tcW w:w="9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5"/>
        </w:trPr>
        <w:tc>
          <w:tcPr>
            <w:tcW w:w="10300" w:type="dxa"/>
            <w:vAlign w:val="bottom"/>
            <w:gridSpan w:val="18"/>
            <w:vMerge w:val="continue"/>
          </w:tcPr>
          <w:p>
            <w:pPr>
              <w:spacing w:after="0"/>
              <w:rPr>
                <w:sz w:val="15"/>
                <w:szCs w:val="15"/>
                <w:color w:val="auto"/>
              </w:rPr>
            </w:pPr>
          </w:p>
        </w:tc>
        <w:tc>
          <w:tcPr>
            <w:tcW w:w="500" w:type="dxa"/>
            <w:vAlign w:val="bottom"/>
            <w:gridSpan w:val="3"/>
          </w:tcPr>
          <w:p>
            <w:pPr>
              <w:jc w:val="center"/>
              <w:ind w:left="335"/>
              <w:spacing w:after="0" w:line="142" w:lineRule="exact"/>
              <w:rPr>
                <w:sz w:val="20"/>
                <w:szCs w:val="20"/>
                <w:color w:val="auto"/>
              </w:rPr>
            </w:pPr>
            <w:r>
              <w:rPr>
                <w:rFonts w:ascii="Arial" w:cs="Arial" w:eastAsia="Arial" w:hAnsi="Arial"/>
                <w:sz w:val="16"/>
                <w:szCs w:val="16"/>
                <w:color w:val="0000FF"/>
                <w:w w:val="89"/>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3"/>
        </w:trPr>
        <w:tc>
          <w:tcPr>
            <w:tcW w:w="2880" w:type="dxa"/>
            <w:vAlign w:val="bottom"/>
            <w:tcBorders>
              <w:top w:val="single" w:sz="8" w:color="0000FF"/>
            </w:tcBorders>
            <w:gridSpan w:val="6"/>
          </w:tcPr>
          <w:p>
            <w:pPr>
              <w:spacing w:after="0"/>
              <w:rPr>
                <w:sz w:val="20"/>
                <w:szCs w:val="20"/>
                <w:color w:val="auto"/>
              </w:rPr>
            </w:pPr>
            <w:r>
              <w:rPr>
                <w:rFonts w:ascii="Arial" w:cs="Arial" w:eastAsia="Arial" w:hAnsi="Arial"/>
                <w:sz w:val="17"/>
                <w:szCs w:val="17"/>
                <w:b w:val="1"/>
                <w:bCs w:val="1"/>
                <w:color w:val="auto"/>
              </w:rPr>
              <w:t>PART I. FINANCIAL INFORMATION</w:t>
            </w:r>
          </w:p>
        </w:tc>
        <w:tc>
          <w:tcPr>
            <w:tcW w:w="742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540" w:type="dxa"/>
            <w:vAlign w:val="bottom"/>
            <w:gridSpan w:val="2"/>
          </w:tcPr>
          <w:p>
            <w:pPr>
              <w:spacing w:after="0" w:line="185" w:lineRule="exact"/>
              <w:rPr>
                <w:sz w:val="20"/>
                <w:szCs w:val="20"/>
                <w:color w:val="auto"/>
              </w:rPr>
            </w:pPr>
            <w:r>
              <w:rPr>
                <w:rFonts w:ascii="Arial" w:cs="Arial" w:eastAsia="Arial" w:hAnsi="Arial"/>
                <w:sz w:val="17"/>
                <w:szCs w:val="17"/>
                <w:color w:val="auto"/>
              </w:rPr>
              <w:t>ITEM 1.</w:t>
            </w:r>
          </w:p>
        </w:tc>
        <w:tc>
          <w:tcPr>
            <w:tcW w:w="8760" w:type="dxa"/>
            <w:vAlign w:val="bottom"/>
            <w:gridSpan w:val="16"/>
          </w:tcPr>
          <w:p>
            <w:pPr>
              <w:spacing w:after="0" w:line="185" w:lineRule="exact"/>
              <w:rPr>
                <w:sz w:val="20"/>
                <w:szCs w:val="20"/>
                <w:color w:val="auto"/>
              </w:rPr>
            </w:pPr>
            <w:r>
              <w:rPr>
                <w:rFonts w:ascii="Arial" w:cs="Arial" w:eastAsia="Arial" w:hAnsi="Arial"/>
                <w:sz w:val="17"/>
                <w:szCs w:val="17"/>
                <w:color w:val="0000FF"/>
              </w:rPr>
              <w:t>FINANCIAL STATEMENTS (UNAUDITED)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8"/>
          </w:tcPr>
          <w:p>
            <w:pPr>
              <w:spacing w:after="0"/>
              <w:rPr>
                <w:sz w:val="20"/>
                <w:szCs w:val="20"/>
                <w:color w:val="auto"/>
              </w:rPr>
            </w:pPr>
            <w:r>
              <w:rPr>
                <w:rFonts w:ascii="Arial" w:cs="Arial" w:eastAsia="Arial" w:hAnsi="Arial"/>
                <w:sz w:val="17"/>
                <w:szCs w:val="17"/>
                <w:color w:val="0000FF"/>
                <w:w w:val="99"/>
              </w:rPr>
              <w:t>CONDENSED CONSOLIDATED BALANCE SHEETS</w:t>
            </w:r>
          </w:p>
        </w:tc>
        <w:tc>
          <w:tcPr>
            <w:tcW w:w="4700" w:type="dxa"/>
            <w:vAlign w:val="bottom"/>
            <w:gridSpan w:val="8"/>
          </w:tcPr>
          <w:p>
            <w:pPr>
              <w:spacing w:after="0"/>
              <w:rPr>
                <w:sz w:val="18"/>
                <w:szCs w:val="18"/>
                <w:color w:val="auto"/>
              </w:rPr>
            </w:pPr>
          </w:p>
        </w:tc>
        <w:tc>
          <w:tcPr>
            <w:tcW w:w="500" w:type="dxa"/>
            <w:vAlign w:val="bottom"/>
            <w:gridSpan w:val="3"/>
          </w:tcPr>
          <w:p>
            <w:pPr>
              <w:jc w:val="center"/>
              <w:ind w:left="335"/>
              <w:spacing w:after="0"/>
              <w:rPr>
                <w:sz w:val="20"/>
                <w:szCs w:val="20"/>
                <w:color w:val="auto"/>
              </w:rPr>
            </w:pPr>
            <w:r>
              <w:rPr>
                <w:rFonts w:ascii="Arial" w:cs="Arial" w:eastAsia="Arial" w:hAnsi="Arial"/>
                <w:sz w:val="17"/>
                <w:szCs w:val="17"/>
                <w:color w:val="0000FF"/>
                <w:w w:val="84"/>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9"/>
          </w:tcPr>
          <w:p>
            <w:pPr>
              <w:spacing w:after="0"/>
              <w:rPr>
                <w:sz w:val="20"/>
                <w:szCs w:val="20"/>
                <w:color w:val="auto"/>
              </w:rPr>
            </w:pPr>
            <w:r>
              <w:rPr>
                <w:rFonts w:ascii="Arial" w:cs="Arial" w:eastAsia="Arial" w:hAnsi="Arial"/>
                <w:sz w:val="17"/>
                <w:szCs w:val="17"/>
                <w:color w:val="0000FF"/>
                <w:w w:val="99"/>
              </w:rPr>
              <w:t>CONDENSED CONSOLIDATED STATEMENTS OF OPERATIONS</w:t>
            </w:r>
          </w:p>
        </w:tc>
        <w:tc>
          <w:tcPr>
            <w:tcW w:w="3660" w:type="dxa"/>
            <w:vAlign w:val="bottom"/>
            <w:gridSpan w:val="7"/>
          </w:tcPr>
          <w:p>
            <w:pPr>
              <w:spacing w:after="0"/>
              <w:rPr>
                <w:sz w:val="18"/>
                <w:szCs w:val="18"/>
                <w:color w:val="auto"/>
              </w:rPr>
            </w:pPr>
          </w:p>
        </w:tc>
        <w:tc>
          <w:tcPr>
            <w:tcW w:w="500" w:type="dxa"/>
            <w:vAlign w:val="bottom"/>
            <w:gridSpan w:val="3"/>
          </w:tcPr>
          <w:p>
            <w:pPr>
              <w:jc w:val="center"/>
              <w:ind w:left="335"/>
              <w:spacing w:after="0"/>
              <w:rPr>
                <w:sz w:val="20"/>
                <w:szCs w:val="20"/>
                <w:color w:val="auto"/>
              </w:rPr>
            </w:pPr>
            <w:r>
              <w:rPr>
                <w:rFonts w:ascii="Arial" w:cs="Arial" w:eastAsia="Arial" w:hAnsi="Arial"/>
                <w:sz w:val="17"/>
                <w:szCs w:val="17"/>
                <w:color w:val="0000FF"/>
                <w:w w:val="84"/>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40" w:type="dxa"/>
            <w:vAlign w:val="bottom"/>
            <w:gridSpan w:val="14"/>
          </w:tcPr>
          <w:p>
            <w:pPr>
              <w:spacing w:after="0"/>
              <w:rPr>
                <w:sz w:val="20"/>
                <w:szCs w:val="20"/>
                <w:color w:val="auto"/>
              </w:rPr>
            </w:pPr>
            <w:r>
              <w:rPr>
                <w:rFonts w:ascii="Arial" w:cs="Arial" w:eastAsia="Arial" w:hAnsi="Arial"/>
                <w:sz w:val="17"/>
                <w:szCs w:val="17"/>
                <w:color w:val="0000FF"/>
                <w:w w:val="99"/>
              </w:rPr>
              <w:t>CONDENSED CONSOLIDATED STATEMENTS OF COMPREHENSIVE INCOME (LOSS)</w:t>
            </w:r>
          </w:p>
        </w:tc>
        <w:tc>
          <w:tcPr>
            <w:tcW w:w="1920" w:type="dxa"/>
            <w:vAlign w:val="bottom"/>
            <w:gridSpan w:val="2"/>
          </w:tcPr>
          <w:p>
            <w:pPr>
              <w:spacing w:after="0"/>
              <w:rPr>
                <w:sz w:val="18"/>
                <w:szCs w:val="18"/>
                <w:color w:val="auto"/>
              </w:rPr>
            </w:pPr>
          </w:p>
        </w:tc>
        <w:tc>
          <w:tcPr>
            <w:tcW w:w="500" w:type="dxa"/>
            <w:vAlign w:val="bottom"/>
            <w:gridSpan w:val="3"/>
          </w:tcPr>
          <w:p>
            <w:pPr>
              <w:jc w:val="center"/>
              <w:ind w:left="335"/>
              <w:spacing w:after="0"/>
              <w:rPr>
                <w:sz w:val="20"/>
                <w:szCs w:val="20"/>
                <w:color w:val="auto"/>
              </w:rPr>
            </w:pPr>
            <w:r>
              <w:rPr>
                <w:rFonts w:ascii="Arial" w:cs="Arial" w:eastAsia="Arial" w:hAnsi="Arial"/>
                <w:sz w:val="17"/>
                <w:szCs w:val="17"/>
                <w:color w:val="0000FF"/>
                <w:w w:val="84"/>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2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9"/>
              </w:rPr>
              <w:t>CONDENSED CONSOLIDATED STATEMENTS OF STOCKHOLDERS' EQUITY</w:t>
            </w:r>
          </w:p>
        </w:tc>
        <w:tc>
          <w:tcPr>
            <w:tcW w:w="72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9"/>
              </w:rPr>
              <w:t>CONDENSED CONSOLIDATED STATEMENTS OF CASH FLOWS</w:t>
            </w:r>
          </w:p>
        </w:tc>
        <w:tc>
          <w:tcPr>
            <w:tcW w:w="3640" w:type="dxa"/>
            <w:vAlign w:val="bottom"/>
            <w:gridSpan w:val="6"/>
          </w:tcPr>
          <w:p>
            <w:pPr>
              <w:spacing w:after="0"/>
              <w:rPr>
                <w:sz w:val="18"/>
                <w:szCs w:val="18"/>
                <w:color w:val="auto"/>
              </w:rPr>
            </w:pPr>
          </w:p>
        </w:tc>
        <w:tc>
          <w:tcPr>
            <w:tcW w:w="420" w:type="dxa"/>
            <w:vAlign w:val="bottom"/>
            <w:gridSpan w:val="2"/>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16"/>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MANAGEMENT'S DISCUSSION AND ANALYSIS OF FINANCIAL CONDITION AND RESULTS OF</w:t>
            </w:r>
          </w:p>
        </w:tc>
        <w:tc>
          <w:tcPr>
            <w:tcW w:w="1240" w:type="dxa"/>
            <w:vAlign w:val="bottom"/>
          </w:tcPr>
          <w:p>
            <w:pPr>
              <w:spacing w:after="0"/>
              <w:rPr>
                <w:sz w:val="24"/>
                <w:szCs w:val="24"/>
                <w:color w:val="auto"/>
              </w:rPr>
            </w:pPr>
          </w:p>
        </w:tc>
        <w:tc>
          <w:tcPr>
            <w:tcW w:w="600" w:type="dxa"/>
            <w:vAlign w:val="bottom"/>
            <w:gridSpan w:val="4"/>
            <w:vMerge w:val="restart"/>
          </w:tcPr>
          <w:p>
            <w:pPr>
              <w:jc w:val="center"/>
              <w:ind w:left="235"/>
              <w:spacing w:after="0"/>
              <w:rPr>
                <w:sz w:val="20"/>
                <w:szCs w:val="20"/>
                <w:color w:val="auto"/>
              </w:rPr>
            </w:pPr>
            <w:r>
              <w:rPr>
                <w:rFonts w:ascii="Arial" w:cs="Arial" w:eastAsia="Arial" w:hAnsi="Arial"/>
                <w:sz w:val="17"/>
                <w:szCs w:val="17"/>
                <w:color w:val="0000FF"/>
              </w:rPr>
              <w:t>60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gridSpan w:val="2"/>
            <w:vMerge w:val="restart"/>
          </w:tcPr>
          <w:p>
            <w:pPr>
              <w:spacing w:after="0" w:line="155" w:lineRule="exact"/>
              <w:rPr>
                <w:sz w:val="20"/>
                <w:szCs w:val="20"/>
                <w:color w:val="auto"/>
              </w:rPr>
            </w:pPr>
            <w:r>
              <w:rPr>
                <w:rFonts w:ascii="Arial" w:cs="Arial" w:eastAsia="Arial" w:hAnsi="Arial"/>
                <w:sz w:val="17"/>
                <w:szCs w:val="17"/>
                <w:color w:val="0000FF"/>
                <w:w w:val="98"/>
              </w:rPr>
              <w:t>OPERATIONS</w:t>
            </w:r>
          </w:p>
        </w:tc>
        <w:tc>
          <w:tcPr>
            <w:tcW w:w="7640" w:type="dxa"/>
            <w:vAlign w:val="bottom"/>
            <w:gridSpan w:val="14"/>
            <w:vMerge w:val="restart"/>
          </w:tcPr>
          <w:p>
            <w:pPr>
              <w:spacing w:after="0"/>
              <w:rPr>
                <w:sz w:val="5"/>
                <w:szCs w:val="5"/>
                <w:color w:val="auto"/>
              </w:rPr>
            </w:pPr>
          </w:p>
        </w:tc>
        <w:tc>
          <w:tcPr>
            <w:tcW w:w="6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Borders>
              <w:bottom w:val="single" w:sz="8" w:color="0000FF"/>
            </w:tcBorders>
            <w:gridSpan w:val="2"/>
            <w:vMerge w:val="continue"/>
          </w:tcPr>
          <w:p>
            <w:pPr>
              <w:spacing w:after="0"/>
              <w:rPr>
                <w:sz w:val="6"/>
                <w:szCs w:val="6"/>
                <w:color w:val="auto"/>
              </w:rPr>
            </w:pPr>
          </w:p>
        </w:tc>
        <w:tc>
          <w:tcPr>
            <w:tcW w:w="7640" w:type="dxa"/>
            <w:vAlign w:val="bottom"/>
            <w:gridSpan w:val="14"/>
            <w:vMerge w:val="continue"/>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540" w:type="dxa"/>
            <w:vAlign w:val="bottom"/>
            <w:gridSpan w:val="2"/>
          </w:tcPr>
          <w:p>
            <w:pPr>
              <w:spacing w:after="0"/>
              <w:rPr>
                <w:sz w:val="20"/>
                <w:szCs w:val="20"/>
                <w:color w:val="auto"/>
              </w:rPr>
            </w:pPr>
            <w:r>
              <w:rPr>
                <w:rFonts w:ascii="Arial" w:cs="Arial" w:eastAsia="Arial" w:hAnsi="Arial"/>
                <w:sz w:val="17"/>
                <w:szCs w:val="17"/>
                <w:color w:val="auto"/>
              </w:rPr>
              <w:t>ITEM 3.</w:t>
            </w:r>
          </w:p>
        </w:tc>
        <w:tc>
          <w:tcPr>
            <w:tcW w:w="5880" w:type="dxa"/>
            <w:vAlign w:val="bottom"/>
            <w:gridSpan w:val="12"/>
          </w:tcPr>
          <w:p>
            <w:pPr>
              <w:spacing w:after="0"/>
              <w:rPr>
                <w:sz w:val="20"/>
                <w:szCs w:val="20"/>
                <w:color w:val="auto"/>
              </w:rPr>
            </w:pPr>
            <w:r>
              <w:rPr>
                <w:rFonts w:ascii="Arial" w:cs="Arial" w:eastAsia="Arial" w:hAnsi="Arial"/>
                <w:sz w:val="17"/>
                <w:szCs w:val="17"/>
                <w:color w:val="0000FF"/>
                <w:w w:val="99"/>
              </w:rPr>
              <w:t>QUANTITATIVE AND QUALITATIVE DISCLOSURES ABOUT MARKET RISK</w:t>
            </w:r>
          </w:p>
        </w:tc>
        <w:tc>
          <w:tcPr>
            <w:tcW w:w="2880" w:type="dxa"/>
            <w:vAlign w:val="bottom"/>
            <w:gridSpan w:val="4"/>
          </w:tcPr>
          <w:p>
            <w:pPr>
              <w:spacing w:after="0"/>
              <w:rPr>
                <w:sz w:val="17"/>
                <w:szCs w:val="17"/>
                <w:color w:val="auto"/>
              </w:rPr>
            </w:pP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620" w:type="dxa"/>
            <w:vAlign w:val="bottom"/>
            <w:gridSpan w:val="6"/>
          </w:tcPr>
          <w:p>
            <w:pPr>
              <w:spacing w:after="0"/>
              <w:rPr>
                <w:sz w:val="20"/>
                <w:szCs w:val="20"/>
                <w:color w:val="auto"/>
              </w:rPr>
            </w:pPr>
            <w:r>
              <w:rPr>
                <w:rFonts w:ascii="Arial" w:cs="Arial" w:eastAsia="Arial" w:hAnsi="Arial"/>
                <w:sz w:val="17"/>
                <w:szCs w:val="17"/>
                <w:color w:val="0000FF"/>
              </w:rPr>
              <w:t>CONTROLS AND PROCEDURES</w:t>
            </w:r>
          </w:p>
        </w:tc>
        <w:tc>
          <w:tcPr>
            <w:tcW w:w="3260" w:type="dxa"/>
            <w:vAlign w:val="bottom"/>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30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760" w:type="dxa"/>
            <w:vAlign w:val="bottom"/>
            <w:gridSpan w:val="16"/>
          </w:tcPr>
          <w:p>
            <w:pPr>
              <w:spacing w:after="0"/>
              <w:rPr>
                <w:sz w:val="20"/>
                <w:szCs w:val="20"/>
                <w:color w:val="auto"/>
              </w:rPr>
            </w:pPr>
            <w:r>
              <w:rPr>
                <w:rFonts w:ascii="Arial" w:cs="Arial" w:eastAsia="Arial" w:hAnsi="Arial"/>
                <w:sz w:val="17"/>
                <w:szCs w:val="17"/>
                <w:color w:val="0000FF"/>
              </w:rPr>
              <w:t>LEGAL PROCEEDINGS</w:t>
            </w: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60" w:type="dxa"/>
            <w:vAlign w:val="bottom"/>
            <w:gridSpan w:val="3"/>
          </w:tcPr>
          <w:p>
            <w:pPr>
              <w:spacing w:after="0"/>
              <w:rPr>
                <w:sz w:val="20"/>
                <w:szCs w:val="20"/>
                <w:color w:val="auto"/>
              </w:rPr>
            </w:pPr>
            <w:r>
              <w:rPr>
                <w:rFonts w:ascii="Arial" w:cs="Arial" w:eastAsia="Arial" w:hAnsi="Arial"/>
                <w:sz w:val="17"/>
                <w:szCs w:val="17"/>
                <w:color w:val="0000FF"/>
                <w:w w:val="98"/>
              </w:rPr>
              <w:t>RISK FACTORS</w:t>
            </w:r>
          </w:p>
        </w:tc>
        <w:tc>
          <w:tcPr>
            <w:tcW w:w="600" w:type="dxa"/>
            <w:vAlign w:val="bottom"/>
            <w:gridSpan w:val="2"/>
          </w:tcPr>
          <w:p>
            <w:pPr>
              <w:spacing w:after="0"/>
              <w:rPr>
                <w:sz w:val="24"/>
                <w:szCs w:val="24"/>
                <w:color w:val="auto"/>
              </w:rPr>
            </w:pPr>
          </w:p>
        </w:tc>
        <w:tc>
          <w:tcPr>
            <w:tcW w:w="6900" w:type="dxa"/>
            <w:vAlign w:val="bottom"/>
            <w:gridSpan w:val="11"/>
          </w:tcPr>
          <w:p>
            <w:pPr>
              <w:spacing w:after="0"/>
              <w:rPr>
                <w:sz w:val="24"/>
                <w:szCs w:val="24"/>
                <w:color w:val="auto"/>
              </w:rPr>
            </w:pP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60" w:type="dxa"/>
            <w:vAlign w:val="bottom"/>
            <w:gridSpan w:val="3"/>
          </w:tcPr>
          <w:p>
            <w:pPr>
              <w:spacing w:after="0"/>
              <w:rPr>
                <w:sz w:val="20"/>
                <w:szCs w:val="20"/>
                <w:color w:val="auto"/>
              </w:rPr>
            </w:pPr>
            <w:r>
              <w:rPr>
                <w:rFonts w:ascii="Arial" w:cs="Arial" w:eastAsia="Arial" w:hAnsi="Arial"/>
                <w:sz w:val="17"/>
                <w:szCs w:val="17"/>
                <w:color w:val="0000FF"/>
              </w:rPr>
              <w:t>EXHIBITS</w:t>
            </w:r>
          </w:p>
        </w:tc>
        <w:tc>
          <w:tcPr>
            <w:tcW w:w="7500" w:type="dxa"/>
            <w:vAlign w:val="bottom"/>
            <w:gridSpan w:val="13"/>
          </w:tcPr>
          <w:p>
            <w:pPr>
              <w:spacing w:after="0"/>
              <w:rPr>
                <w:sz w:val="24"/>
                <w:szCs w:val="24"/>
                <w:color w:val="auto"/>
              </w:rPr>
            </w:pP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NOTE TO READER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refers to Compass Group Diversified Holdings LLC;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refers to Compass Diversified Holdings and Compass Group Diversified Holdings LLC, collectively;</w:t>
      </w:r>
    </w:p>
    <w:p>
      <w:pPr>
        <w:spacing w:after="0" w:line="76"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all refer to, collectively, the businesses controlled by the Company;</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refers to Compass Group Management LLC (“CGM”);</w:t>
      </w:r>
    </w:p>
    <w:p>
      <w:pPr>
        <w:spacing w:after="0" w:line="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refers to the Third Amended and Restated Trust Agreement of the Trust dated as of August 3, 2021, as further amended;</w:t>
      </w:r>
    </w:p>
    <w:p>
      <w:pPr>
        <w:spacing w:after="0" w:line="4"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Credit Facility" refers to the third amended and restated credit agreement entered into on July 12, 2022, as further amended, among the LLC, the lenders from time to time party thereto, Bank of America, N.A., as Administrative Agent, Swing Line Lender and letter of credit issuer (the "agent")</w:t>
      </w:r>
    </w:p>
    <w:p>
      <w:pPr>
        <w:spacing w:after="0" w:line="35"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Revolving Credit Facility" refers to the revolving loans, swing line loans and letters of credit provided by the 2022 Credit Facility that matures in 2027;</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"2022 Term Loan" refers to the term loans provided under the the 2022 Credit Facility;</w:t>
      </w:r>
    </w:p>
    <w:p>
      <w:pPr>
        <w:spacing w:after="0" w:line="44" w:lineRule="exact"/>
        <w:rPr>
          <w:rFonts w:ascii="Arial" w:cs="Arial" w:eastAsia="Arial" w:hAnsi="Arial"/>
          <w:sz w:val="22"/>
          <w:szCs w:val="22"/>
          <w:color w:val="auto"/>
        </w:rPr>
      </w:pPr>
    </w:p>
    <w:p>
      <w:pPr>
        <w:ind w:left="660" w:right="1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refers to the Sixth Amended and Restated Operating Agreement of the Company dated as of August 3, 2021, as further amended;</w:t>
      </w:r>
    </w:p>
    <w:p>
      <w:pPr>
        <w:spacing w:after="0" w:line="1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“Management Services Agreement” or “MSA” refer to the Management Services Agreement with CGM effective May 16, 2006, as amended; and</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(this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Forward-looking statements include, among other things, (i) statements as to our future performance or liquidity, such as expectations for our results of operation, net income, leverage, Adjusted EBITDA, and Adjusted Earnings and ability to make quarterly distributions, and (ii) our plans, strategies and objectives for future operations, including our business outlook and planned capital expenditures and (iii) our plans to maintain covenant compliance under the 2022 Credit Facility. Forward-looking statements in this Form 10-Q are subject to a number of risks and uncertainties, such as those disclosed or incorporated by reference in our filings with the SEC, including, but not limited to, those described under the sections entitled “Risk Factors” and “Management’s Discussion and Analysis of Financial Condition and Results of Operations” in both this Form 10-Q and our Amendment No. 1 to the Annual Report on Form 10-K/A for the year ended December 31, 2024 filed with the United States Securities and Exchange Commission (“SEC”) on December 8, 2025 as such factors may be updated from time to time in our filings with the SEC. Many of these risks and uncertainties are beyond our control. Important factors that could cause our actual results, performance and achievements to differ materially from those estimates or projections contained in our forward-looking statements include, among other things:</w:t>
      </w:r>
    </w:p>
    <w:p>
      <w:pPr>
        <w:spacing w:after="0" w:line="21" w:lineRule="exact"/>
        <w:rPr>
          <w:sz w:val="20"/>
          <w:szCs w:val="20"/>
          <w:color w:val="auto"/>
        </w:rPr>
      </w:pPr>
    </w:p>
    <w:p>
      <w:pPr>
        <w:jc w:val="both"/>
        <w:ind w:left="500" w:hanging="330"/>
        <w:spacing w:after="0" w:line="259"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relating to our representations regarding our financial statements and litigation, enforcement actions or investigations relating to our internal controls, restatement reviews, matters related to the Lugano Investigation (as defined herein) and additional liabilities we are currently unaware of;</w:t>
      </w:r>
    </w:p>
    <w:p>
      <w:pPr>
        <w:spacing w:after="0" w:line="18" w:lineRule="exact"/>
        <w:rPr>
          <w:rFonts w:ascii="Arial" w:cs="Arial" w:eastAsia="Arial" w:hAnsi="Arial"/>
          <w:sz w:val="18"/>
          <w:szCs w:val="18"/>
          <w:color w:val="auto"/>
        </w:rPr>
      </w:pPr>
    </w:p>
    <w:p>
      <w:pPr>
        <w:ind w:left="500" w:right="2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control deficiencies identified in the future will result in additional material weaknesses in our internal control over financial reporting;</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credit agreements or incur additional borrowings on terms we deem attractive;</w:t>
      </w:r>
    </w:p>
    <w:p>
      <w:pPr>
        <w:spacing w:after="0" w:line="48"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our intercompany loan to Lugano (as defined herein) may be subject to loss;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and our Manager’s ability to retain or replace qualified employees of our subsidiaries and Manager;</w:t>
      </w:r>
    </w:p>
    <w:p>
      <w:pPr>
        <w:spacing w:after="0" w:line="18"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difficulties and delays in identifying, integrating, and managing acquisitions or an inability to fully realize cost savings and other benefits related thereto;</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finance future acquisitions on acceptable terms;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ability to cause, in its sole discretion, the Trust to be converted into a corporation;</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ability to reduce or eliminate distributions to our shareholders;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reliance on receipts from our subsidiaries to make distributions to our shareholders;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ability to change the terms of the Company’s shares in its sole discretion;</w:t>
      </w:r>
    </w:p>
    <w:p>
      <w:pPr>
        <w:spacing w:after="0" w:line="18" w:lineRule="exact"/>
        <w:rPr>
          <w:rFonts w:ascii="Times New Roman" w:cs="Times New Roman" w:eastAsia="Times New Roman" w:hAnsi="Times New Roman"/>
          <w:sz w:val="22"/>
          <w:szCs w:val="22"/>
          <w:color w:val="auto"/>
        </w:rPr>
      </w:pPr>
    </w:p>
    <w:p>
      <w:pPr>
        <w:ind w:left="500" w:right="20" w:hanging="330"/>
        <w:spacing w:after="0" w:line="244"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provisions in our governing documents and the governing documents of the Trust which may limit a third party’s ability to acquire control of the Company and Trust;</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conflicts of interest to arise between the Company and the boards of directors of its respective businesses;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service our debt obligations;</w:t>
      </w:r>
    </w:p>
    <w:p>
      <w:pPr>
        <w:spacing w:after="0" w:line="18"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indebtedness may limit our ability to obtain financing in the future, increase the cost of future borrowings, limit our ability to use operating cash, and increase our vulnerability to adverse economic conditions;</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interest rate fluctuations;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conflicts of interest in acquisition opportunities;</w:t>
      </w:r>
    </w:p>
    <w:p>
      <w:pPr>
        <w:spacing w:after="0" w:line="18" w:lineRule="exact"/>
        <w:rPr>
          <w:rFonts w:ascii="Times New Roman" w:cs="Times New Roman" w:eastAsia="Times New Roman" w:hAnsi="Times New Roman"/>
          <w:sz w:val="22"/>
          <w:szCs w:val="22"/>
          <w:color w:val="auto"/>
        </w:rPr>
      </w:pPr>
    </w:p>
    <w:p>
      <w:pPr>
        <w:ind w:left="500" w:hanging="330"/>
        <w:spacing w:after="0" w:line="244"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we may be deemed to be an investment company under the Investment Company Act of 1940, as amended, if we cease to control and operate our businesses in the future;</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dependence of some of our businesses on a limited number of customers for a significant percentage of revenue;</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lack of long-term customer contracts;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changes to tariffs and import/export regulations;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impact of the Trust’s tax reclassification;</w:t>
      </w:r>
    </w:p>
    <w:p>
      <w:pPr>
        <w:spacing w:after="0" w:line="18" w:lineRule="exact"/>
        <w:rPr>
          <w:rFonts w:ascii="Times New Roman" w:cs="Times New Roman" w:eastAsia="Times New Roman" w:hAnsi="Times New Roman"/>
          <w:sz w:val="22"/>
          <w:szCs w:val="22"/>
          <w:color w:val="auto"/>
        </w:rPr>
      </w:pPr>
    </w:p>
    <w:p>
      <w:pPr>
        <w:ind w:left="500" w:hanging="330"/>
        <w:spacing w:after="0" w:line="249"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future changes to tax laws and the potential for the Trust to be taxed at rates higher than expected or for the Trust to fail to realize the anticipated benefits of its tax election;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discretionary and non-cumulative nature of distributions on Series A Preferred Shares;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subordination of our Series A, Series B, and Series C Preferred Shares to our existing and future indebtedness;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members of management to allocate their time to the operations of other businesses;</w:t>
      </w:r>
    </w:p>
    <w:p>
      <w:pPr>
        <w:spacing w:after="0" w:line="45" w:lineRule="exact"/>
        <w:rPr>
          <w:rFonts w:ascii="Times New Roman" w:cs="Times New Roman" w:eastAsia="Times New Roman" w:hAnsi="Times New Roman"/>
          <w:sz w:val="22"/>
          <w:szCs w:val="22"/>
          <w:color w:val="auto"/>
        </w:rPr>
      </w:pPr>
    </w:p>
    <w:p>
      <w:pPr>
        <w:ind w:left="500" w:right="2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our Manager, its affiliates, and members of the Company’s management team to engage in activities that compete with us or our businesses;</w:t>
      </w:r>
    </w:p>
    <w:p>
      <w:pPr>
        <w:spacing w:after="0" w:line="31" w:lineRule="exact"/>
        <w:rPr>
          <w:rFonts w:ascii="Times New Roman" w:cs="Times New Roman" w:eastAsia="Times New Roman" w:hAnsi="Times New Roman"/>
          <w:sz w:val="22"/>
          <w:szCs w:val="22"/>
          <w:color w:val="auto"/>
        </w:rPr>
      </w:pPr>
    </w:p>
    <w:p>
      <w:pPr>
        <w:ind w:left="500" w:right="20" w:hanging="330"/>
        <w:spacing w:after="0" w:line="244"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wide latitude that the Manager possesses in determining whether an acquisition or disposition opportunity does or does not meet the Company’s criteria;</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in removing our Manager for poor performance;</w:t>
      </w:r>
    </w:p>
    <w:p>
      <w:pPr>
        <w:spacing w:after="0" w:line="31" w:lineRule="exact"/>
        <w:rPr>
          <w:rFonts w:ascii="Times New Roman" w:cs="Times New Roman" w:eastAsia="Times New Roman" w:hAnsi="Times New Roman"/>
          <w:sz w:val="22"/>
          <w:szCs w:val="22"/>
          <w:color w:val="auto"/>
        </w:rPr>
      </w:pPr>
    </w:p>
    <w:p>
      <w:pPr>
        <w:ind w:left="500" w:hanging="330"/>
        <w:spacing w:after="0" w:line="244"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ability of our Manager to resign on 180 days’ notice and the possibility that we may be unable to find a suitable replacement in a timely fashion;</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requirement to pay our Manager the base management fee regardless of our performance;</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uncertainty with respect to determining the amount of the management fee that will be paid over time;</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uncertainty with respect to determining the amount of profit allocation that will be paid over time;</w:t>
      </w:r>
    </w:p>
    <w:p>
      <w:pPr>
        <w:spacing w:after="0" w:line="44" w:lineRule="exact"/>
        <w:rPr>
          <w:rFonts w:ascii="Times New Roman" w:cs="Times New Roman" w:eastAsia="Times New Roman" w:hAnsi="Times New Roman"/>
          <w:sz w:val="22"/>
          <w:szCs w:val="22"/>
          <w:color w:val="auto"/>
        </w:rPr>
      </w:pPr>
    </w:p>
    <w:p>
      <w:pPr>
        <w:ind w:left="500" w:right="2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payment of the management fee, fees under offsetting management services agreements, and profit allocation may significantly reduce the amount of earnings and cash available for shareholder distributions;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Manager’s influence and ability to increase its fees;</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our management fees or profit allocation may induce our Manager to make suboptimal operations decisions;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obligation to pay management fees and profit allocation may cause the Company to liquidate assets or incur debt;</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potential material environmental liabilities arising from a subsidiary’s operations and the prior operations of predecessor companies;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products liability and products safety claims against some of our businesses;</w:t>
      </w:r>
    </w:p>
    <w:p>
      <w:pPr>
        <w:spacing w:after="0" w:line="44"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cybersecurity-related risks, including system failures, data breaches, and the unauthorized access to and use of our and our customers’ confidential information;</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goodwill impairment;</w:t>
      </w:r>
    </w:p>
    <w:p>
      <w:pPr>
        <w:spacing w:after="0" w:line="44"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disruptions to our business, operations, and supply chains, including as a result of natural disasters, inclement weather, accidents, transportation delays, and other events;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fluctuations in the cost and availability, and the possibility of shortages, of raw materials, components, or whole goods;</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protect and enforce our intellectual property rights;</w:t>
      </w:r>
    </w:p>
    <w:p>
      <w:pPr>
        <w:spacing w:after="0" w:line="31"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legal and regulatory environment in which we and our subsidiaries operate, particularly with respect to environmental regulations, products safety regulations, and products liability;</w:t>
      </w:r>
    </w:p>
    <w:p>
      <w:pPr>
        <w:spacing w:after="0" w:line="45"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risks inherent in operating a global business, including political and economic volatility, differing or conflicting cross-jurisdictional requirements, and import/export restrictions; and</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importance of maintaining the value and reputation of our branded consumer businesses.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 description of the risks that could cause our actual results to differ appears under the sections entitled “Risk Factors” and “Management’s Discussion and Analysis of Financial Condition and Results of Operations” in both this Form 10-Q and our 2024 Form 10-K/A (as defined below).</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Form 10-Q may not occur. These forward-looking statements are made as of the date of this Form 10-Q. We undertake no obligation to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reported, we were unable to timely file our Quarterly Report on Form 10-Q for the three and nine months ended September 30, 2025 as a result of an investigation commenced in April 2025 by the Audit Committee of the Company’s board of directors (the “Audit Committee”) into the financial, accounting, and inventory practices of our Lugano Holding Inc. ("Lugano") subsidiary (the “Lugano Investigation”), as described in the Explanatory Note in Amendment No. 1 to our Annual Report on Form 10-K/A for the fiscal year ended December 31, 2024 filed with the SEC on December 8, 2025 (the “2024 Form 10-K/A”). The Company delayed the filing of this Quarterly Report on Form 10-Q for the quarter ended September 30, 2025 (this “Form 10-Q”) until the completion of the Lugano Investigation, the restatement of the Company’s prior financial information as set forth in the 2024 Form 10-K/A and the filing of the Company's Quarterly Reports on Form 10-Q for the three months ended March 31, 2025 and the three and six months ended June 30, 2025.</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Please refer to the 2024 Form 10-K/A and subsequent filings with the SEC for more information concerning the Lugano Investigation and its findings (see the “Explanatory Note” in the 2024 Form 10-K/A), our restatement of financial information as of December 31, 2024, 2023, and 2022 and for the fiscal years ended December 31, 2024, 2023, and 2022 as well as the interim periods in the fiscal years ended December 31, 2024, 2023, and 2022 (see Notes C and S to the consolidated financial statements of the Company included in Part II, Item 8. of the 2024 Form 10-K/A), and remediation actions taken and contemplated following the Lugano Investigation (see Part II, Item 9A of the 2024 Form 10-K/A).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80" w:type="dxa"/>
            <w:vAlign w:val="bottom"/>
          </w:tcPr>
          <w:p>
            <w:pPr>
              <w:jc w:val="center"/>
              <w:ind w:right="1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80" w:type="dxa"/>
            <w:vAlign w:val="bottom"/>
          </w:tcPr>
          <w:p>
            <w:pPr>
              <w:jc w:val="center"/>
              <w:ind w:right="168"/>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59,659</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224,689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207,172</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 net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602,180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571,248</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126,692</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1,010,750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964,771</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214,451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244,746</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895,420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895,916</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915,666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983,396</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210,881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208,593</w:t>
            </w:r>
          </w:p>
        </w:tc>
        <w:tc>
          <w:tcPr>
            <w:tcW w:w="0" w:type="dxa"/>
            <w:vAlign w:val="bottom"/>
          </w:tcPr>
          <w:p>
            <w:pPr>
              <w:spacing w:after="0"/>
              <w:rPr>
                <w:sz w:val="1"/>
                <w:szCs w:val="1"/>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3,247,168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3,297,422</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103,239</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338,391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318,476</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to related parties (refer to Note O)</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18,036</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portion, long-term debt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1,878,852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1,774,290</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Subsidiary financing arrangements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169,765</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49,617</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2,598,938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2,433,423</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106,804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108,091</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223,060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225,334</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2,928,802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2,766,848</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Commitments and contingencies (refer to Note N)</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Arial" w:cs="Arial" w:eastAsia="Arial" w:hAnsi="Arial"/>
                <w:sz w:val="14"/>
                <w:szCs w:val="14"/>
                <w:color w:val="auto"/>
              </w:rPr>
              <w:t>Trust preferred shares, 50,000 authorized; 20,109 shares issued and outstanding at September 30, 2025 and 17,497</w:t>
            </w: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shares issued and outstanding at December 31, 2024</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Series A preferred shares, no par value; 4,678 shares issued and outstanding at September 30, 2025 and 4,551</w:t>
            </w:r>
          </w:p>
        </w:tc>
        <w:tc>
          <w:tcPr>
            <w:tcW w:w="22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112,010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109,159</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issued and outstanding at December 31, 2024</w:t>
            </w:r>
          </w:p>
        </w:tc>
        <w:tc>
          <w:tcPr>
            <w:tcW w:w="22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Arial" w:cs="Arial" w:eastAsia="Arial" w:hAnsi="Arial"/>
                <w:sz w:val="14"/>
                <w:szCs w:val="14"/>
                <w:color w:val="auto"/>
              </w:rPr>
              <w:t>Series B preferred shares, no par value; 7,524 shares issued and outstanding at September 30, 2025 and and</w:t>
            </w:r>
          </w:p>
        </w:tc>
        <w:tc>
          <w:tcPr>
            <w:tcW w:w="22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177,771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147,906</w:t>
            </w:r>
          </w:p>
        </w:tc>
        <w:tc>
          <w:tcPr>
            <w:tcW w:w="0" w:type="dxa"/>
            <w:vAlign w:val="bottom"/>
          </w:tcPr>
          <w:p>
            <w:pPr>
              <w:spacing w:after="0"/>
              <w:rPr>
                <w:sz w:val="1"/>
                <w:szCs w:val="1"/>
                <w:color w:val="auto"/>
              </w:rPr>
            </w:pPr>
          </w:p>
        </w:tc>
      </w:tr>
      <w:tr>
        <w:trPr>
          <w:trHeight w:val="189"/>
        </w:trPr>
        <w:tc>
          <w:tcPr>
            <w:tcW w:w="7720" w:type="dxa"/>
            <w:vAlign w:val="bottom"/>
          </w:tcPr>
          <w:p>
            <w:pPr>
              <w:ind w:left="140"/>
              <w:spacing w:after="0"/>
              <w:rPr>
                <w:sz w:val="20"/>
                <w:szCs w:val="20"/>
                <w:color w:val="auto"/>
              </w:rPr>
            </w:pPr>
            <w:r>
              <w:rPr>
                <w:rFonts w:ascii="Arial" w:cs="Arial" w:eastAsia="Arial" w:hAnsi="Arial"/>
                <w:sz w:val="14"/>
                <w:szCs w:val="14"/>
                <w:color w:val="auto"/>
              </w:rPr>
              <w:t>6,192 shares issued and outstanding at December 31, 2024</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Series C preferred shares, no par value; 7,907 shares issued and outstanding at September 30, 2025 and 6,754</w:t>
            </w:r>
          </w:p>
        </w:tc>
        <w:tc>
          <w:tcPr>
            <w:tcW w:w="22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188,049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161,767</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issued and outstanding at December 31, 2024</w:t>
            </w:r>
          </w:p>
        </w:tc>
        <w:tc>
          <w:tcPr>
            <w:tcW w:w="22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line="149" w:lineRule="exact"/>
              <w:rPr>
                <w:sz w:val="20"/>
                <w:szCs w:val="20"/>
                <w:color w:val="auto"/>
              </w:rPr>
            </w:pPr>
            <w:r>
              <w:rPr>
                <w:rFonts w:ascii="Arial" w:cs="Arial" w:eastAsia="Arial" w:hAnsi="Arial"/>
                <w:sz w:val="14"/>
                <w:szCs w:val="14"/>
                <w:color w:val="auto"/>
              </w:rPr>
              <w:t>Trust common shares, no par value, 500,000 authorized; 76,135 shares issued and 75,236 shares outstanding at</w:t>
            </w:r>
          </w:p>
        </w:tc>
        <w:tc>
          <w:tcPr>
            <w:tcW w:w="22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1,288,951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1,289,010</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September 30, 2025 and December 31, 2024, respectively.</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at cost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(5,337)</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(1,225,681)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(1,004,975)</w:t>
            </w:r>
          </w:p>
        </w:tc>
        <w:tc>
          <w:tcPr>
            <w:tcW w:w="0" w:type="dxa"/>
            <w:vAlign w:val="bottom"/>
          </w:tcPr>
          <w:p>
            <w:pPr>
              <w:spacing w:after="0"/>
              <w:rPr>
                <w:sz w:val="1"/>
                <w:szCs w:val="1"/>
                <w:color w:val="auto"/>
              </w:rPr>
            </w:pPr>
          </w:p>
        </w:tc>
      </w:tr>
      <w:tr>
        <w:trPr>
          <w:trHeight w:val="192"/>
        </w:trPr>
        <w:tc>
          <w:tcPr>
            <w:tcW w:w="7720" w:type="dxa"/>
            <w:vAlign w:val="bottom"/>
          </w:tcPr>
          <w:p>
            <w:pPr>
              <w:ind w:left="360"/>
              <w:spacing w:after="0"/>
              <w:rPr>
                <w:sz w:val="20"/>
                <w:szCs w:val="20"/>
                <w:color w:val="auto"/>
              </w:rPr>
            </w:pPr>
            <w:r>
              <w:rPr>
                <w:rFonts w:ascii="Arial" w:cs="Arial" w:eastAsia="Arial" w:hAnsi="Arial"/>
                <w:sz w:val="14"/>
                <w:szCs w:val="14"/>
                <w:color w:val="auto"/>
              </w:rPr>
              <w:t>Total stockholders’ equity attributable to Holdings</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519,217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678,620</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(200,851)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(148,046)</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318,366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530,574</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3,247,168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3,297,422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Pr>
          <w:p>
            <w:pPr>
              <w:spacing w:after="0"/>
              <w:rPr>
                <w:sz w:val="14"/>
                <w:szCs w:val="14"/>
                <w:color w:val="auto"/>
              </w:rPr>
            </w:pPr>
          </w:p>
        </w:tc>
        <w:tc>
          <w:tcPr>
            <w:tcW w:w="246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8"/>
                <w:szCs w:val="18"/>
                <w:color w:val="auto"/>
              </w:rPr>
            </w:pPr>
          </w:p>
        </w:tc>
        <w:tc>
          <w:tcPr>
            <w:tcW w:w="2460" w:type="dxa"/>
            <w:vAlign w:val="bottom"/>
            <w:gridSpan w:val="4"/>
          </w:tcPr>
          <w:p>
            <w:pPr>
              <w:jc w:val="right"/>
              <w:ind w:right="764"/>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99"/>
        </w:trPr>
        <w:tc>
          <w:tcPr>
            <w:tcW w:w="55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472,562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456,553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1,405,027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1,294,084</w:t>
            </w:r>
          </w:p>
        </w:tc>
        <w:tc>
          <w:tcPr>
            <w:tcW w:w="0" w:type="dxa"/>
            <w:vAlign w:val="bottom"/>
          </w:tcPr>
          <w:p>
            <w:pPr>
              <w:spacing w:after="0"/>
              <w:rPr>
                <w:sz w:val="1"/>
                <w:szCs w:val="1"/>
                <w:color w:val="auto"/>
              </w:rPr>
            </w:pPr>
          </w:p>
        </w:tc>
      </w:tr>
      <w:tr>
        <w:trPr>
          <w:trHeight w:val="201"/>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264,847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259,920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792,739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734,314</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207,715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196,633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612,288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559,770</w:t>
            </w:r>
          </w:p>
        </w:tc>
        <w:tc>
          <w:tcPr>
            <w:tcW w:w="0" w:type="dxa"/>
            <w:vAlign w:val="bottom"/>
          </w:tcPr>
          <w:p>
            <w:pPr>
              <w:spacing w:after="0"/>
              <w:rPr>
                <w:sz w:val="1"/>
                <w:szCs w:val="1"/>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Selling, general and administrative expense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179,315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145,959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491,804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421,264</w:t>
            </w:r>
          </w:p>
        </w:tc>
        <w:tc>
          <w:tcPr>
            <w:tcW w:w="0" w:type="dxa"/>
            <w:vAlign w:val="bottom"/>
          </w:tcPr>
          <w:p>
            <w:pPr>
              <w:spacing w:after="0"/>
              <w:rPr>
                <w:sz w:val="1"/>
                <w:szCs w:val="1"/>
                <w:color w:val="auto"/>
              </w:rPr>
            </w:pP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Management fees</w:t>
            </w: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16,213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18,633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54,111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55,314</w:t>
            </w: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expense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23,254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23,721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71,317</w:t>
            </w:r>
          </w:p>
        </w:tc>
        <w:tc>
          <w:tcPr>
            <w:tcW w:w="0" w:type="dxa"/>
            <w:vAlign w:val="bottom"/>
          </w:tcPr>
          <w:p>
            <w:pPr>
              <w:spacing w:after="0"/>
              <w:rPr>
                <w:sz w:val="1"/>
                <w:szCs w:val="1"/>
                <w:color w:val="auto"/>
              </w:rPr>
            </w:pP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Impairment expense</w:t>
            </w:r>
          </w:p>
        </w:tc>
        <w:tc>
          <w:tcPr>
            <w:tcW w:w="2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31,515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8,182</w:t>
            </w:r>
          </w:p>
        </w:tc>
        <w:tc>
          <w:tcPr>
            <w:tcW w:w="0" w:type="dxa"/>
            <w:vAlign w:val="bottom"/>
          </w:tcPr>
          <w:p>
            <w:pPr>
              <w:spacing w:after="0"/>
              <w:rPr>
                <w:sz w:val="1"/>
                <w:szCs w:val="1"/>
                <w:color w:val="auto"/>
              </w:rPr>
            </w:pPr>
          </w:p>
        </w:tc>
      </w:tr>
      <w:tr>
        <w:trPr>
          <w:trHeight w:val="197"/>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(loss)</w:t>
            </w: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(11,067)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8,320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(34,864)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3,693</w:t>
            </w:r>
          </w:p>
        </w:tc>
        <w:tc>
          <w:tcPr>
            <w:tcW w:w="0" w:type="dxa"/>
            <w:vAlign w:val="bottom"/>
          </w:tcPr>
          <w:p>
            <w:pPr>
              <w:spacing w:after="0"/>
              <w:rPr>
                <w:sz w:val="1"/>
                <w:szCs w:val="1"/>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Interest expense, net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(86,483)</w:t>
            </w:r>
          </w:p>
        </w:tc>
        <w:tc>
          <w:tcPr>
            <w:tcW w:w="0" w:type="dxa"/>
            <w:vAlign w:val="bottom"/>
          </w:tcPr>
          <w:p>
            <w:pPr>
              <w:spacing w:after="0"/>
              <w:rPr>
                <w:sz w:val="1"/>
                <w:szCs w:val="1"/>
                <w:color w:val="auto"/>
              </w:rPr>
            </w:pP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Amortization of debt issuance costs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(3,014)</w:t>
            </w: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Loss on debt modification</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Gain (loss) on sale of Crosman (refer to Note C)</w:t>
            </w:r>
          </w:p>
        </w:tc>
        <w:tc>
          <w:tcPr>
            <w:tcW w:w="2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(24,218)</w:t>
            </w: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income (expense), net</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(37,769)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(14,311)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(125,853)</w:t>
            </w:r>
          </w:p>
        </w:tc>
        <w:tc>
          <w:tcPr>
            <w:tcW w:w="0" w:type="dxa"/>
            <w:vAlign w:val="bottom"/>
          </w:tcPr>
          <w:p>
            <w:pPr>
              <w:spacing w:after="0"/>
              <w:rPr>
                <w:sz w:val="1"/>
                <w:szCs w:val="1"/>
                <w:color w:val="auto"/>
              </w:rPr>
            </w:pPr>
          </w:p>
        </w:tc>
      </w:tr>
      <w:tr>
        <w:trPr>
          <w:trHeight w:val="195"/>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Loss from continuing operations before income taxes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(80,957)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(61,686)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(191,592)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(235,875)</w:t>
            </w: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Provision for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5,763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2,772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25,659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21,475</w:t>
            </w:r>
          </w:p>
        </w:tc>
        <w:tc>
          <w:tcPr>
            <w:tcW w:w="0" w:type="dxa"/>
            <w:vAlign w:val="bottom"/>
          </w:tcPr>
          <w:p>
            <w:pPr>
              <w:spacing w:after="0"/>
              <w:rPr>
                <w:sz w:val="1"/>
                <w:szCs w:val="1"/>
                <w:color w:val="auto"/>
              </w:rPr>
            </w:pPr>
          </w:p>
        </w:tc>
      </w:tr>
      <w:tr>
        <w:trPr>
          <w:trHeight w:val="195"/>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Loss from continuing operations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(86,720)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(64,458)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(217,251)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(257,350)</w:t>
            </w: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Income (loss) from discontinued operations, net of income taxes</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Gain (loss) on sale of discontinued operations, net of income taxes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3,345</w:t>
            </w:r>
          </w:p>
        </w:tc>
        <w:tc>
          <w:tcPr>
            <w:tcW w:w="0" w:type="dxa"/>
            <w:vAlign w:val="bottom"/>
          </w:tcPr>
          <w:p>
            <w:pPr>
              <w:spacing w:after="0"/>
              <w:rPr>
                <w:sz w:val="1"/>
                <w:szCs w:val="1"/>
                <w:color w:val="auto"/>
              </w:rPr>
            </w:pPr>
          </w:p>
        </w:tc>
      </w:tr>
      <w:tr>
        <w:trPr>
          <w:trHeight w:val="197"/>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(87,243)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(65,546)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(214,925)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(253,904)</w:t>
            </w:r>
          </w:p>
        </w:tc>
        <w:tc>
          <w:tcPr>
            <w:tcW w:w="0" w:type="dxa"/>
            <w:vAlign w:val="bottom"/>
          </w:tcPr>
          <w:p>
            <w:pPr>
              <w:spacing w:after="0"/>
              <w:rPr>
                <w:sz w:val="1"/>
                <w:szCs w:val="1"/>
                <w:color w:val="auto"/>
              </w:rPr>
            </w:pPr>
          </w:p>
        </w:tc>
      </w:tr>
      <w:tr>
        <w:trPr>
          <w:trHeight w:val="149"/>
        </w:trPr>
        <w:tc>
          <w:tcPr>
            <w:tcW w:w="5560" w:type="dxa"/>
            <w:vAlign w:val="bottom"/>
          </w:tcPr>
          <w:p>
            <w:pPr>
              <w:ind w:left="340"/>
              <w:spacing w:after="0" w:line="149" w:lineRule="exact"/>
              <w:rPr>
                <w:sz w:val="20"/>
                <w:szCs w:val="20"/>
                <w:color w:val="auto"/>
              </w:rPr>
            </w:pPr>
            <w:r>
              <w:rPr>
                <w:rFonts w:ascii="Arial" w:cs="Arial" w:eastAsia="Arial" w:hAnsi="Arial"/>
                <w:sz w:val="15"/>
                <w:szCs w:val="15"/>
                <w:color w:val="auto"/>
              </w:rPr>
              <w:t>Less: Net loss from continuing operations attributable to noncontrolling</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340"/>
              <w:spacing w:after="0"/>
              <w:rPr>
                <w:sz w:val="20"/>
                <w:szCs w:val="20"/>
                <w:color w:val="auto"/>
              </w:rPr>
            </w:pPr>
            <w:r>
              <w:rPr>
                <w:rFonts w:ascii="Arial" w:cs="Arial" w:eastAsia="Arial" w:hAnsi="Arial"/>
                <w:sz w:val="15"/>
                <w:szCs w:val="15"/>
                <w:color w:val="auto"/>
              </w:rPr>
              <w:t>interest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(28,922)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(59,700)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(87,480)</w:t>
            </w:r>
          </w:p>
        </w:tc>
        <w:tc>
          <w:tcPr>
            <w:tcW w:w="0" w:type="dxa"/>
            <w:vAlign w:val="bottom"/>
          </w:tcPr>
          <w:p>
            <w:pPr>
              <w:spacing w:after="0"/>
              <w:rPr>
                <w:sz w:val="1"/>
                <w:szCs w:val="1"/>
                <w:color w:val="auto"/>
              </w:rPr>
            </w:pPr>
          </w:p>
        </w:tc>
      </w:tr>
      <w:tr>
        <w:trPr>
          <w:trHeight w:val="152"/>
        </w:trPr>
        <w:tc>
          <w:tcPr>
            <w:tcW w:w="5560" w:type="dxa"/>
            <w:vAlign w:val="bottom"/>
            <w:shd w:val="clear" w:color="auto" w:fill="CCEEFF"/>
          </w:tcPr>
          <w:p>
            <w:pPr>
              <w:ind w:left="340"/>
              <w:spacing w:after="0" w:line="151" w:lineRule="exact"/>
              <w:rPr>
                <w:sz w:val="20"/>
                <w:szCs w:val="20"/>
                <w:color w:val="auto"/>
              </w:rPr>
            </w:pPr>
            <w:r>
              <w:rPr>
                <w:rFonts w:ascii="Arial" w:cs="Arial" w:eastAsia="Arial" w:hAnsi="Arial"/>
                <w:sz w:val="15"/>
                <w:szCs w:val="15"/>
                <w:color w:val="auto"/>
              </w:rPr>
              <w:t>Less: Net loss from discontinued operations attributable to noncontrolling</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interest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w:t>
            </w: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Net loss attributable to Holdings</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(74,015)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(36,032)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(155,225)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(165,261)</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Holdings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Loss from continuing operations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(157,551)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(169,870)</w:t>
            </w:r>
          </w:p>
        </w:tc>
        <w:tc>
          <w:tcPr>
            <w:tcW w:w="0" w:type="dxa"/>
            <w:vAlign w:val="bottom"/>
          </w:tcPr>
          <w:p>
            <w:pPr>
              <w:spacing w:after="0"/>
              <w:rPr>
                <w:sz w:val="1"/>
                <w:szCs w:val="1"/>
                <w:color w:val="auto"/>
              </w:rPr>
            </w:pP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Income (loss) from discontinued operations, net of income tax</w:t>
            </w:r>
          </w:p>
        </w:tc>
        <w:tc>
          <w:tcPr>
            <w:tcW w:w="2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1,264</w:t>
            </w: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Gain (loss) on sale of discontinued operations, net of income tax</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3,345</w:t>
            </w:r>
          </w:p>
        </w:tc>
        <w:tc>
          <w:tcPr>
            <w:tcW w:w="0" w:type="dxa"/>
            <w:vAlign w:val="bottom"/>
          </w:tcPr>
          <w:p>
            <w:pPr>
              <w:spacing w:after="0"/>
              <w:rPr>
                <w:sz w:val="1"/>
                <w:szCs w:val="1"/>
                <w:color w:val="auto"/>
              </w:rPr>
            </w:pPr>
          </w:p>
        </w:tc>
      </w:tr>
      <w:tr>
        <w:trPr>
          <w:trHeight w:val="194"/>
        </w:trPr>
        <w:tc>
          <w:tcPr>
            <w:tcW w:w="5560" w:type="dxa"/>
            <w:vAlign w:val="bottom"/>
          </w:tcPr>
          <w:p>
            <w:pPr>
              <w:ind w:left="340"/>
              <w:spacing w:after="0"/>
              <w:rPr>
                <w:sz w:val="20"/>
                <w:szCs w:val="20"/>
                <w:color w:val="auto"/>
              </w:rPr>
            </w:pPr>
            <w:r>
              <w:rPr>
                <w:rFonts w:ascii="Arial" w:cs="Arial" w:eastAsia="Arial" w:hAnsi="Arial"/>
                <w:sz w:val="15"/>
                <w:szCs w:val="15"/>
                <w:color w:val="auto"/>
              </w:rPr>
              <w:t>Net loss attributable to Holdings</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(74,015)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(36,032)</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(155,225)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(165,261)</w:t>
            </w:r>
          </w:p>
        </w:tc>
        <w:tc>
          <w:tcPr>
            <w:tcW w:w="0" w:type="dxa"/>
            <w:vAlign w:val="bottom"/>
          </w:tcPr>
          <w:p>
            <w:pPr>
              <w:spacing w:after="0"/>
              <w:rPr>
                <w:sz w:val="1"/>
                <w:szCs w:val="1"/>
                <w:color w:val="auto"/>
              </w:rPr>
            </w:pPr>
          </w:p>
        </w:tc>
      </w:tr>
      <w:tr>
        <w:trPr>
          <w:trHeight w:val="23"/>
        </w:trPr>
        <w:tc>
          <w:tcPr>
            <w:tcW w:w="55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Basic income (loss) per common share attributable to Holdings (refer to</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Note I)</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Continuing operations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201"/>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Discontinued operations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Basic loss per common share attributable to Holdings (refer to Note I)</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75,236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75,645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75,236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75,437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distributions declared per Trust common share (refer to Note I)</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0.75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111125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95"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460" w:type="dxa"/>
            <w:vAlign w:val="bottom"/>
            <w:gridSpan w:val="4"/>
          </w:tcPr>
          <w:p>
            <w:pPr>
              <w:jc w:val="right"/>
              <w:ind w:right="604"/>
              <w:spacing w:after="0"/>
              <w:rPr>
                <w:sz w:val="20"/>
                <w:szCs w:val="20"/>
                <w:color w:val="auto"/>
              </w:rPr>
            </w:pPr>
            <w:r>
              <w:rPr>
                <w:rFonts w:ascii="Arial" w:cs="Arial" w:eastAsia="Arial" w:hAnsi="Arial"/>
                <w:sz w:val="15"/>
                <w:szCs w:val="15"/>
                <w:b w:val="1"/>
                <w:bCs w:val="1"/>
                <w:color w:val="auto"/>
              </w:rPr>
              <w:t>Nine months ended</w:t>
            </w:r>
          </w:p>
        </w:tc>
      </w:tr>
      <w:tr>
        <w:trPr>
          <w:trHeight w:val="213"/>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58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8"/>
                <w:szCs w:val="18"/>
                <w:color w:val="auto"/>
              </w:rPr>
            </w:pPr>
          </w:p>
        </w:tc>
        <w:tc>
          <w:tcPr>
            <w:tcW w:w="2460" w:type="dxa"/>
            <w:vAlign w:val="bottom"/>
            <w:gridSpan w:val="4"/>
          </w:tcPr>
          <w:p>
            <w:pPr>
              <w:jc w:val="right"/>
              <w:ind w:right="744"/>
              <w:spacing w:after="0"/>
              <w:rPr>
                <w:sz w:val="20"/>
                <w:szCs w:val="20"/>
                <w:color w:val="auto"/>
              </w:rPr>
            </w:pPr>
            <w:r>
              <w:rPr>
                <w:rFonts w:ascii="Arial" w:cs="Arial" w:eastAsia="Arial" w:hAnsi="Arial"/>
                <w:sz w:val="15"/>
                <w:szCs w:val="15"/>
                <w:b w:val="1"/>
                <w:bCs w:val="1"/>
                <w:color w:val="auto"/>
              </w:rPr>
              <w:t>September 30,</w:t>
            </w:r>
          </w:p>
        </w:tc>
      </w:tr>
      <w:tr>
        <w:trPr>
          <w:trHeight w:val="199"/>
        </w:trPr>
        <w:tc>
          <w:tcPr>
            <w:tcW w:w="56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2024</w:t>
            </w:r>
          </w:p>
        </w:tc>
      </w:tr>
      <w:tr>
        <w:trPr>
          <w:trHeight w:val="19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(87,243)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(65,546)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(214,925)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(253,904)</w:t>
            </w:r>
          </w:p>
        </w:tc>
      </w:tr>
      <w:tr>
        <w:trPr>
          <w:trHeight w:val="181"/>
        </w:trPr>
        <w:tc>
          <w:tcPr>
            <w:tcW w:w="562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4"/>
        </w:trPr>
        <w:tc>
          <w:tcPr>
            <w:tcW w:w="56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Foreign currency translation adjustments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(1,847)</w:t>
            </w:r>
          </w:p>
        </w:tc>
      </w:tr>
      <w:tr>
        <w:trPr>
          <w:trHeight w:val="201"/>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Pension benefit liability, net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761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(1,305)</w:t>
            </w:r>
          </w:p>
        </w:tc>
      </w:tr>
      <w:tr>
        <w:trPr>
          <w:trHeight w:val="197"/>
        </w:trPr>
        <w:tc>
          <w:tcPr>
            <w:tcW w:w="56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1,479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2,364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(3,152)</w:t>
            </w:r>
          </w:p>
        </w:tc>
      </w:tr>
      <w:tr>
        <w:trPr>
          <w:trHeight w:val="195"/>
        </w:trPr>
        <w:tc>
          <w:tcPr>
            <w:tcW w:w="5620" w:type="dxa"/>
            <w:vAlign w:val="bottom"/>
          </w:tcPr>
          <w:p>
            <w:pPr>
              <w:ind w:left="20"/>
              <w:spacing w:after="0"/>
              <w:rPr>
                <w:sz w:val="20"/>
                <w:szCs w:val="20"/>
                <w:color w:val="auto"/>
              </w:rPr>
            </w:pPr>
            <w:r>
              <w:rPr>
                <w:rFonts w:ascii="Arial" w:cs="Arial" w:eastAsia="Arial" w:hAnsi="Arial"/>
                <w:sz w:val="15"/>
                <w:szCs w:val="15"/>
                <w:color w:val="auto"/>
              </w:rPr>
              <w:t>Total comprehensive loss, net of tax</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(86,176)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(64,067)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(212,561)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(257,056)</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Net loss attributable to noncontrolling interests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(88,643)</w:t>
            </w:r>
          </w:p>
        </w:tc>
      </w:tr>
      <w:tr>
        <w:trPr>
          <w:trHeight w:val="20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Other comprehensive income (loss) attributable to noncontrolling interests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w:t>
            </w:r>
          </w:p>
        </w:tc>
      </w:tr>
      <w:tr>
        <w:trPr>
          <w:trHeight w:val="222"/>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loss attributable to Holdings, net of tax</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(34,450)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(151,735)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(168,204)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125730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Stockholders'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3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1"/>
                <w:szCs w:val="11"/>
                <w:color w:val="auto"/>
              </w:rPr>
            </w:pPr>
          </w:p>
        </w:tc>
        <w:tc>
          <w:tcPr>
            <w:tcW w:w="2120" w:type="dxa"/>
            <w:vAlign w:val="bottom"/>
            <w:gridSpan w:val="6"/>
            <w:vMerge w:val="restart"/>
          </w:tcPr>
          <w:p>
            <w:pPr>
              <w:jc w:val="center"/>
              <w:ind w:right="28"/>
              <w:spacing w:after="0"/>
              <w:rPr>
                <w:sz w:val="20"/>
                <w:szCs w:val="20"/>
                <w:color w:val="auto"/>
              </w:rPr>
            </w:pPr>
            <w:r>
              <w:rPr>
                <w:rFonts w:ascii="Arial" w:cs="Arial" w:eastAsia="Arial" w:hAnsi="Arial"/>
                <w:sz w:val="13"/>
                <w:szCs w:val="13"/>
                <w:b w:val="1"/>
                <w:bCs w:val="1"/>
                <w:color w:val="auto"/>
              </w:rPr>
              <w:t>Trust Preferred Shares</w:t>
            </w:r>
          </w:p>
        </w:tc>
        <w:tc>
          <w:tcPr>
            <w:tcW w:w="8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8"/>
              </w:rPr>
              <w:t>Trust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Equity</w:t>
            </w:r>
          </w:p>
        </w:tc>
        <w:tc>
          <w:tcPr>
            <w:tcW w:w="82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0"/>
                <w:szCs w:val="10"/>
                <w:color w:val="auto"/>
              </w:rPr>
            </w:pPr>
          </w:p>
        </w:tc>
        <w:tc>
          <w:tcPr>
            <w:tcW w:w="8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0"/>
                <w:szCs w:val="10"/>
                <w:color w:val="auto"/>
              </w:rPr>
            </w:pPr>
          </w:p>
        </w:tc>
        <w:tc>
          <w:tcPr>
            <w:tcW w:w="8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A</w:t>
            </w: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Series B</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rPr>
              <w:t>Common</w:t>
            </w:r>
          </w:p>
        </w:tc>
        <w:tc>
          <w:tcPr>
            <w:tcW w:w="80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Treasury</w:t>
            </w:r>
          </w:p>
        </w:tc>
        <w:tc>
          <w:tcPr>
            <w:tcW w:w="96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rPr>
              <w:t>Attributable</w:t>
            </w:r>
          </w:p>
        </w:tc>
        <w:tc>
          <w:tcPr>
            <w:tcW w:w="820" w:type="dxa"/>
            <w:vAlign w:val="bottom"/>
            <w:gridSpan w:val="2"/>
          </w:tcPr>
          <w:p>
            <w:pPr>
              <w:jc w:val="center"/>
              <w:ind w:right="60"/>
              <w:spacing w:after="0" w:line="133" w:lineRule="exact"/>
              <w:rPr>
                <w:sz w:val="20"/>
                <w:szCs w:val="20"/>
                <w:color w:val="auto"/>
              </w:rPr>
            </w:pPr>
            <w:r>
              <w:rPr>
                <w:rFonts w:ascii="Arial" w:cs="Arial" w:eastAsia="Arial" w:hAnsi="Arial"/>
                <w:sz w:val="13"/>
                <w:szCs w:val="13"/>
                <w:b w:val="1"/>
                <w:bCs w:val="1"/>
                <w:color w:val="auto"/>
              </w:rPr>
              <w:t>Controlling</w:t>
            </w:r>
          </w:p>
        </w:tc>
        <w:tc>
          <w:tcPr>
            <w:tcW w:w="96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Attributable</w:t>
            </w:r>
          </w:p>
        </w:tc>
        <w:tc>
          <w:tcPr>
            <w:tcW w:w="98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to Holdings</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Interest</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to Disc. Ops.</w:t>
            </w:r>
          </w:p>
        </w:tc>
        <w:tc>
          <w:tcPr>
            <w:tcW w:w="18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13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Balance — July 1,</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97,453</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99,558</w:t>
            </w: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$ 116,710</w:t>
            </w: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$1,285,796</w:t>
            </w: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(9,339)</w:t>
            </w: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(874,205)</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(4,628)</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711,345</w:t>
            </w: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 (102,673)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16,691</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625,363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2024, as restated</w:t>
            </w: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(36,032)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(36,032)</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(28,922)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(65,546)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1,479</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net</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3,552</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7,445</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6,975</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17,141</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Effect of subsidiary</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Common</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(18,913)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(18,913)</w:t>
            </w:r>
          </w:p>
        </w:tc>
        <w:tc>
          <w:tcPr>
            <w:tcW w:w="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(6,345)</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3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100,174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107,003</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$ 123,685</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$1,289,348</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(9,339)</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(935,495)</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(3,149)</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672,227</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7"/>
              </w:rPr>
              <w:t>$ (128,556)</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16,331</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560,002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2024, as restated</w:t>
            </w: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Balance — July 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112,010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177,771</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$ 188,049</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$1,288,951</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(1,141,951)</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(4,040)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601,880</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 (191,150)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410,730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2025</w:t>
            </w: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(74,015)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(74,015)</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(87,243)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1,067</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net</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Effect of subsidiary</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(9,715)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(9,715)</w:t>
            </w:r>
          </w:p>
        </w:tc>
        <w:tc>
          <w:tcPr>
            <w:tcW w:w="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(9,715)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3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 —</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112,010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177,771</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$ 188,049</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$1,288,951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(1,225,681)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(2,973)</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519,217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 (200,851)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318,366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2025</w:t>
            </w:r>
          </w:p>
        </w:tc>
        <w:tc>
          <w:tcPr>
            <w:tcW w:w="10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48"/>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1"/>
                <w:szCs w:val="11"/>
                <w:color w:val="auto"/>
              </w:rPr>
            </w:pPr>
          </w:p>
        </w:tc>
        <w:tc>
          <w:tcPr>
            <w:tcW w:w="2120" w:type="dxa"/>
            <w:vAlign w:val="bottom"/>
            <w:gridSpan w:val="6"/>
            <w:vMerge w:val="restart"/>
          </w:tcPr>
          <w:p>
            <w:pPr>
              <w:jc w:val="center"/>
              <w:ind w:right="29"/>
              <w:spacing w:after="0"/>
              <w:rPr>
                <w:sz w:val="20"/>
                <w:szCs w:val="20"/>
                <w:color w:val="auto"/>
              </w:rPr>
            </w:pPr>
            <w:r>
              <w:rPr>
                <w:rFonts w:ascii="Arial" w:cs="Arial" w:eastAsia="Arial" w:hAnsi="Arial"/>
                <w:sz w:val="13"/>
                <w:szCs w:val="13"/>
                <w:b w:val="1"/>
                <w:bCs w:val="1"/>
                <w:color w:val="auto"/>
              </w:rPr>
              <w:t>Trust Preferred Shares</w:t>
            </w:r>
          </w:p>
        </w:tc>
        <w:tc>
          <w:tcPr>
            <w:tcW w:w="8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2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8"/>
              </w:rPr>
              <w:t>Trust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0"/>
                <w:szCs w:val="10"/>
                <w:color w:val="auto"/>
              </w:rPr>
            </w:pPr>
          </w:p>
        </w:tc>
        <w:tc>
          <w:tcPr>
            <w:tcW w:w="8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0"/>
                <w:szCs w:val="10"/>
                <w:color w:val="auto"/>
              </w:rPr>
            </w:pPr>
          </w:p>
        </w:tc>
        <w:tc>
          <w:tcPr>
            <w:tcW w:w="740" w:type="dxa"/>
            <w:vAlign w:val="bottom"/>
          </w:tcPr>
          <w:p>
            <w:pPr>
              <w:jc w:val="right"/>
              <w:ind w:right="230"/>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A</w:t>
            </w: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Series B</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rPr>
              <w:t>Common</w:t>
            </w:r>
          </w:p>
        </w:tc>
        <w:tc>
          <w:tcPr>
            <w:tcW w:w="80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Treasury</w:t>
            </w:r>
          </w:p>
        </w:tc>
        <w:tc>
          <w:tcPr>
            <w:tcW w:w="96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rPr>
              <w:t>Attributable</w:t>
            </w:r>
          </w:p>
        </w:tc>
        <w:tc>
          <w:tcPr>
            <w:tcW w:w="82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Controlling</w:t>
            </w:r>
          </w:p>
        </w:tc>
        <w:tc>
          <w:tcPr>
            <w:tcW w:w="96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Attributable</w:t>
            </w:r>
          </w:p>
        </w:tc>
        <w:tc>
          <w:tcPr>
            <w:tcW w:w="9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to Holdings</w:t>
            </w:r>
          </w:p>
        </w:tc>
        <w:tc>
          <w:tcPr>
            <w:tcW w:w="10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Interest</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to Disc. Ops.</w:t>
            </w:r>
          </w:p>
        </w:tc>
        <w:tc>
          <w:tcPr>
            <w:tcW w:w="180" w:type="dxa"/>
            <w:vAlign w:val="bottom"/>
          </w:tcPr>
          <w:p>
            <w:pPr>
              <w:spacing w:after="0"/>
              <w:rPr>
                <w:sz w:val="16"/>
                <w:szCs w:val="16"/>
                <w:color w:val="auto"/>
              </w:rPr>
            </w:pPr>
          </w:p>
        </w:tc>
        <w:tc>
          <w:tcPr>
            <w:tcW w:w="740" w:type="dxa"/>
            <w:vAlign w:val="bottom"/>
          </w:tcPr>
          <w:p>
            <w:pPr>
              <w:jc w:val="right"/>
              <w:ind w:right="19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4"/>
        </w:trPr>
        <w:tc>
          <w:tcPr>
            <w:tcW w:w="13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Balance —</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January 1, 2024,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96,417</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96,504</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$1,281,303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(646,225)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929,660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(89,991)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16,756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856,425</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restated</w:t>
            </w: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(165,261)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(165,261)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(87,480)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(253,904)</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(3,152)</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net</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8,045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8,045</w:t>
            </w:r>
          </w:p>
        </w:tc>
        <w:tc>
          <w:tcPr>
            <w:tcW w:w="0" w:type="dxa"/>
            <w:vAlign w:val="bottom"/>
          </w:tcPr>
          <w:p>
            <w:pPr>
              <w:spacing w:after="0"/>
              <w:rPr>
                <w:sz w:val="1"/>
                <w:szCs w:val="1"/>
                <w:color w:val="auto"/>
              </w:rPr>
            </w:pPr>
          </w:p>
        </w:tc>
      </w:tr>
      <w:tr>
        <w:trPr>
          <w:trHeight w:val="185"/>
        </w:trPr>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10,499</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12,688</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26,944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26,944</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738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13,026</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Effect of subsidiary</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(4,327)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(4,327)</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Acquisition of THP</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41,674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41,674</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Distributions paid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Allocation Interests</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(48,941)</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(refer to Note I)</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Common</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(56,577)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(56,577)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(56,577)</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(18,491)</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100,174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107,003</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$ 123,685</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$1,289,348</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(9,339)</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(935,495)</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(3,149)</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672,227</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(128,556)</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16,331</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560,002</w:t>
            </w:r>
          </w:p>
        </w:tc>
        <w:tc>
          <w:tcPr>
            <w:tcW w:w="0" w:type="dxa"/>
            <w:vAlign w:val="bottom"/>
          </w:tcPr>
          <w:p>
            <w:pPr>
              <w:spacing w:after="0"/>
              <w:rPr>
                <w:sz w:val="1"/>
                <w:szCs w:val="1"/>
                <w:color w:val="auto"/>
              </w:rPr>
            </w:pPr>
          </w:p>
        </w:tc>
      </w:tr>
      <w:tr>
        <w:trPr>
          <w:trHeight w:val="167"/>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2024, as restated</w:t>
            </w: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Balance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109,159</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147,906</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$ 161,767</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$1,289,010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(1,004,975)</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678,620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(148,046)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530,574</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January 1, 2025</w:t>
            </w: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(155,225)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(155,225)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(59,700)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(214,925)</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2,364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net</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5"/>
        </w:trPr>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29,865</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26,282</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58,998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58,998</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12,274</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Effect of subsidiary</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(7,249)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(7,249)</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Common</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(37,618)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(37,618)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(37,618)</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(27,863)</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112,010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177,771</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$ 188,049</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$1,288,951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(18,910)</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(1,225,681)</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(2,973)</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519,217</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(200,851)</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318,366</w:t>
            </w:r>
          </w:p>
        </w:tc>
        <w:tc>
          <w:tcPr>
            <w:tcW w:w="0" w:type="dxa"/>
            <w:vAlign w:val="bottom"/>
          </w:tcPr>
          <w:p>
            <w:pPr>
              <w:spacing w:after="0"/>
              <w:rPr>
                <w:sz w:val="1"/>
                <w:szCs w:val="1"/>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638" w:right="39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125730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638" w:right="399" w:bottom="1440" w:gutter="0" w:footer="0" w:header="0"/>
          <w:type w:val="continuous"/>
        </w:sectPr>
      </w:pPr>
    </w:p>
    <w:bookmarkStart w:id="11" w:name="page12"/>
    <w:bookmarkEnd w:id="11"/>
    <w:p>
      <w:pPr>
        <w:jc w:val="center"/>
        <w:ind w:left="1220" w:right="2180"/>
        <w:spacing w:after="0" w:line="399" w:lineRule="auto"/>
        <w:rPr>
          <w:sz w:val="20"/>
          <w:szCs w:val="20"/>
          <w:color w:val="auto"/>
        </w:rPr>
      </w:pPr>
      <w:r>
        <w:rPr>
          <w:rFonts w:ascii="Arial" w:cs="Arial" w:eastAsia="Arial" w:hAnsi="Arial"/>
          <w:sz w:val="16"/>
          <w:szCs w:val="16"/>
          <w:b w:val="1"/>
          <w:bCs w:val="1"/>
          <w:color w:val="auto"/>
        </w:rPr>
        <w:t>COMPASS DIVERSIFIED HOLDINGS CONDENSED CONSOLIDATED STATEMENTS OF CASH FLOWS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6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r>
      <w:tr>
        <w:trPr>
          <w:trHeight w:val="236"/>
        </w:trPr>
        <w:tc>
          <w:tcPr>
            <w:tcW w:w="64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r>
      <w:tr>
        <w:trPr>
          <w:trHeight w:val="212"/>
        </w:trPr>
        <w:tc>
          <w:tcPr>
            <w:tcW w:w="640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(214,925)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(253,904)</w:t>
            </w:r>
          </w:p>
        </w:tc>
      </w:tr>
      <w:tr>
        <w:trPr>
          <w:trHeight w:val="267"/>
        </w:trPr>
        <w:tc>
          <w:tcPr>
            <w:tcW w:w="6400" w:type="dxa"/>
            <w:vAlign w:val="bottom"/>
          </w:tcPr>
          <w:p>
            <w:pPr>
              <w:ind w:left="140"/>
              <w:spacing w:after="0"/>
              <w:rPr>
                <w:sz w:val="20"/>
                <w:szCs w:val="20"/>
                <w:color w:val="auto"/>
              </w:rPr>
            </w:pPr>
            <w:r>
              <w:rPr>
                <w:rFonts w:ascii="Arial" w:cs="Arial" w:eastAsia="Arial" w:hAnsi="Arial"/>
                <w:sz w:val="15"/>
                <w:szCs w:val="15"/>
                <w:color w:val="auto"/>
              </w:rPr>
              <w:t>Income from discontinued operations</w:t>
            </w:r>
          </w:p>
        </w:tc>
        <w:tc>
          <w:tcPr>
            <w:tcW w:w="1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101</w:t>
            </w:r>
          </w:p>
        </w:tc>
      </w:tr>
      <w:tr>
        <w:trPr>
          <w:trHeight w:val="270"/>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Gain on sale of discontinued operations</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2,326</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3,345</w:t>
            </w:r>
          </w:p>
        </w:tc>
      </w:tr>
      <w:tr>
        <w:trPr>
          <w:trHeight w:val="250"/>
        </w:trPr>
        <w:tc>
          <w:tcPr>
            <w:tcW w:w="6400" w:type="dxa"/>
            <w:vAlign w:val="bottom"/>
          </w:tcPr>
          <w:p>
            <w:pPr>
              <w:ind w:left="140"/>
              <w:spacing w:after="0"/>
              <w:rPr>
                <w:sz w:val="20"/>
                <w:szCs w:val="20"/>
                <w:color w:val="auto"/>
              </w:rPr>
            </w:pPr>
            <w:r>
              <w:rPr>
                <w:rFonts w:ascii="Arial" w:cs="Arial" w:eastAsia="Arial" w:hAnsi="Arial"/>
                <w:sz w:val="15"/>
                <w:szCs w:val="15"/>
                <w:color w:val="auto"/>
              </w:rPr>
              <w:t>Loss from continuing operations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(217,251)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(257,350)</w:t>
            </w:r>
          </w:p>
        </w:tc>
      </w:tr>
      <w:tr>
        <w:trPr>
          <w:trHeight w:val="259"/>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7"/>
        </w:trPr>
        <w:tc>
          <w:tcPr>
            <w:tcW w:w="6400" w:type="dxa"/>
            <w:vAlign w:val="bottom"/>
          </w:tcPr>
          <w:p>
            <w:pPr>
              <w:ind w:left="460"/>
              <w:spacing w:after="0"/>
              <w:rPr>
                <w:sz w:val="20"/>
                <w:szCs w:val="20"/>
                <w:color w:val="auto"/>
              </w:rPr>
            </w:pPr>
            <w:r>
              <w:rPr>
                <w:rFonts w:ascii="Arial" w:cs="Arial" w:eastAsia="Arial" w:hAnsi="Arial"/>
                <w:sz w:val="15"/>
                <w:szCs w:val="15"/>
                <w:color w:val="auto"/>
              </w:rPr>
              <w:t>Depreciation expense</w:t>
            </w: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34,247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31,249</w:t>
            </w:r>
          </w:p>
        </w:tc>
      </w:tr>
      <w:tr>
        <w:trPr>
          <w:trHeight w:val="273"/>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expense - intangibles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69,722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71,317</w:t>
            </w:r>
          </w:p>
        </w:tc>
      </w:tr>
      <w:tr>
        <w:trPr>
          <w:trHeight w:val="267"/>
        </w:trPr>
        <w:tc>
          <w:tcPr>
            <w:tcW w:w="6400" w:type="dxa"/>
            <w:vAlign w:val="bottom"/>
          </w:tcPr>
          <w:p>
            <w:pPr>
              <w:ind w:left="460"/>
              <w:spacing w:after="0"/>
              <w:rPr>
                <w:sz w:val="20"/>
                <w:szCs w:val="20"/>
                <w:color w:val="auto"/>
              </w:rPr>
            </w:pPr>
            <w:r>
              <w:rPr>
                <w:rFonts w:ascii="Arial" w:cs="Arial" w:eastAsia="Arial" w:hAnsi="Arial"/>
                <w:sz w:val="15"/>
                <w:szCs w:val="15"/>
                <w:color w:val="auto"/>
              </w:rPr>
              <w:t>Amortization expense - inventory step-up</w:t>
            </w:r>
          </w:p>
        </w:tc>
        <w:tc>
          <w:tcPr>
            <w:tcW w:w="1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3,689</w:t>
            </w:r>
          </w:p>
        </w:tc>
      </w:tr>
      <w:tr>
        <w:trPr>
          <w:trHeight w:val="273"/>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of debt issuance costs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2,922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3,014</w:t>
            </w:r>
          </w:p>
        </w:tc>
      </w:tr>
      <w:tr>
        <w:trPr>
          <w:trHeight w:val="267"/>
        </w:trPr>
        <w:tc>
          <w:tcPr>
            <w:tcW w:w="6400" w:type="dxa"/>
            <w:vAlign w:val="bottom"/>
          </w:tcPr>
          <w:p>
            <w:pPr>
              <w:ind w:left="460"/>
              <w:spacing w:after="0"/>
              <w:rPr>
                <w:sz w:val="20"/>
                <w:szCs w:val="20"/>
                <w:color w:val="auto"/>
              </w:rPr>
            </w:pPr>
            <w:r>
              <w:rPr>
                <w:rFonts w:ascii="Arial" w:cs="Arial" w:eastAsia="Arial" w:hAnsi="Arial"/>
                <w:sz w:val="15"/>
                <w:szCs w:val="15"/>
                <w:color w:val="auto"/>
              </w:rPr>
              <w:t>Loss on debt modification</w:t>
            </w: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2,827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73"/>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Impairment expense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31,515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r>
      <w:tr>
        <w:trPr>
          <w:trHeight w:val="267"/>
        </w:trPr>
        <w:tc>
          <w:tcPr>
            <w:tcW w:w="6400" w:type="dxa"/>
            <w:vAlign w:val="bottom"/>
          </w:tcPr>
          <w:p>
            <w:pPr>
              <w:ind w:left="460"/>
              <w:spacing w:after="0"/>
              <w:rPr>
                <w:sz w:val="20"/>
                <w:szCs w:val="20"/>
                <w:color w:val="auto"/>
              </w:rPr>
            </w:pPr>
            <w:r>
              <w:rPr>
                <w:rFonts w:ascii="Arial" w:cs="Arial" w:eastAsia="Arial" w:hAnsi="Arial"/>
                <w:sz w:val="15"/>
                <w:szCs w:val="15"/>
                <w:color w:val="auto"/>
              </w:rPr>
              <w:t>Paid-in-kind interest</w:t>
            </w: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22,750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73"/>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Loss on sale of Crosman</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24,218</w:t>
            </w:r>
          </w:p>
        </w:tc>
      </w:tr>
      <w:tr>
        <w:trPr>
          <w:trHeight w:val="267"/>
        </w:trPr>
        <w:tc>
          <w:tcPr>
            <w:tcW w:w="6400" w:type="dxa"/>
            <w:vAlign w:val="bottom"/>
          </w:tcPr>
          <w:p>
            <w:pPr>
              <w:ind w:left="460"/>
              <w:spacing w:after="0"/>
              <w:rPr>
                <w:sz w:val="20"/>
                <w:szCs w:val="20"/>
                <w:color w:val="auto"/>
              </w:rPr>
            </w:pPr>
            <w:r>
              <w:rPr>
                <w:rFonts w:ascii="Arial" w:cs="Arial" w:eastAsia="Arial" w:hAnsi="Arial"/>
                <w:sz w:val="15"/>
                <w:szCs w:val="15"/>
                <w:color w:val="auto"/>
              </w:rPr>
              <w:t>Noncontrolling stockholder stock based compensation</w:t>
            </w: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12,274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12,288</w:t>
            </w:r>
          </w:p>
        </w:tc>
      </w:tr>
      <w:tr>
        <w:trPr>
          <w:trHeight w:val="273"/>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Provision for receivable and inventory reserves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(5,461)</w:t>
            </w:r>
          </w:p>
        </w:tc>
      </w:tr>
      <w:tr>
        <w:trPr>
          <w:trHeight w:val="267"/>
        </w:trPr>
        <w:tc>
          <w:tcPr>
            <w:tcW w:w="6400" w:type="dxa"/>
            <w:vAlign w:val="bottom"/>
          </w:tcPr>
          <w:p>
            <w:pPr>
              <w:ind w:left="460"/>
              <w:spacing w:after="0"/>
              <w:rPr>
                <w:sz w:val="20"/>
                <w:szCs w:val="20"/>
                <w:color w:val="auto"/>
              </w:rPr>
            </w:pPr>
            <w:r>
              <w:rPr>
                <w:rFonts w:ascii="Arial" w:cs="Arial" w:eastAsia="Arial" w:hAnsi="Arial"/>
                <w:sz w:val="15"/>
                <w:szCs w:val="15"/>
                <w:color w:val="auto"/>
              </w:rPr>
              <w:t>Deferred income taxes</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(1,480)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(3,234)</w:t>
            </w:r>
          </w:p>
        </w:tc>
      </w:tr>
      <w:tr>
        <w:trPr>
          <w:trHeight w:val="273"/>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w:t>
            </w:r>
          </w:p>
        </w:tc>
      </w:tr>
      <w:tr>
        <w:trPr>
          <w:trHeight w:val="267"/>
        </w:trPr>
        <w:tc>
          <w:tcPr>
            <w:tcW w:w="6400" w:type="dxa"/>
            <w:vAlign w:val="bottom"/>
          </w:tcPr>
          <w:p>
            <w:pPr>
              <w:ind w:left="140"/>
              <w:spacing w:after="0"/>
              <w:rPr>
                <w:sz w:val="20"/>
                <w:szCs w:val="20"/>
                <w:color w:val="auto"/>
              </w:rPr>
            </w:pPr>
            <w:r>
              <w:rPr>
                <w:rFonts w:ascii="Arial" w:cs="Arial" w:eastAsia="Arial" w:hAnsi="Arial"/>
                <w:sz w:val="15"/>
                <w:szCs w:val="15"/>
                <w:color w:val="auto"/>
              </w:rPr>
              <w:t>Changes in operating assets and liabilities, net of acquisitions:</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3"/>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Accounts receivable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(21,594)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(35,786)</w:t>
            </w:r>
          </w:p>
        </w:tc>
      </w:tr>
      <w:tr>
        <w:trPr>
          <w:trHeight w:val="267"/>
        </w:trPr>
        <w:tc>
          <w:tcPr>
            <w:tcW w:w="640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(30,867)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(40,458)</w:t>
            </w:r>
          </w:p>
        </w:tc>
      </w:tr>
      <w:tr>
        <w:trPr>
          <w:trHeight w:val="273"/>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 current and non-current assets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4,962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3,724</w:t>
            </w:r>
          </w:p>
        </w:tc>
      </w:tr>
      <w:tr>
        <w:trPr>
          <w:trHeight w:val="267"/>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Accounts payable and accrued expenses</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34,952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40,861</w:t>
            </w:r>
          </w:p>
        </w:tc>
      </w:tr>
      <w:tr>
        <w:trPr>
          <w:trHeight w:val="253"/>
        </w:trPr>
        <w:tc>
          <w:tcPr>
            <w:tcW w:w="64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Cash used in operating activities - continuing operations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(53,834)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(144,343)</w:t>
            </w:r>
          </w:p>
        </w:tc>
      </w:tr>
      <w:tr>
        <w:trPr>
          <w:trHeight w:val="267"/>
        </w:trPr>
        <w:tc>
          <w:tcPr>
            <w:tcW w:w="6400" w:type="dxa"/>
            <w:vAlign w:val="bottom"/>
          </w:tcPr>
          <w:p>
            <w:pPr>
              <w:ind w:left="680"/>
              <w:spacing w:after="0"/>
              <w:rPr>
                <w:sz w:val="20"/>
                <w:szCs w:val="20"/>
                <w:color w:val="auto"/>
              </w:rPr>
            </w:pPr>
            <w:r>
              <w:rPr>
                <w:rFonts w:ascii="Arial" w:cs="Arial" w:eastAsia="Arial" w:hAnsi="Arial"/>
                <w:sz w:val="15"/>
                <w:szCs w:val="15"/>
                <w:color w:val="auto"/>
              </w:rPr>
              <w:t>Cash provided by operating activities - discontinued operations</w:t>
            </w:r>
          </w:p>
        </w:tc>
        <w:tc>
          <w:tcPr>
            <w:tcW w:w="1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9,363</w:t>
            </w:r>
          </w:p>
        </w:tc>
      </w:tr>
      <w:tr>
        <w:trPr>
          <w:trHeight w:val="253"/>
        </w:trPr>
        <w:tc>
          <w:tcPr>
            <w:tcW w:w="64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Cash used in operating activities</w:t>
            </w: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(53,834)</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(134,980)</w:t>
            </w:r>
          </w:p>
        </w:tc>
      </w:tr>
      <w:tr>
        <w:trPr>
          <w:trHeight w:val="231"/>
        </w:trPr>
        <w:tc>
          <w:tcPr>
            <w:tcW w:w="640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35" w:lineRule="exact"/>
        <w:rPr>
          <w:sz w:val="20"/>
          <w:szCs w:val="20"/>
          <w:color w:val="auto"/>
        </w:rPr>
      </w:pPr>
    </w:p>
    <w:p>
      <w:pPr>
        <w:sectPr>
          <w:pgSz w:w="11900" w:h="16838" w:orient="portrait"/>
          <w:cols w:equalWidth="0" w:num="1">
            <w:col w:w="9260"/>
          </w:cols>
          <w:pgMar w:left="1200" w:top="1070" w:right="1439" w:bottom="1440" w:gutter="0" w:footer="0" w:header="0"/>
        </w:sectPr>
      </w:pPr>
    </w:p>
    <w:p>
      <w:pPr>
        <w:ind w:left="140"/>
        <w:spacing w:after="0"/>
        <w:rPr>
          <w:sz w:val="20"/>
          <w:szCs w:val="20"/>
          <w:color w:val="auto"/>
        </w:rPr>
      </w:pPr>
      <w:r>
        <w:rPr>
          <w:rFonts w:ascii="Arial" w:cs="Arial" w:eastAsia="Arial" w:hAnsi="Arial"/>
          <w:sz w:val="15"/>
          <w:szCs w:val="15"/>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588073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0735" cy="171450"/>
                    </a:xfrm>
                    <a:prstGeom prst="rect">
                      <a:avLst/>
                    </a:prstGeom>
                    <a:noFill/>
                  </pic:spPr>
                </pic:pic>
              </a:graphicData>
            </a:graphic>
          </wp:anchor>
        </w:drawing>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Purchases of property and equipment</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Proceeds from sale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58807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0735" cy="171450"/>
                    </a:xfrm>
                    <a:prstGeom prst="rect">
                      <a:avLst/>
                    </a:prstGeom>
                    <a:noFill/>
                  </pic:spPr>
                </pic:pic>
              </a:graphicData>
            </a:graphic>
          </wp:anchor>
        </w:drawing>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588073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0735" cy="171450"/>
                    </a:xfrm>
                    <a:prstGeom prst="rect">
                      <a:avLst/>
                    </a:prstGeom>
                    <a:noFill/>
                  </pic:spPr>
                </pic:pic>
              </a:graphicData>
            </a:graphic>
          </wp:anchor>
        </w:drawing>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Cash used in investing activities - continuing operations</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Cash used in investing activities -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58807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0735" cy="171450"/>
                    </a:xfrm>
                    <a:prstGeom prst="rect">
                      <a:avLst/>
                    </a:prstGeom>
                    <a:noFill/>
                  </pic:spPr>
                </pic:pic>
              </a:graphicData>
            </a:graphic>
          </wp:anchor>
        </w:drawing>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Cash used in investing activities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360" w:type="dxa"/>
            <w:vAlign w:val="bottom"/>
          </w:tcPr>
          <w:p>
            <w:pPr>
              <w:jc w:val="right"/>
              <w:ind w:right="4"/>
              <w:spacing w:after="0"/>
              <w:rPr>
                <w:sz w:val="20"/>
                <w:szCs w:val="20"/>
                <w:color w:val="auto"/>
              </w:rPr>
            </w:pPr>
            <w:r>
              <w:rPr>
                <w:rFonts w:ascii="Arial" w:cs="Arial" w:eastAsia="Arial" w:hAnsi="Arial"/>
                <w:sz w:val="15"/>
                <w:szCs w:val="15"/>
                <w:color w:val="auto"/>
              </w:rPr>
              <w:t>495</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(380,049)</w:t>
            </w:r>
          </w:p>
        </w:tc>
      </w:tr>
      <w:tr>
        <w:trPr>
          <w:trHeight w:val="270"/>
        </w:trPr>
        <w:tc>
          <w:tcPr>
            <w:tcW w:w="1360" w:type="dxa"/>
            <w:vAlign w:val="bottom"/>
          </w:tcPr>
          <w:p>
            <w:pPr>
              <w:jc w:val="right"/>
              <w:spacing w:after="0"/>
              <w:rPr>
                <w:sz w:val="20"/>
                <w:szCs w:val="20"/>
                <w:color w:val="auto"/>
              </w:rPr>
            </w:pPr>
            <w:r>
              <w:rPr>
                <w:rFonts w:ascii="Arial" w:cs="Arial" w:eastAsia="Arial" w:hAnsi="Arial"/>
                <w:sz w:val="15"/>
                <w:szCs w:val="15"/>
                <w:color w:val="auto"/>
              </w:rPr>
              <w:t>(34,176)</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(33,843)</w:t>
            </w:r>
          </w:p>
        </w:tc>
      </w:tr>
      <w:tr>
        <w:trPr>
          <w:trHeight w:val="270"/>
        </w:trPr>
        <w:tc>
          <w:tcPr>
            <w:tcW w:w="1360" w:type="dxa"/>
            <w:vAlign w:val="bottom"/>
          </w:tcPr>
          <w:p>
            <w:pPr>
              <w:jc w:val="right"/>
              <w:ind w:right="4"/>
              <w:spacing w:after="0"/>
              <w:rPr>
                <w:sz w:val="20"/>
                <w:szCs w:val="20"/>
                <w:color w:val="auto"/>
              </w:rPr>
            </w:pPr>
            <w:r>
              <w:rPr>
                <w:rFonts w:ascii="Arial" w:cs="Arial" w:eastAsia="Arial" w:hAnsi="Arial"/>
                <w:sz w:val="15"/>
                <w:szCs w:val="15"/>
                <w:color w:val="auto"/>
              </w:rPr>
              <w:t>2,326</w:t>
            </w:r>
          </w:p>
        </w:tc>
        <w:tc>
          <w:tcPr>
            <w:tcW w:w="140" w:type="dxa"/>
            <w:vAlign w:val="bottom"/>
          </w:tcPr>
          <w:p>
            <w:pPr>
              <w:spacing w:after="0"/>
              <w:rPr>
                <w:sz w:val="23"/>
                <w:szCs w:val="23"/>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65,216</w:t>
            </w:r>
          </w:p>
        </w:tc>
      </w:tr>
      <w:tr>
        <w:trPr>
          <w:trHeight w:val="27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(1,729)</w:t>
            </w:r>
          </w:p>
        </w:tc>
        <w:tc>
          <w:tcPr>
            <w:tcW w:w="14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(2,763)</w:t>
            </w:r>
          </w:p>
        </w:tc>
      </w:tr>
      <w:tr>
        <w:trPr>
          <w:trHeight w:val="247"/>
        </w:trPr>
        <w:tc>
          <w:tcPr>
            <w:tcW w:w="1360" w:type="dxa"/>
            <w:vAlign w:val="bottom"/>
          </w:tcPr>
          <w:p>
            <w:pPr>
              <w:jc w:val="right"/>
              <w:spacing w:after="0"/>
              <w:rPr>
                <w:sz w:val="20"/>
                <w:szCs w:val="20"/>
                <w:color w:val="auto"/>
              </w:rPr>
            </w:pPr>
            <w:r>
              <w:rPr>
                <w:rFonts w:ascii="Arial" w:cs="Arial" w:eastAsia="Arial" w:hAnsi="Arial"/>
                <w:sz w:val="15"/>
                <w:szCs w:val="15"/>
                <w:color w:val="auto"/>
              </w:rPr>
              <w:t>(33,084)</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(351,439)</w:t>
            </w:r>
          </w:p>
        </w:tc>
      </w:tr>
    </w:tbl>
    <w:p>
      <w:pPr>
        <w:spacing w:after="0" w:line="7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—(812)</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5"/>
          <w:szCs w:val="15"/>
          <w:color w:val="auto"/>
        </w:rPr>
        <w:t>(33,084)</w:t>
      </w:r>
      <w:r>
        <w:rPr>
          <w:rFonts w:ascii="Arial" w:cs="Arial" w:eastAsia="Arial" w:hAnsi="Arial"/>
          <w:sz w:val="14"/>
          <w:szCs w:val="14"/>
          <w:color w:val="auto"/>
        </w:rPr>
        <w:t>(352,251)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18173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2860"/>
          </w:cols>
          <w:pgMar w:left="1200" w:top="1070" w:right="14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102235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200" w:top="1070" w:right="1439" w:bottom="1440" w:gutter="0" w:footer="0" w:header="0"/>
          <w:type w:val="continuous"/>
        </w:sectPr>
      </w:pPr>
    </w:p>
    <w:bookmarkStart w:id="12" w:name="page13"/>
    <w:bookmarkEnd w:id="12"/>
    <w:p>
      <w:pPr>
        <w:jc w:val="center"/>
        <w:ind w:right="-891"/>
        <w:spacing w:after="0"/>
        <w:rPr>
          <w:sz w:val="20"/>
          <w:szCs w:val="20"/>
          <w:color w:val="auto"/>
        </w:rPr>
      </w:pPr>
      <w:r>
        <w:rPr>
          <w:rFonts w:ascii="Arial" w:cs="Arial" w:eastAsia="Arial" w:hAnsi="Arial"/>
          <w:sz w:val="16"/>
          <w:szCs w:val="16"/>
          <w:b w:val="1"/>
          <w:bCs w:val="1"/>
          <w:color w:val="auto"/>
        </w:rPr>
        <w:t>COMPASS DIVERSIFIED HOLDINGS</w:t>
      </w:r>
    </w:p>
    <w:p>
      <w:pPr>
        <w:spacing w:after="0" w:line="73" w:lineRule="exact"/>
        <w:rPr>
          <w:sz w:val="20"/>
          <w:szCs w:val="20"/>
          <w:color w:val="auto"/>
        </w:rPr>
      </w:pPr>
    </w:p>
    <w:p>
      <w:pPr>
        <w:jc w:val="center"/>
        <w:ind w:right="-891"/>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73" w:lineRule="exact"/>
        <w:rPr>
          <w:sz w:val="20"/>
          <w:szCs w:val="20"/>
          <w:color w:val="auto"/>
        </w:rPr>
      </w:pPr>
    </w:p>
    <w:p>
      <w:pPr>
        <w:jc w:val="center"/>
        <w:ind w:right="-891"/>
        <w:spacing w:after="0"/>
        <w:rPr>
          <w:sz w:val="20"/>
          <w:szCs w:val="20"/>
          <w:color w:val="auto"/>
        </w:rPr>
      </w:pPr>
      <w:r>
        <w:rPr>
          <w:rFonts w:ascii="Arial" w:cs="Arial" w:eastAsia="Arial" w:hAnsi="Arial"/>
          <w:sz w:val="16"/>
          <w:szCs w:val="16"/>
          <w:b w:val="1"/>
          <w:bCs w:val="1"/>
          <w:color w:val="auto"/>
        </w:rPr>
        <w:t>(Unaudited)</w:t>
      </w:r>
    </w:p>
    <w:p>
      <w:pPr>
        <w:spacing w:after="0" w:line="337" w:lineRule="exact"/>
        <w:rPr>
          <w:sz w:val="20"/>
          <w:szCs w:val="20"/>
          <w:color w:val="auto"/>
        </w:rPr>
      </w:pPr>
    </w:p>
    <w:tbl>
      <w:tblPr>
        <w:tblLayout w:type="fixed"/>
        <w:tblInd w:w="872"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6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r>
      <w:tr>
        <w:trPr>
          <w:trHeight w:val="236"/>
        </w:trPr>
        <w:tc>
          <w:tcPr>
            <w:tcW w:w="64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r>
      <w:tr>
        <w:trPr>
          <w:trHeight w:val="212"/>
        </w:trPr>
        <w:tc>
          <w:tcPr>
            <w:tcW w:w="640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8"/>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0"/>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and expenses from issuance of Trust common shares, net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8,045</w:t>
            </w:r>
          </w:p>
        </w:tc>
      </w:tr>
      <w:tr>
        <w:trPr>
          <w:trHeight w:val="267"/>
        </w:trPr>
        <w:tc>
          <w:tcPr>
            <w:tcW w:w="6400" w:type="dxa"/>
            <w:vAlign w:val="bottom"/>
          </w:tcPr>
          <w:p>
            <w:pPr>
              <w:ind w:left="140"/>
              <w:spacing w:after="0"/>
              <w:rPr>
                <w:sz w:val="20"/>
                <w:szCs w:val="20"/>
                <w:color w:val="auto"/>
              </w:rPr>
            </w:pPr>
            <w:r>
              <w:rPr>
                <w:rFonts w:ascii="Arial" w:cs="Arial" w:eastAsia="Arial" w:hAnsi="Arial"/>
                <w:sz w:val="15"/>
                <w:szCs w:val="15"/>
                <w:color w:val="auto"/>
              </w:rPr>
              <w:t>Proceeds and expenses from issuance of Trust preferred shares, net</w:t>
            </w: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58,998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26,944</w:t>
            </w:r>
          </w:p>
        </w:tc>
      </w:tr>
      <w:tr>
        <w:trPr>
          <w:trHeight w:val="273"/>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 revolving credit facility</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349,000</w:t>
            </w:r>
          </w:p>
        </w:tc>
      </w:tr>
      <w:tr>
        <w:trPr>
          <w:trHeight w:val="267"/>
        </w:trPr>
        <w:tc>
          <w:tcPr>
            <w:tcW w:w="6400" w:type="dxa"/>
            <w:vAlign w:val="bottom"/>
          </w:tcPr>
          <w:p>
            <w:pPr>
              <w:ind w:left="140"/>
              <w:spacing w:after="0"/>
              <w:rPr>
                <w:sz w:val="20"/>
                <w:szCs w:val="20"/>
                <w:color w:val="auto"/>
              </w:rPr>
            </w:pPr>
            <w:r>
              <w:rPr>
                <w:rFonts w:ascii="Arial" w:cs="Arial" w:eastAsia="Arial" w:hAnsi="Arial"/>
                <w:sz w:val="15"/>
                <w:szCs w:val="15"/>
                <w:color w:val="auto"/>
              </w:rPr>
              <w:t>Repayments - revolving credit facility</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(202,000)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(239,000)</w:t>
            </w:r>
          </w:p>
        </w:tc>
      </w:tr>
      <w:tr>
        <w:trPr>
          <w:trHeight w:val="273"/>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 term loan</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67"/>
        </w:trPr>
        <w:tc>
          <w:tcPr>
            <w:tcW w:w="6400" w:type="dxa"/>
            <w:vAlign w:val="bottom"/>
          </w:tcPr>
          <w:p>
            <w:pPr>
              <w:ind w:left="140"/>
              <w:spacing w:after="0"/>
              <w:rPr>
                <w:sz w:val="20"/>
                <w:szCs w:val="20"/>
                <w:color w:val="auto"/>
              </w:rPr>
            </w:pPr>
            <w:r>
              <w:rPr>
                <w:rFonts w:ascii="Arial" w:cs="Arial" w:eastAsia="Arial" w:hAnsi="Arial"/>
                <w:sz w:val="15"/>
                <w:szCs w:val="15"/>
                <w:color w:val="auto"/>
              </w:rPr>
              <w:t>Principal payments - term loan</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273"/>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Subsidiary financing arrangements - borrowings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26,982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119,062</w:t>
            </w:r>
          </w:p>
        </w:tc>
      </w:tr>
      <w:tr>
        <w:trPr>
          <w:trHeight w:val="267"/>
        </w:trPr>
        <w:tc>
          <w:tcPr>
            <w:tcW w:w="6400" w:type="dxa"/>
            <w:vAlign w:val="bottom"/>
          </w:tcPr>
          <w:p>
            <w:pPr>
              <w:ind w:left="140"/>
              <w:spacing w:after="0"/>
              <w:rPr>
                <w:sz w:val="20"/>
                <w:szCs w:val="20"/>
                <w:color w:val="auto"/>
              </w:rPr>
            </w:pPr>
            <w:r>
              <w:rPr>
                <w:rFonts w:ascii="Arial" w:cs="Arial" w:eastAsia="Arial" w:hAnsi="Arial"/>
                <w:sz w:val="15"/>
                <w:szCs w:val="15"/>
                <w:color w:val="auto"/>
              </w:rPr>
              <w:t>Subsidiary financing arrangements - repayments</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(8,360)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(61,692)</w:t>
            </w:r>
          </w:p>
        </w:tc>
      </w:tr>
      <w:tr>
        <w:trPr>
          <w:trHeight w:val="273"/>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common shares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(37,618)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(56,577)</w:t>
            </w:r>
          </w:p>
        </w:tc>
      </w:tr>
      <w:tr>
        <w:trPr>
          <w:trHeight w:val="267"/>
        </w:trPr>
        <w:tc>
          <w:tcPr>
            <w:tcW w:w="6400" w:type="dxa"/>
            <w:vAlign w:val="bottom"/>
          </w:tcPr>
          <w:p>
            <w:pPr>
              <w:ind w:left="140"/>
              <w:spacing w:after="0"/>
              <w:rPr>
                <w:sz w:val="20"/>
                <w:szCs w:val="20"/>
                <w:color w:val="auto"/>
              </w:rPr>
            </w:pPr>
            <w:r>
              <w:rPr>
                <w:rFonts w:ascii="Arial" w:cs="Arial" w:eastAsia="Arial" w:hAnsi="Arial"/>
                <w:sz w:val="15"/>
                <w:szCs w:val="15"/>
                <w:color w:val="auto"/>
              </w:rPr>
              <w:t>Distributions paid - preferred shares</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(27,863)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(18,491)</w:t>
            </w:r>
          </w:p>
        </w:tc>
      </w:tr>
      <w:tr>
        <w:trPr>
          <w:trHeight w:val="273"/>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allocation interests</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(48,941)</w:t>
            </w:r>
          </w:p>
        </w:tc>
      </w:tr>
      <w:tr>
        <w:trPr>
          <w:trHeight w:val="267"/>
        </w:trPr>
        <w:tc>
          <w:tcPr>
            <w:tcW w:w="6400" w:type="dxa"/>
            <w:vAlign w:val="bottom"/>
          </w:tcPr>
          <w:p>
            <w:pPr>
              <w:ind w:left="140"/>
              <w:spacing w:after="0"/>
              <w:rPr>
                <w:sz w:val="20"/>
                <w:szCs w:val="20"/>
                <w:color w:val="auto"/>
              </w:rPr>
            </w:pPr>
            <w:r>
              <w:rPr>
                <w:rFonts w:ascii="Arial" w:cs="Arial" w:eastAsia="Arial" w:hAnsi="Arial"/>
                <w:sz w:val="15"/>
                <w:szCs w:val="15"/>
                <w:color w:val="auto"/>
              </w:rPr>
              <w:t>Net proceeds provided by noncontrolling shareholders</w:t>
            </w: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1,980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55</w:t>
            </w:r>
          </w:p>
        </w:tc>
      </w:tr>
      <w:tr>
        <w:trPr>
          <w:trHeight w:val="273"/>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proceeds provided by noncontrolling shareholders - acquisitions</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41,674</w:t>
            </w:r>
          </w:p>
        </w:tc>
      </w:tr>
      <w:tr>
        <w:trPr>
          <w:trHeight w:val="267"/>
        </w:trPr>
        <w:tc>
          <w:tcPr>
            <w:tcW w:w="6400" w:type="dxa"/>
            <w:vAlign w:val="bottom"/>
          </w:tcPr>
          <w:p>
            <w:pPr>
              <w:ind w:left="140"/>
              <w:spacing w:after="0"/>
              <w:rPr>
                <w:sz w:val="20"/>
                <w:szCs w:val="20"/>
                <w:color w:val="auto"/>
              </w:rPr>
            </w:pPr>
            <w:r>
              <w:rPr>
                <w:rFonts w:ascii="Arial" w:cs="Arial" w:eastAsia="Arial" w:hAnsi="Arial"/>
                <w:sz w:val="15"/>
                <w:szCs w:val="15"/>
                <w:color w:val="auto"/>
              </w:rPr>
              <w:t>Purchase of noncontrolling interest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(7,249)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(4,327)</w:t>
            </w:r>
          </w:p>
        </w:tc>
      </w:tr>
      <w:tr>
        <w:trPr>
          <w:trHeight w:val="273"/>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 issuance costs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67"/>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r>
      <w:tr>
        <w:trPr>
          <w:trHeight w:val="250"/>
        </w:trPr>
        <w:tc>
          <w:tcPr>
            <w:tcW w:w="64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86,055</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108,252</w:t>
            </w:r>
          </w:p>
        </w:tc>
      </w:tr>
      <w:tr>
        <w:trPr>
          <w:trHeight w:val="250"/>
        </w:trPr>
        <w:tc>
          <w:tcPr>
            <w:tcW w:w="6400" w:type="dxa"/>
            <w:vAlign w:val="bottom"/>
          </w:tcPr>
          <w:p>
            <w:pPr>
              <w:ind w:left="140"/>
              <w:spacing w:after="0"/>
              <w:rPr>
                <w:sz w:val="20"/>
                <w:szCs w:val="20"/>
                <w:color w:val="auto"/>
              </w:rPr>
            </w:pPr>
            <w:r>
              <w:rPr>
                <w:rFonts w:ascii="Arial" w:cs="Arial" w:eastAsia="Arial" w:hAnsi="Arial"/>
                <w:sz w:val="15"/>
                <w:szCs w:val="15"/>
                <w:color w:val="auto"/>
              </w:rPr>
              <w:t>Foreign currency impact on cash</w:t>
            </w:r>
          </w:p>
        </w:tc>
        <w:tc>
          <w:tcPr>
            <w:tcW w:w="140" w:type="dxa"/>
            <w:vAlign w:val="bottom"/>
          </w:tcPr>
          <w:p>
            <w:pPr>
              <w:spacing w:after="0"/>
              <w:rPr>
                <w:sz w:val="21"/>
                <w:szCs w:val="21"/>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2,343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449</w:t>
            </w:r>
          </w:p>
        </w:tc>
      </w:tr>
      <w:tr>
        <w:trPr>
          <w:trHeight w:val="273"/>
        </w:trPr>
        <w:tc>
          <w:tcPr>
            <w:tcW w:w="64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(decrease) increase in cash and cash equivalents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(378,530)</w:t>
            </w:r>
          </w:p>
        </w:tc>
      </w:tr>
      <w:tr>
        <w:trPr>
          <w:trHeight w:val="27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59,659</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450,409</w:t>
            </w:r>
          </w:p>
        </w:tc>
      </w:tr>
      <w:tr>
        <w:trPr>
          <w:trHeight w:val="248"/>
        </w:trPr>
        <w:tc>
          <w:tcPr>
            <w:tcW w:w="640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5"/>
                <w:szCs w:val="15"/>
                <w:color w:val="auto"/>
              </w:rPr>
              <w:t xml:space="preserve">Cash and cash equivalents — end of period </w:t>
            </w:r>
            <w:r>
              <w:rPr>
                <w:rFonts w:ascii="Arial" w:cs="Arial" w:eastAsia="Arial" w:hAnsi="Arial"/>
                <w:sz w:val="23"/>
                <w:szCs w:val="23"/>
                <w:b w:val="1"/>
                <w:bCs w:val="1"/>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61,139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71,879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Supplemental Cash Flow Disclosure:</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r>
      <w:tr>
        <w:trPr>
          <w:trHeight w:val="223"/>
        </w:trPr>
        <w:tc>
          <w:tcPr>
            <w:tcW w:w="6400" w:type="dxa"/>
            <w:vAlign w:val="bottom"/>
          </w:tcPr>
          <w:p>
            <w:pPr>
              <w:ind w:left="140"/>
              <w:spacing w:after="0" w:line="223" w:lineRule="exact"/>
              <w:rPr>
                <w:sz w:val="20"/>
                <w:szCs w:val="20"/>
                <w:color w:val="auto"/>
              </w:rPr>
            </w:pPr>
            <w:r>
              <w:rPr>
                <w:rFonts w:ascii="Arial" w:cs="Arial" w:eastAsia="Arial" w:hAnsi="Arial"/>
                <w:sz w:val="15"/>
                <w:szCs w:val="15"/>
                <w:color w:val="auto"/>
              </w:rPr>
              <w:t xml:space="preserve">Non-cash financing activities </w:t>
            </w:r>
            <w:r>
              <w:rPr>
                <w:rFonts w:ascii="Arial" w:cs="Arial" w:eastAsia="Arial" w:hAnsi="Arial"/>
                <w:sz w:val="23"/>
                <w:szCs w:val="23"/>
                <w:b w:val="1"/>
                <w:bCs w:val="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4,534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3,590</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92" w:hanging="192"/>
        <w:spacing w:after="0"/>
        <w:tabs>
          <w:tab w:leader="none" w:pos="192" w:val="left"/>
        </w:tabs>
        <w:numPr>
          <w:ilvl w:val="0"/>
          <w:numId w:val="7"/>
        </w:numPr>
        <w:rPr>
          <w:rFonts w:ascii="Arial" w:cs="Arial" w:eastAsia="Arial" w:hAnsi="Arial"/>
          <w:sz w:val="23"/>
          <w:szCs w:val="23"/>
          <w:b w:val="1"/>
          <w:bCs w:val="1"/>
          <w:color w:val="auto"/>
          <w:vertAlign w:val="superscript"/>
        </w:rPr>
      </w:pPr>
      <w:r>
        <w:rPr>
          <w:rFonts w:ascii="Arial" w:cs="Arial" w:eastAsia="Arial" w:hAnsi="Arial"/>
          <w:sz w:val="16"/>
          <w:szCs w:val="16"/>
          <w:color w:val="auto"/>
        </w:rPr>
        <w:t>Includes cash from discontinued operations of $3.8 million at January 1, 2024.</w:t>
      </w:r>
    </w:p>
    <w:p>
      <w:pPr>
        <w:spacing w:after="0" w:line="154" w:lineRule="exact"/>
        <w:rPr>
          <w:rFonts w:ascii="Arial" w:cs="Arial" w:eastAsia="Arial" w:hAnsi="Arial"/>
          <w:sz w:val="23"/>
          <w:szCs w:val="23"/>
          <w:b w:val="1"/>
          <w:bCs w:val="1"/>
          <w:color w:val="auto"/>
          <w:vertAlign w:val="superscript"/>
        </w:rPr>
      </w:pPr>
    </w:p>
    <w:p>
      <w:pPr>
        <w:ind w:left="192" w:hanging="192"/>
        <w:spacing w:after="0"/>
        <w:tabs>
          <w:tab w:leader="none" w:pos="192" w:val="left"/>
        </w:tabs>
        <w:numPr>
          <w:ilvl w:val="0"/>
          <w:numId w:val="7"/>
        </w:numPr>
        <w:rPr>
          <w:rFonts w:ascii="Arial" w:cs="Arial" w:eastAsia="Arial" w:hAnsi="Arial"/>
          <w:sz w:val="23"/>
          <w:szCs w:val="23"/>
          <w:b w:val="1"/>
          <w:bCs w:val="1"/>
          <w:color w:val="auto"/>
          <w:vertAlign w:val="superscript"/>
        </w:rPr>
      </w:pPr>
      <w:r>
        <w:rPr>
          <w:rFonts w:ascii="Arial" w:cs="Arial" w:eastAsia="Arial" w:hAnsi="Arial"/>
          <w:sz w:val="16"/>
          <w:szCs w:val="16"/>
          <w:color w:val="auto"/>
        </w:rPr>
        <w:t>Includes cash from discontinued operations of $6.9 million at September 30, 2024.</w:t>
      </w:r>
    </w:p>
    <w:p>
      <w:pPr>
        <w:spacing w:after="0" w:line="163" w:lineRule="exact"/>
        <w:rPr>
          <w:rFonts w:ascii="Arial" w:cs="Arial" w:eastAsia="Arial" w:hAnsi="Arial"/>
          <w:sz w:val="23"/>
          <w:szCs w:val="23"/>
          <w:b w:val="1"/>
          <w:bCs w:val="1"/>
          <w:color w:val="auto"/>
          <w:vertAlign w:val="superscript"/>
        </w:rPr>
      </w:pPr>
    </w:p>
    <w:p>
      <w:pPr>
        <w:ind w:left="172" w:hanging="172"/>
        <w:spacing w:after="0"/>
        <w:tabs>
          <w:tab w:leader="none" w:pos="172" w:val="left"/>
        </w:tabs>
        <w:numPr>
          <w:ilvl w:val="0"/>
          <w:numId w:val="7"/>
        </w:numPr>
        <w:rPr>
          <w:rFonts w:ascii="Arial" w:cs="Arial" w:eastAsia="Arial" w:hAnsi="Arial"/>
          <w:sz w:val="21"/>
          <w:szCs w:val="21"/>
          <w:b w:val="1"/>
          <w:bCs w:val="1"/>
          <w:color w:val="auto"/>
          <w:vertAlign w:val="superscript"/>
        </w:rPr>
      </w:pPr>
      <w:r>
        <w:rPr>
          <w:rFonts w:ascii="Arial" w:cs="Arial" w:eastAsia="Arial" w:hAnsi="Arial"/>
          <w:sz w:val="15"/>
          <w:szCs w:val="15"/>
          <w:color w:val="auto"/>
        </w:rPr>
        <w:t>Represents the non-cash settlement of subsidiary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512"/>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0132"/>
          </w:cols>
          <w:pgMar w:left="328" w:top="1070" w:right="14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5532"/>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2"/>
          </w:cols>
          <w:pgMar w:left="328" w:top="1070" w:right="14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2025</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Compass Diversified Holdings, a Delaware statutory trust (the "Trust") and Compass Group Diversified Holdings LLC, a Delaware limited liability company (the "LLC"), were formed to acquire and manage a group of small and middle-market businesses headquartered in North America. Collectively, Compass Diversified Holdings and Compass Group Diversified Holdings, LLC are referred to as the "Company". In accordance with the Third Amended and Restated Trust Agreement, dated as of August 3, 2021 (as further amended and restated, the "Trust Agreement"), the Trust is sole owner of 100% of the Trust Interests (as defined in the LLC’s Sixth Amended and Restated Operating Agreement, dated as of August 3, 2021 (as further amended and restated, the "LLC Agreement")) of the LLC and, pursuant to the LLC Agreement, the LLC has, outstanding, the identical number of Trust Interests as the number of outstanding common shares of the Trust. The LLC is the operating entity with a board of directors and other corporate governance responsibilities, similar to that of a Delaware corporation.</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LLC is a controlling owner of nine businesses, or operating segments, at September 30, 2025. The segments are as follows: 5.11 Acquisition Corp. ("5.11"), Boa Holdings Inc. ("BOA"), Lugano Holding, Inc. ("Lugano Diamonds" or "Lugano"), Relentless Topco, Inc. ("PrimaLoft"), THP Topco, Inc. ("The Honey Pot Co." or "THP"), CBCP Products, LLC ("Velocity Outdoor" or "Velocity"), AMTAC Holdings LLC ("Arnold"), FFI Compass, Inc. ("Altor Solutions" or "Altor"), and SternoCandleLamp Holdings, Inc. ("Sterno"). The segments are referred to interchangeably as “businesses”, “operating segments” or “subsidiaries” throughout the financial statements. Refer to </w:t>
      </w:r>
      <w:r>
        <w:rPr>
          <w:rFonts w:ascii="Arial" w:cs="Arial" w:eastAsia="Arial" w:hAnsi="Arial"/>
          <w:sz w:val="18"/>
          <w:szCs w:val="18"/>
          <w:u w:val="single" w:color="auto"/>
          <w:color w:val="0000FF"/>
        </w:rPr>
        <w:t>Note P - "Operating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Segment Data"</w:t>
      </w:r>
      <w:r>
        <w:rPr>
          <w:rFonts w:ascii="Arial" w:cs="Arial" w:eastAsia="Arial" w:hAnsi="Arial"/>
          <w:sz w:val="18"/>
          <w:szCs w:val="18"/>
          <w:color w:val="0000FF"/>
        </w:rPr>
        <w:t xml:space="preserve"> </w:t>
      </w:r>
      <w:r>
        <w:rPr>
          <w:rFonts w:ascii="Arial" w:cs="Arial" w:eastAsia="Arial" w:hAnsi="Arial"/>
          <w:sz w:val="18"/>
          <w:szCs w:val="18"/>
          <w:color w:val="000000"/>
        </w:rPr>
        <w:t>for further discussion of the operating segments. Compass Group Management LLC, a Delaware limited liability Company</w:t>
      </w:r>
      <w:r>
        <w:rPr>
          <w:rFonts w:ascii="Arial" w:cs="Arial" w:eastAsia="Arial" w:hAnsi="Arial"/>
          <w:sz w:val="18"/>
          <w:szCs w:val="18"/>
          <w:color w:val="0000FF"/>
        </w:rPr>
        <w:t xml:space="preserve"> </w:t>
      </w:r>
      <w:r>
        <w:rPr>
          <w:rFonts w:ascii="Arial" w:cs="Arial" w:eastAsia="Arial" w:hAnsi="Arial"/>
          <w:sz w:val="18"/>
          <w:szCs w:val="18"/>
          <w:color w:val="000000"/>
        </w:rPr>
        <w:t>("CGM" or the "Manager"), manages the day to day operations of the LLC and oversees the management and operations of our businesses pursuant to a management services agreement (the "Management Services Agreement" or "MSA").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condensed consolidated financial statements for the three and nine month periods ended September 30, 2025 and September 30, 2024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2024 Form 10-K/A.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its Quarterly Reports on Form 10-Q for the fiscal quarters ended March 31, 2025 and June 30, 2025, filed with the Securities and Exchange Commission (the "SEC") on December 18, 2025 and December 29, 2025, respectively, and its 2024 Annual Report on Form 10-K/A filed with the SEC on December 8, 2025, the Company disclosed that it was not in compliance with certain financial and other covenants under its 2022 Credit Facility, and that its forbearance agreement providing relief for such events of noncompliance was scheduled to expire on December 19, 2025. On December 19, 2025, the Company entered into the Fifth Amendment to its 2022 Credit Facility, which waived all existing events of default and reset certain financial covenants under the 2022 Credit Facility. Accordingly, as of the date of filing this Form 10-Q, the Company is in compliance with the non-financial covenants under its 2022 Credit Facility, as amended.</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2022 Credit Facility provides that the financial covenants thereunder will not be tested again until the Company’s prepares and files its consolidated financial statements for the fiscal year ended December 31, 2025, which the Company expects to occur on or before March 31, 2026. In evaluating the Company’s ability to continue as a going concern under Accounting Standard Codification Topic (ASC) 205, </w:t>
      </w:r>
      <w:r>
        <w:rPr>
          <w:rFonts w:ascii="Arial" w:cs="Arial" w:eastAsia="Arial" w:hAnsi="Arial"/>
          <w:sz w:val="18"/>
          <w:szCs w:val="18"/>
          <w:i w:val="1"/>
          <w:iCs w:val="1"/>
          <w:color w:val="auto"/>
        </w:rPr>
        <w:t xml:space="preserve">Presentation of Financial Statements - Going Concern </w:t>
      </w:r>
      <w:r>
        <w:rPr>
          <w:rFonts w:ascii="Arial" w:cs="Arial" w:eastAsia="Arial" w:hAnsi="Arial"/>
          <w:sz w:val="18"/>
          <w:szCs w:val="18"/>
          <w:color w:val="auto"/>
        </w:rPr>
        <w:t>(ASC 205-40) (which requires consideration of conditions and events within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these consolidated financial statements are issued), management considered, among other matters, the Company’s recent covenant noncompliance, the timing of the next financial-covenant test, and the Company’s projected operating results and leverage for the evaluation period. These projections are subject to significant uncertainty and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are sensitive to, among other factors, operating performance, working capital requirements, and the Company’s ability to achieve planned initiatives. Additionally, even if the Company is in compliance with the reset financial covenants under the Fifth Amendment, pursuant to a letter agreement entered into in connection with the Fifth Amendment, if the Company does not maintain a Consolidated Total Leverage Ratio (as defined in the Credit Facility) of less than 4.50:1.00 as of specified quarter-end dates beginning with the fiscal quarter ending June 30, 2026, the Company will be required to pay milestone fees to the administrative agent for the ratable benefit of the lenders in amounts that increase over time, subject to certain conditions.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Company were unable to comply with the amended financial covenants when next tested and is otherwise unable to obtain amendments, waivers, or other relief, the lenders under the 2022 Credit Facility, could exercise available remedies, including but not limited to declaring borrowings due and payable, discontinuing further lending commitments, imposing cash-management controls, and instructing customers to remit payments directly to the administrative agent. If borrowings under the 2022 Credit Facility were accelerated and the acceleration were not rescinded, annulled, or otherwise cured within thirty (30) days after the notice of acceleration, the holders of the 5.250% Senior Notes due 2029 (the “2029 Notes” or “2029 Senior Notes”) and 5.000% Senior Notes due 2032 (the “2032 Notes” or “2032 Senior Notes”) would have the right to declare the notes due and payable in accordance with the applicable indentures.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Fifth Amendment provides relief from existing events of default, it does not eliminate the risk that the Company may be unable to comply with the amended covenants when they are next tested. Any additional amendments, waivers or other relief that may be required are not solely within the Company’s control and therefore cannot be considered a probable mitigating plan for purposes of alleviating substantial doubt under ASC 205-40. Accordingly, management has concluded, applying the going-concern guidance under U.S. GAAP, that these conditions continue to raise substantial doubt about the Company’s ability to continue as a going concern within one year after the date these consolidated financial statements are issued.</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pursuing various operational and financial initiatives intended to strengthen liquidity and reduce leverage, which may include potential subsidiary divestitures, working capital and cost reduction actions, potential strategic transactions involving real estate, and actions to maximize recoveries in connection with Lugano’s Chapter 11 proceedings. If successfully executed, these plans could enhance the Company’s ability to continue to operate and meet its obligations; however, because these initiatives are not committed or fully within management’s control, they have not been assumed in the Company’s going concern evaluation and may not be achieved on the timetable necessary to alleviate the substantial doubt described above.</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assumes the Company will continue to realize its assets and satisfy its liabilities in the ordinary course of business. For additional information regarding the impact of the Company’s covenant noncompliance on the classification of the Company’s indebtedness, see “</w:t>
      </w:r>
      <w:r>
        <w:rPr>
          <w:rFonts w:ascii="Arial" w:cs="Arial" w:eastAsia="Arial" w:hAnsi="Arial"/>
          <w:sz w:val="18"/>
          <w:szCs w:val="18"/>
          <w:u w:val="single" w:color="auto"/>
          <w:color w:val="0000FF"/>
        </w:rPr>
        <w:t>Note H – Debt</w:t>
      </w:r>
      <w:r>
        <w:rPr>
          <w:rFonts w:ascii="Arial" w:cs="Arial" w:eastAsia="Arial" w:hAnsi="Arial"/>
          <w:sz w:val="18"/>
          <w:szCs w:val="18"/>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as well as the businesses acquired as of their respective acquisition date. All significant intercompany accounts and transactions have been eliminated in consolidation. Discontinued operating entities are reflected as discontinued operations in the Company's results of operations and statements of financial position.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Restatement of Previously Reported Interim Financial Statements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April 2025 the Audit Committee of the Company's board of directors (the “Audit Committee”) of the Company commenced an internal investigation into the financing, accounting, and inventory practices of Lugano Holding, Inc. (“Lugano”), a subsidiary and operating segment of the Company, based on concerns reported to Company management as to these practices. The findings of the investigation (the "Lugano Investigation") identified certain unrecorded financing arrangements and irregularities in sales, cost of sales, inventory, and accounts receivable recorded by Lugano. As a result of these findings, the Company restated its previously issued audited consolidated financial statements as of December 31, 2024, 2023 and 2022 and for the years ended December 31, 2024, 2023 and 2022 as well as the interim periods in the years ended December 31, 2024, 2023 and 2022 (collectively, the “Affected Periods”) for the correction of historical financial information related to Lugano. Management identified misstatements in each of the Affected Periods that the Company deemed to be material as a result of the Lugano Investigation.</w:t>
      </w:r>
    </w:p>
    <w:p>
      <w:pPr>
        <w:spacing w:after="0" w:line="7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Previously reported information as of September 30, 2024 and for the three and nine months ended September 30, 2024 in this Form 10-Q have been updated to reflect the restatement.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 completed the sale of EBP Lifestyle Brands Holdings, Inc. (“Ergobaby”) during the fourth quarter of 2024. The results of operations of Ergobaby are reported as discontinued operations in the condensed consolidated statements of operations for the three and nine months ended September 30, 2024. Refer to </w:t>
      </w:r>
      <w:r>
        <w:rPr>
          <w:rFonts w:ascii="Arial" w:cs="Arial" w:eastAsia="Arial" w:hAnsi="Arial"/>
          <w:sz w:val="18"/>
          <w:szCs w:val="18"/>
          <w:u w:val="single" w:color="auto"/>
          <w:color w:val="0000FF"/>
        </w:rPr>
        <w:t>Note C - "Dispositions"</w:t>
      </w:r>
      <w:r>
        <w:rPr>
          <w:rFonts w:ascii="Arial" w:cs="Arial" w:eastAsia="Arial" w:hAnsi="Arial"/>
          <w:sz w:val="18"/>
          <w:szCs w:val="18"/>
          <w:color w:val="auto"/>
        </w:rPr>
        <w:t xml:space="preserve"> for additional information. Unless otherwise indicated, the disclosures accompanying the condensed consolidated financial statements reflect the Company's continuing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 however, due to various acquisitions in the last three years, there has generally been less seasonality in our net sales on a consolidated basis in recent years than there was historically.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(Topic 280): Improvements to Reportable Segment Disclosures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Financial Accounting Standards Board ("FASB") issued ASU No. 2023-07, Segment Reporting (Topic 280): Improvements to Reportable Segment Disclosures. This guidance will require, among other things, the following: (i) enhanced disclosures about significant segment expenses that are regularly provided to the chief operating decision maker ("CODM") and included in a segment's reported measure of profit or loss; (ii) disclosure of the amount and description of the composition of other segment items, as defined in ASU 2023-07, by reportable segment; and (iii) reporting the disclosures about each reportable segment's profit or loss and assets on an annual and interim basis. The guidance went into effect for fiscal years beginning after December 15, 2023, and interim periods within fiscal years beginning after December 15, 2024. The Company adopted the new standard as of the year ended December 31, 2024, and applied it retrospectively to all prior periods presented (refer to "</w:t>
      </w:r>
      <w:r>
        <w:rPr>
          <w:rFonts w:ascii="Arial" w:cs="Arial" w:eastAsia="Arial" w:hAnsi="Arial"/>
          <w:sz w:val="18"/>
          <w:szCs w:val="18"/>
          <w:u w:val="single" w:color="auto"/>
          <w:color w:val="0000FF"/>
        </w:rPr>
        <w:t>Note P - Operating Segment Data</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(Topic 740): Improvements to Income Tax Disclosures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This guidance will require, among other things, the following for public business entities: (i) enhanced disclosures of specific categories of reconciling items included in the rate reconciliation, as well as additional information for any of these items meeting certain qualitative and quantitative thresholds; (ii) disclosure of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guidance will be effective for annual periods beginning after December 15, 2024 and early adoption is permitted. The Company has determined that this ASU will result in additional disclosures in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No. 2024-03, Income Statement - Reporting Comprehensive Income- Expense Disaggregation Disclosures (Subtopic 220-40). This guidance will require the disclosure of disaggregation of certain relevant expenses included in the consolidated statements of operations. The guidance will be effective for annual reporting periods beginning after December 15, 2026 and for interim reporting periods beginning December 15, 2027, with early adoption permitted. The Company is currently evaluating the impact this standard will have on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acquisitions of our businesses are accounted for under the acquisition method of accounting. For each platform acquisition, the Company typically structures the transaction so that a newly created holding company acquires 100% of the equity interests in the acquired business. The entirety of the purchase consideration is paid by the newly created holding company to the selling shareholders. The total purchase consideration is the amount paid to the selling shareholders and we will, from time to time, allow the selling shareholder to reinvest a portion of their proceeds alongside the Company at the same price per share, into the holding company that acquires the target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color w:val="auto"/>
        </w:rPr>
        <w:t>business. Once the acquisition is complete, the selling shareholders no longer hold equity interests in the acquired company, but rather hold noncontrolling interest in the holding company that acquired the target business. Because the selling shareholders are investing in the transaction alongside the Company at the same price per share as the Company and are not retaining their existing equity in the acquired business, the Company includes the amount provided by noncontrolling shareholders in the total purchase consideration.</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typically through our existing credit facility. The debt capital is in the form of “intercompany loans” made by the LLC to the newly created holding company and the acquired business and are due from the newly created holding company and the acquired business, and payable to the LLC by the newly created holding company and the acquired business. The selling shareholders of the acquired businesses are not a party to the intercompany loan agreements nor do they have any obligation to repay the intercompany loans. These intercompany loans eliminate in consolidation and are not reflected on the Company's consolidated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The Honey Pot Co.</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31, 2024 (the "Closing Date"), the LLC, through its newly formed acquisition subsidiaries, THP Topco, Inc., a Delaware corporation (“THP Topco”) and THP Intermediate, Inc., a Delaware corporation (“THP Buyer”), acquired The Honey Pot Company Holdings, LLC (“THP”) and certain of its affiliated entities pursuant to a Merger and Stock Purchase Agreement (the “THP Purchase Agreement”) dated January 14, 2024 by and among THP Buyer, THP, VMG Honey Pot Blocker, Inc. (“Blocker I”), NVB1, Inc. (“Blocker II”), VMG Tax-Exempt IV, L.P., New Voices Fund, LP, THP Merger Sub, LLC (“THP Merger Sub”), VMG Honey Pot Holdings, LLC, as the Sellers’ Representative, and certain remaining equity holders of THP. Pursuant to the THP Purchase Agreement, subsequent to certain internal reorganizations, THP Buyer acquired all of the issued and outstanding equity of Blocker I and Blocker II and, thereafter, THP Merger Sub merged with and into THP (the “THP Merger”), with THP surviving such that the separate existence of THP Merger Sub ceased, with THP surviving the Merger as a wholly-owned, indirect subsidiary of the THP Topco. THP is the parent company of The Honey Pot Company (DE), LLC (“The Honey Pot Co.”).</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acquired THP for a total purchase price, including proceeds from noncontrolling shareholders, of approximately $380 million (the “THP Purchase Price”), before working capital and certain other adjustments, at the Closing Date. The Company funded the THP Purchase Price with cash on hand. Certain equity holders of THP invested in the transaction along with the Company, representing 15% of the initial equity interest in THP Topco. The Company directly owns approximately 85% of THP Topco, which in turn indirectly owns all of the issued and outstanding equity interests of THP and The Honey Pot Co. Concurrent with the Closing Date, the Company provided a credit facility to THP Buyer, THP and The Honey Pot Co., as borrowers (the “THP Credit Agreement”), pursuant to which a secured revolving loan commitment and secured term loans were made available to Buyer, THP and The Honey Pot Co. (collectively, the “Borrowers”). The initial amount outstanding under these facilities on the Closing Date was approximately $110 million.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is a feminine care brand that offers an extensive range of holistic wellness products across feminine hygiene, menstrual, consumer health, and sexual wellness categories. The Honey Pot Co.’s mission is to educate, support, and provide consumers around the world with the tools and resources that promote menstrual health and vaginal wellness.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operations of The Honey Pot Co. have been included in the consolidated results of operations since the date of acquisition. The Honey Pot Co.'s results of operations are reported as a separate operating segment as a branded consumer business. The table below provides the recording of the fair value of assets acquired and liabilities assumed as of the date of acquisition.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tbl>
      <w:tblPr>
        <w:tblLayout w:type="fixed"/>
        <w:tblInd w:w="240" w:type="dxa"/>
        <w:tblCellMar>
          <w:top w:w="0" w:type="dxa"/>
          <w:left w:w="0" w:type="dxa"/>
          <w:bottom w:w="0" w:type="dxa"/>
          <w:right w:w="0" w:type="dxa"/>
        </w:tblCellMar>
      </w:tblPr>
      <w:tr>
        <w:trPr>
          <w:trHeight w:val="162"/>
        </w:trPr>
        <w:tc>
          <w:tcPr>
            <w:tcW w:w="40" w:type="dxa"/>
            <w:vAlign w:val="bottom"/>
            <w:tcBorders>
              <w:top w:val="single" w:sz="8" w:color="auto"/>
            </w:tcBorders>
          </w:tcPr>
          <w:p>
            <w:pPr>
              <w:spacing w:after="0"/>
              <w:rPr>
                <w:sz w:val="14"/>
                <w:szCs w:val="14"/>
                <w:color w:val="auto"/>
              </w:rPr>
            </w:pPr>
          </w:p>
        </w:tc>
        <w:tc>
          <w:tcPr>
            <w:tcW w:w="4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rPr>
              <w:t>Preliminary Purchase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right"/>
              <w:ind w:right="240"/>
              <w:spacing w:after="0" w:line="162" w:lineRule="exact"/>
              <w:rPr>
                <w:sz w:val="20"/>
                <w:szCs w:val="20"/>
                <w:color w:val="auto"/>
              </w:rPr>
            </w:pPr>
            <w:r>
              <w:rPr>
                <w:rFonts w:ascii="Arial" w:cs="Arial" w:eastAsia="Arial" w:hAnsi="Arial"/>
                <w:sz w:val="15"/>
                <w:szCs w:val="15"/>
                <w:b w:val="1"/>
                <w:bCs w:val="1"/>
                <w:color w:val="auto"/>
              </w:rPr>
              <w:t>Measurement Period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rPr>
              <w:t>Final Purchase Price</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rPr>
              <w:t>Price Allocation</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5"/>
                <w:szCs w:val="15"/>
                <w:b w:val="1"/>
                <w:bCs w:val="1"/>
                <w:color w:val="auto"/>
              </w:rPr>
              <w:t>Adjustments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rPr>
              <w:t>Allocation</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Purchase Consideration</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380,121</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(2,796)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377,325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of identifiable assets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Cash</w:t>
            </w:r>
          </w:p>
        </w:tc>
        <w:tc>
          <w:tcPr>
            <w:tcW w:w="3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4,076</w:t>
            </w:r>
          </w:p>
        </w:tc>
        <w:tc>
          <w:tcPr>
            <w:tcW w:w="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(3,320)</w:t>
            </w:r>
          </w:p>
        </w:tc>
        <w:tc>
          <w:tcPr>
            <w:tcW w:w="3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1"/>
                <w:szCs w:val="21"/>
                <w:b w:val="1"/>
                <w:bCs w:val="1"/>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18,986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247,000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24,300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271,300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and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identifiable assets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292,269</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313,249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Fair value of liabilities assumed: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27,846</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40,283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42,963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Net identifiable assets 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251,986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18,300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270,286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3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128,135</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(21,096)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107,039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5"/>
                <w:szCs w:val="15"/>
                <w:b w:val="1"/>
                <w:bCs w:val="1"/>
                <w:color w:val="auto"/>
              </w:rPr>
              <w:t>Acquisition consideration</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Purchase price</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380,000</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Estimated cash 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Net working capital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Other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purchase consideration</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380,121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fair value of accounts receivable approximates book value acquired.</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allocation presented above is based upon management's estimate of the fair values using valuation techniques including income, cost and market approaches. In estimating the fair value of the identifiable acquired assets and assumed liabilities, the fair value estimates are based on, but not limited to, expected future revenue and cash flows, expected future growth rates and estimated discount rates. Current and noncurrent assets, property, plant and equipment and current and other liabilities are estimated at their historical carrying values, which approximates fair value. Inventory is recognized at fair value, with finished goods stated at selling price less an estimated cost to sell. Property, plant and equipment will be depreciated on a straight-line basis over the remaining useful lives of the assets. Goodwill is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goodwill of $107.0 million reflects the strategic fit of The Honey Pot Co. in the Company's branded consumer business and is not expected to be deductible for income tax purposes.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2024, the purchase price allocation for The Honey Pot Co. was adjusted to reflect certain measurement period adjustments due to updated intangible asset valuation and an adjustment to deferred tax liabilities. Customer relationships was increased $24.3 million, with a corresponding decrease to goodwill. Deferred income tax liability increased $2.7 million, with a corresponding decrease to goodwill. In the third quarter of 2024, the purchase price of The Honey Pot Co. was adjusted to reflect the working capital settlement, additional purchase consideration of $0.5 million, and the related tax effect. The purchase price allocation for The Honey Pot Co. was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final as of September 30,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Honey Pot Co. acquisition are as follows (in thousands):</w:t>
      </w:r>
    </w:p>
    <w:p>
      <w:pPr>
        <w:spacing w:after="0" w:line="139"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47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420" w:type="dxa"/>
            <w:vAlign w:val="bottom"/>
          </w:tcPr>
          <w:p>
            <w:pPr>
              <w:spacing w:after="0"/>
              <w:rPr>
                <w:sz w:val="14"/>
                <w:szCs w:val="14"/>
                <w:color w:val="auto"/>
              </w:rPr>
            </w:pPr>
          </w:p>
        </w:tc>
        <w:tc>
          <w:tcPr>
            <w:tcW w:w="1780" w:type="dxa"/>
            <w:vAlign w:val="bottom"/>
            <w:vMerge w:val="restart"/>
          </w:tcPr>
          <w:p>
            <w:pPr>
              <w:jc w:val="right"/>
              <w:ind w:right="660"/>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16"/>
        </w:trPr>
        <w:tc>
          <w:tcPr>
            <w:tcW w:w="47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Lives</w:t>
            </w:r>
          </w:p>
        </w:tc>
        <w:tc>
          <w:tcPr>
            <w:tcW w:w="0" w:type="dxa"/>
            <w:vAlign w:val="bottom"/>
          </w:tcPr>
          <w:p>
            <w:pPr>
              <w:spacing w:after="0"/>
              <w:rPr>
                <w:sz w:val="1"/>
                <w:szCs w:val="1"/>
                <w:color w:val="auto"/>
              </w:rPr>
            </w:pPr>
          </w:p>
        </w:tc>
      </w:tr>
      <w:tr>
        <w:trPr>
          <w:trHeight w:val="34"/>
        </w:trPr>
        <w:tc>
          <w:tcPr>
            <w:tcW w:w="45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Tradename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 years</w:t>
            </w:r>
          </w:p>
        </w:tc>
        <w:tc>
          <w:tcPr>
            <w:tcW w:w="0" w:type="dxa"/>
            <w:vAlign w:val="bottom"/>
          </w:tcPr>
          <w:p>
            <w:pPr>
              <w:spacing w:after="0"/>
              <w:rPr>
                <w:sz w:val="1"/>
                <w:szCs w:val="1"/>
                <w:color w:val="auto"/>
              </w:rPr>
            </w:pPr>
          </w:p>
        </w:tc>
      </w:tr>
      <w:tr>
        <w:trPr>
          <w:trHeight w:val="215"/>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46,300</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13 years</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271,300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tradename was considered the primary intangible asset and was valued at $225.0 million using a multi-period excess earnings method. The customer relationships were valued at $46.3 million using a multi-period excess earnings method. The multi-period excess earnings method assumes an asset has value to the extent that it enables its owners to earn a return in excess of the other assets utilized in the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proforma information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proforma data for the nine months ended September 30, 2024 gives effect to the acquisition of The Honey Pot Co., as described above, and the disposition of Ergo, as if these transactions had been completed as of January 1, 2024. The proforma data gives effect to historical operating results with adjustments to interest expense, amortization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100"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rPr>
              <w:t>September 30, 2024</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1,304,755</w:t>
            </w: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566,104</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4,002</w:t>
            </w: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Net loss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(257,522)</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attributable to Holdings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(170,263)</w:t>
            </w:r>
          </w:p>
        </w:tc>
        <w:tc>
          <w:tcPr>
            <w:tcW w:w="0" w:type="dxa"/>
            <w:vAlign w:val="bottom"/>
          </w:tcPr>
          <w:p>
            <w:pPr>
              <w:spacing w:after="0"/>
              <w:rPr>
                <w:sz w:val="1"/>
                <w:szCs w:val="1"/>
                <w:color w:val="auto"/>
              </w:rPr>
            </w:pPr>
          </w:p>
        </w:tc>
      </w:tr>
      <w:tr>
        <w:trPr>
          <w:trHeight w:val="162"/>
        </w:trPr>
        <w:tc>
          <w:tcPr>
            <w:tcW w:w="6640" w:type="dxa"/>
            <w:vAlign w:val="bottom"/>
          </w:tcPr>
          <w:p>
            <w:pPr>
              <w:ind w:left="20"/>
              <w:spacing w:after="0" w:line="162" w:lineRule="exact"/>
              <w:rPr>
                <w:sz w:val="20"/>
                <w:szCs w:val="20"/>
                <w:color w:val="auto"/>
              </w:rPr>
            </w:pPr>
            <w:r>
              <w:rPr>
                <w:rFonts w:ascii="Arial" w:cs="Arial" w:eastAsia="Arial" w:hAnsi="Arial"/>
                <w:sz w:val="16"/>
                <w:szCs w:val="16"/>
                <w:color w:val="auto"/>
              </w:rPr>
              <w:t>Basic and fully diluted net loss per share from continuing operations attributable to</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Holdings</w:t>
            </w:r>
          </w:p>
        </w:tc>
        <w:tc>
          <w:tcPr>
            <w:tcW w:w="20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Altor Solutions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Lifoam </w:t>
      </w:r>
      <w:r>
        <w:rPr>
          <w:rFonts w:ascii="Arial" w:cs="Arial" w:eastAsia="Arial" w:hAnsi="Arial"/>
          <w:sz w:val="18"/>
          <w:szCs w:val="18"/>
          <w:color w:val="auto"/>
        </w:rPr>
        <w:t>- On October 1, 2024, Altor Solutions acquired 100% of the outstanding equity interests of Lifoam Industries LLC, a Delaware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(“Lifoam”) pursuant to a Purchase and Sale Agreement entered into on August 19, 2024 (the “Lifoam Acquisition”). Lifoam is a manufacturer and distributor of temperature-controlled shipping solutions. The purchase price was $139.3 million, after working capital settlement and other adjustments to the purchase price. Altor incurred transaction costs of approximately $ 1.8 million, which were included in selling, general and administrative expense in the consolidated statement of operations in the quarter ended December 31, 2024. The acquisition and related transaction costs were funded through additional term loans of $143.7 million under the Altor intercompany credit agreement. The Company funded the additional intercompany loans used for the acquisition of Lifoam with a draw on the 2022 Revolving Credit Facility. Altor recorded a purchase price allocation of $19.4 million in goodwill, which is expected to be deductible for income tax purposes, $49.4 million in intangible assets comprised of $39.5 million in customer relationships and $9.9 million in tradenames, $24 million in capital asset step-up and $1.6 million in inventory step-up. The purchase price allocation was finalized in the first quarter of 2025.</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C — Dispositions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Ergobaby</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27, 2024, the LLC, solely in its capacity as the representative of the holders of stock and options of EBP Lifestyle Brands Holdings, Inc. (“Ergobaby”), a majority owned subsidiary of the Company, entered into a definitive Agreement and Plan of Merger (the “Ergobaby Merger Agreement”) with ERGO Acquisition LLC (“Ergo Acquirer”), Aloha Merger Sub LLC ( “Aloha Merger Sub”) and Ergobaby, to sell to Ergo Acquirer all of the issued and outstanding securities of Ergobaby, the parent company of the operating entity, The ERGO Baby Carrier, Inc., through a merger of Aloha Merger Sub with and into Ergobaby, with Ergobaby surviving the merger and becoming a wholly owned subsidiary of Acquirer (the “Ergobaby Merger”). On the same day, December 27, 2024, the parties completed the Ergobaby Merger pursuant to the Ergobaby Merger Agreement.</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sale price of Ergobaby was based on an enterprise value of $ 104 million and was subject to certain adjustments based on matters such as transaction expenses of Ergobaby, the net working capital and cash and debt balances of Ergobaby at the time of the closing. The LLC owned approximately 82% of the outstanding stock of Ergobaby on a fully diluted basis prior to the Ergobaby Merger. After the allocation of the sales price to Ergobaby non-controlling equity holders and the payment of transaction expenses, the Company received approximately $99.1 million of total proceeds at closing. This amount was in respect of its debt and equity interests in Ergobaby (which was acquired by the Company on September 16, 2010) and the payment of accrued interest. The Company recorded a pre-tax gain on the sale of Ergobaby of $6.1 million in the fourth quarter of 2024. In the second quarter of 2025, the Company received a net working capital settlement of $2.8 million related to the sale of Ergobaby, which was recognized as additional gain on sale of discontinued operations in the accompanying condensed consolidated statement of operations. The proceeds from the Ergobaby sale were used to pay down outstanding debt under the Company’s Revolving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Ergobaby for the three and nine months ended September 30, 2024 are as follows (in thousands):</w:t>
      </w:r>
    </w:p>
    <w:p>
      <w:pPr>
        <w:spacing w:after="0" w:line="139"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14"/>
                <w:szCs w:val="14"/>
                <w:color w:val="auto"/>
              </w:rPr>
            </w:pPr>
          </w:p>
        </w:tc>
        <w:tc>
          <w:tcPr>
            <w:tcW w:w="1800" w:type="dxa"/>
            <w:vAlign w:val="bottom"/>
          </w:tcPr>
          <w:p>
            <w:pPr>
              <w:jc w:val="right"/>
              <w:ind w:right="224"/>
              <w:spacing w:after="0"/>
              <w:rPr>
                <w:sz w:val="20"/>
                <w:szCs w:val="20"/>
                <w:color w:val="auto"/>
              </w:rPr>
            </w:pPr>
            <w:r>
              <w:rPr>
                <w:rFonts w:ascii="Arial" w:cs="Arial" w:eastAsia="Arial" w:hAnsi="Arial"/>
                <w:sz w:val="15"/>
                <w:szCs w:val="15"/>
                <w:b w:val="1"/>
                <w:bCs w:val="1"/>
                <w:color w:val="auto"/>
              </w:rPr>
              <w:t>Nine months ended</w:t>
            </w:r>
          </w:p>
        </w:tc>
      </w:tr>
      <w:tr>
        <w:trPr>
          <w:trHeight w:val="213"/>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September 30, 2024</w:t>
            </w:r>
          </w:p>
        </w:tc>
        <w:tc>
          <w:tcPr>
            <w:tcW w:w="180" w:type="dxa"/>
            <w:vAlign w:val="bottom"/>
          </w:tcPr>
          <w:p>
            <w:pPr>
              <w:spacing w:after="0"/>
              <w:rPr>
                <w:sz w:val="18"/>
                <w:szCs w:val="18"/>
                <w:color w:val="auto"/>
              </w:rPr>
            </w:pPr>
          </w:p>
        </w:tc>
        <w:tc>
          <w:tcPr>
            <w:tcW w:w="1800" w:type="dxa"/>
            <w:vAlign w:val="bottom"/>
          </w:tcPr>
          <w:p>
            <w:pPr>
              <w:jc w:val="right"/>
              <w:ind w:right="204"/>
              <w:spacing w:after="0"/>
              <w:rPr>
                <w:sz w:val="20"/>
                <w:szCs w:val="20"/>
                <w:color w:val="auto"/>
              </w:rPr>
            </w:pPr>
            <w:r>
              <w:rPr>
                <w:rFonts w:ascii="Arial" w:cs="Arial" w:eastAsia="Arial" w:hAnsi="Arial"/>
                <w:sz w:val="15"/>
                <w:szCs w:val="15"/>
                <w:b w:val="1"/>
                <w:bCs w:val="1"/>
                <w:color w:val="auto"/>
              </w:rPr>
              <w:t>September 30, 2024</w:t>
            </w:r>
          </w:p>
        </w:tc>
      </w:tr>
      <w:tr>
        <w:trPr>
          <w:trHeight w:val="19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21,755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71,530</w:t>
            </w:r>
          </w:p>
        </w:tc>
      </w:tr>
      <w:tr>
        <w:trPr>
          <w:trHeight w:val="201"/>
        </w:trPr>
        <w:tc>
          <w:tcPr>
            <w:tcW w:w="55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60" w:type="dxa"/>
            <w:vAlign w:val="bottom"/>
          </w:tcPr>
          <w:p>
            <w:pPr>
              <w:spacing w:after="0"/>
              <w:rPr>
                <w:sz w:val="17"/>
                <w:szCs w:val="17"/>
                <w:color w:val="auto"/>
              </w:rPr>
            </w:pPr>
          </w:p>
        </w:tc>
        <w:tc>
          <w:tcPr>
            <w:tcW w:w="1820" w:type="dxa"/>
            <w:vAlign w:val="bottom"/>
          </w:tcPr>
          <w:p>
            <w:pPr>
              <w:jc w:val="right"/>
              <w:ind w:right="4"/>
              <w:spacing w:after="0"/>
              <w:rPr>
                <w:sz w:val="20"/>
                <w:szCs w:val="20"/>
                <w:color w:val="auto"/>
              </w:rPr>
            </w:pPr>
            <w:r>
              <w:rPr>
                <w:rFonts w:ascii="Arial" w:cs="Arial" w:eastAsia="Arial" w:hAnsi="Arial"/>
                <w:sz w:val="15"/>
                <w:szCs w:val="15"/>
                <w:color w:val="auto"/>
              </w:rPr>
              <w:t>13,825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46,176</w:t>
            </w:r>
          </w:p>
        </w:tc>
      </w:tr>
      <w:tr>
        <w:trPr>
          <w:trHeight w:val="204"/>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629</w:t>
            </w:r>
          </w:p>
        </w:tc>
      </w:tr>
      <w:tr>
        <w:trPr>
          <w:trHeight w:val="203"/>
        </w:trPr>
        <w:tc>
          <w:tcPr>
            <w:tcW w:w="558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Income from operations before income taxes </w:t>
            </w:r>
            <w:r>
              <w:rPr>
                <w:rFonts w:ascii="Arial" w:cs="Arial" w:eastAsia="Arial" w:hAnsi="Arial"/>
                <w:sz w:val="21"/>
                <w:szCs w:val="21"/>
                <w:b w:val="1"/>
                <w:bCs w:val="1"/>
                <w:color w:val="auto"/>
                <w:vertAlign w:val="superscript"/>
              </w:rPr>
              <w:t>(1)</w:t>
            </w:r>
          </w:p>
        </w:tc>
        <w:tc>
          <w:tcPr>
            <w:tcW w:w="1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(952)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617</w:t>
            </w: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(benefit) for income taxes</w:t>
            </w: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516</w:t>
            </w:r>
          </w:p>
        </w:tc>
      </w:tr>
      <w:tr>
        <w:trPr>
          <w:trHeight w:val="271"/>
        </w:trPr>
        <w:tc>
          <w:tcPr>
            <w:tcW w:w="5580" w:type="dxa"/>
            <w:vAlign w:val="bottom"/>
          </w:tcPr>
          <w:p>
            <w:pPr>
              <w:ind w:left="20"/>
              <w:spacing w:after="0"/>
              <w:rPr>
                <w:sz w:val="20"/>
                <w:szCs w:val="20"/>
                <w:color w:val="auto"/>
              </w:rPr>
            </w:pPr>
            <w:r>
              <w:rPr>
                <w:rFonts w:ascii="Arial" w:cs="Arial" w:eastAsia="Arial" w:hAnsi="Arial"/>
                <w:sz w:val="15"/>
                <w:szCs w:val="15"/>
                <w:color w:val="auto"/>
              </w:rPr>
              <w:t xml:space="preserve">Income from discontinued operations </w:t>
            </w:r>
            <w:r>
              <w:rPr>
                <w:rFonts w:ascii="Arial" w:cs="Arial" w:eastAsia="Arial" w:hAnsi="Arial"/>
                <w:sz w:val="19"/>
                <w:szCs w:val="19"/>
                <w:b w:val="1"/>
                <w:bCs w:val="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820" w:type="dxa"/>
            <w:vAlign w:val="bottom"/>
          </w:tcPr>
          <w:p>
            <w:pPr>
              <w:jc w:val="right"/>
              <w:spacing w:after="0"/>
              <w:rPr>
                <w:sz w:val="20"/>
                <w:szCs w:val="20"/>
                <w:color w:val="auto"/>
              </w:rPr>
            </w:pPr>
            <w:r>
              <w:rPr>
                <w:rFonts w:ascii="Arial" w:cs="Arial" w:eastAsia="Arial" w:hAnsi="Arial"/>
                <w:sz w:val="15"/>
                <w:szCs w:val="15"/>
                <w:color w:val="auto"/>
              </w:rPr>
              <w:t>(1,088)</w:t>
            </w:r>
          </w:p>
        </w:tc>
        <w:tc>
          <w:tcPr>
            <w:tcW w:w="120" w:type="dxa"/>
            <w:vAlign w:val="bottom"/>
          </w:tcPr>
          <w:p>
            <w:pPr>
              <w:spacing w:after="0"/>
              <w:rPr>
                <w:sz w:val="23"/>
                <w:szCs w:val="23"/>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101</w:t>
            </w:r>
          </w:p>
        </w:tc>
      </w:tr>
    </w:tbl>
    <w:p>
      <w:pPr>
        <w:spacing w:after="0" w:line="169" w:lineRule="exact"/>
        <w:rPr>
          <w:sz w:val="20"/>
          <w:szCs w:val="20"/>
          <w:color w:val="auto"/>
        </w:rPr>
      </w:pPr>
    </w:p>
    <w:p>
      <w:pPr>
        <w:ind w:firstLine="8"/>
        <w:spacing w:after="0" w:line="293" w:lineRule="auto"/>
        <w:tabs>
          <w:tab w:leader="none" w:pos="175" w:val="left"/>
        </w:tabs>
        <w:numPr>
          <w:ilvl w:val="0"/>
          <w:numId w:val="9"/>
        </w:numPr>
        <w:rPr>
          <w:rFonts w:ascii="Arial" w:cs="Arial" w:eastAsia="Arial" w:hAnsi="Arial"/>
          <w:sz w:val="20"/>
          <w:szCs w:val="20"/>
          <w:b w:val="1"/>
          <w:bCs w:val="1"/>
          <w:color w:val="auto"/>
          <w:vertAlign w:val="superscript"/>
        </w:rPr>
      </w:pPr>
      <w:r>
        <w:rPr>
          <w:rFonts w:ascii="Arial" w:cs="Arial" w:eastAsia="Arial" w:hAnsi="Arial"/>
          <w:sz w:val="16"/>
          <w:szCs w:val="16"/>
          <w:color w:val="auto"/>
        </w:rPr>
        <w:t>The results of operations for the three and nine months ended September 30, 2024, excludes $2.1 million and $6.4 million of intercompany interest expense,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Crosman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30, 2024, Velocity Outdoor entered into a stock purchase agreement to sell Crosman Corporation ("Crosman"), its airgun product division, to Daisy Manufacturing Company, for an enterprise value of approximately $63 million. The sale was completed on the same day. The Company recorded a loss of $24.6 million on the sale of Crosman in the quarter ended June 30, 2024, and a gain of $0.4 million in the third quarter of 2024 related to the working capital settlement. Velocity received net proceeds of approximately $61.9 million related to the sale of Crosman, which was used to repay amounts outstanding under its intercompany credit agreement. The results of operation of Crosman are included in the accompanying financial statements through the date of sale.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recognizes revenue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operating segment and by geography for each strategic business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categories that depict how the nature, amount and uncertainty of revenue and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8"/>
          <w:szCs w:val="18"/>
          <w:color w:val="auto"/>
        </w:rPr>
        <w:t>cash flows are affected by economic factors. The disaggregation in the tables below reflects where revenue is earned based on the shipping address of our customers unless otherwise noted.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disaggregation of revenue by reportable segment geography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and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126365</wp:posOffset>
            </wp:positionV>
            <wp:extent cx="6892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Three months ended September 30,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Europe</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8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7"/>
                <w:szCs w:val="17"/>
                <w:color w:val="auto"/>
              </w:rPr>
            </w:pPr>
          </w:p>
        </w:tc>
      </w:tr>
      <w:tr>
        <w:trPr>
          <w:trHeight w:val="209"/>
        </w:trPr>
        <w:tc>
          <w:tcPr>
            <w:tcW w:w="200" w:type="dxa"/>
            <w:vAlign w:val="bottom"/>
          </w:tcPr>
          <w:p>
            <w:pPr>
              <w:spacing w:after="0"/>
              <w:rPr>
                <w:sz w:val="18"/>
                <w:szCs w:val="18"/>
                <w:color w:val="auto"/>
              </w:rPr>
            </w:pPr>
          </w:p>
        </w:tc>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109,042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143,240</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43,941</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17,350</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PrimaLoft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13,294</w:t>
            </w:r>
          </w:p>
        </w:tc>
        <w:tc>
          <w:tcPr>
            <w:tcW w:w="180" w:type="dxa"/>
            <w:vAlign w:val="bottom"/>
          </w:tcPr>
          <w:p>
            <w:pPr>
              <w:spacing w:after="0"/>
              <w:rPr>
                <w:sz w:val="18"/>
                <w:szCs w:val="18"/>
                <w:color w:val="auto"/>
              </w:rPr>
            </w:pPr>
          </w:p>
        </w:tc>
      </w:tr>
      <w:tr>
        <w:trPr>
          <w:trHeight w:val="217"/>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34,727</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29,040</w:t>
            </w:r>
          </w:p>
        </w:tc>
        <w:tc>
          <w:tcPr>
            <w:tcW w:w="180" w:type="dxa"/>
            <w:vAlign w:val="bottom"/>
          </w:tcPr>
          <w:p>
            <w:pPr>
              <w:spacing w:after="0"/>
              <w:rPr>
                <w:sz w:val="18"/>
                <w:szCs w:val="18"/>
                <w:color w:val="auto"/>
              </w:rPr>
            </w:pPr>
          </w:p>
        </w:tc>
      </w:tr>
      <w:tr>
        <w:trPr>
          <w:trHeight w:val="217"/>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79,824</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37,686</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73,460</w:t>
            </w:r>
          </w:p>
        </w:tc>
        <w:tc>
          <w:tcPr>
            <w:tcW w:w="180" w:type="dxa"/>
            <w:vAlign w:val="bottom"/>
          </w:tcPr>
          <w:p>
            <w:pPr>
              <w:spacing w:after="0"/>
              <w:rPr>
                <w:sz w:val="18"/>
                <w:szCs w:val="18"/>
                <w:color w:val="auto"/>
              </w:rPr>
            </w:pPr>
          </w:p>
        </w:tc>
      </w:tr>
      <w:tr>
        <w:trPr>
          <w:trHeight w:val="209"/>
        </w:trPr>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369,407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16,811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43,665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30,004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472,562</w:t>
            </w:r>
          </w:p>
        </w:tc>
        <w:tc>
          <w:tcPr>
            <w:tcW w:w="180" w:type="dxa"/>
            <w:vAlign w:val="bottom"/>
          </w:tcPr>
          <w:p>
            <w:pPr>
              <w:spacing w:after="0"/>
              <w:rPr>
                <w:sz w:val="18"/>
                <w:szCs w:val="18"/>
                <w:color w:val="auto"/>
              </w:rPr>
            </w:pPr>
          </w:p>
        </w:tc>
      </w:tr>
      <w:tr>
        <w:trPr>
          <w:trHeight w:val="21"/>
        </w:trPr>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8"/>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8"/>
          </w:tcPr>
          <w:p>
            <w:pPr>
              <w:ind w:left="200"/>
              <w:spacing w:after="0"/>
              <w:rPr>
                <w:sz w:val="20"/>
                <w:szCs w:val="20"/>
                <w:color w:val="auto"/>
              </w:rPr>
            </w:pPr>
            <w:r>
              <w:rPr>
                <w:rFonts w:ascii="Arial" w:cs="Arial" w:eastAsia="Arial" w:hAnsi="Arial"/>
                <w:sz w:val="15"/>
                <w:szCs w:val="15"/>
                <w:b w:val="1"/>
                <w:bCs w:val="1"/>
                <w:color w:val="auto"/>
              </w:rPr>
              <w:t>Three months ended September 30, 2024</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4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5"/>
                <w:szCs w:val="15"/>
                <w:b w:val="1"/>
                <w:bCs w:val="1"/>
                <w:color w:val="auto"/>
              </w:rPr>
              <w:t>Europe</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Pr>
          <w:p>
            <w:pPr>
              <w:spacing w:after="0"/>
              <w:rPr>
                <w:sz w:val="17"/>
                <w:szCs w:val="17"/>
                <w:color w:val="auto"/>
              </w:rPr>
            </w:pPr>
          </w:p>
        </w:tc>
        <w:tc>
          <w:tcPr>
            <w:tcW w:w="1240" w:type="dxa"/>
            <w:vAlign w:val="bottom"/>
          </w:tcPr>
          <w:p>
            <w:pPr>
              <w:jc w:val="center"/>
              <w:ind w:right="8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CCEEFF"/>
            </w:tcBorders>
          </w:tcPr>
          <w:p>
            <w:pPr>
              <w:spacing w:after="0"/>
              <w:rPr>
                <w:sz w:val="17"/>
                <w:szCs w:val="17"/>
                <w:color w:val="auto"/>
              </w:rPr>
            </w:pPr>
          </w:p>
        </w:tc>
        <w:tc>
          <w:tcPr>
            <w:tcW w:w="9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rPr>
              <w:t>(As restated)</w:t>
            </w:r>
          </w:p>
        </w:tc>
        <w:tc>
          <w:tcPr>
            <w:tcW w:w="180" w:type="dxa"/>
            <w:vAlign w:val="bottom"/>
          </w:tcPr>
          <w:p>
            <w:pPr>
              <w:spacing w:after="0"/>
              <w:rPr>
                <w:sz w:val="17"/>
                <w:szCs w:val="17"/>
                <w:color w:val="auto"/>
              </w:rPr>
            </w:pPr>
          </w:p>
        </w:tc>
      </w:tr>
      <w:tr>
        <w:trPr>
          <w:trHeight w:val="210"/>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139,218</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45,607</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 (as restated)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14,269</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PrimaLoft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13,686</w:t>
            </w:r>
          </w:p>
        </w:tc>
        <w:tc>
          <w:tcPr>
            <w:tcW w:w="180" w:type="dxa"/>
            <w:vAlign w:val="bottom"/>
          </w:tcPr>
          <w:p>
            <w:pPr>
              <w:spacing w:after="0"/>
              <w:rPr>
                <w:sz w:val="18"/>
                <w:szCs w:val="18"/>
                <w:color w:val="auto"/>
              </w:rPr>
            </w:pPr>
          </w:p>
        </w:tc>
      </w:tr>
      <w:tr>
        <w:trPr>
          <w:trHeight w:val="217"/>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31,545</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28,809</w:t>
            </w:r>
          </w:p>
        </w:tc>
        <w:tc>
          <w:tcPr>
            <w:tcW w:w="180" w:type="dxa"/>
            <w:vAlign w:val="bottom"/>
          </w:tcPr>
          <w:p>
            <w:pPr>
              <w:spacing w:after="0"/>
              <w:rPr>
                <w:sz w:val="18"/>
                <w:szCs w:val="18"/>
                <w:color w:val="auto"/>
              </w:rPr>
            </w:pPr>
          </w:p>
        </w:tc>
      </w:tr>
      <w:tr>
        <w:trPr>
          <w:trHeight w:val="217"/>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52,129</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31,772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46,103</w:t>
            </w:r>
          </w:p>
        </w:tc>
        <w:tc>
          <w:tcPr>
            <w:tcW w:w="180" w:type="dxa"/>
            <w:vAlign w:val="bottom"/>
          </w:tcPr>
          <w:p>
            <w:pPr>
              <w:spacing w:after="0"/>
              <w:rPr>
                <w:sz w:val="18"/>
                <w:szCs w:val="18"/>
                <w:color w:val="auto"/>
              </w:rPr>
            </w:pPr>
          </w:p>
        </w:tc>
      </w:tr>
      <w:tr>
        <w:trPr>
          <w:trHeight w:val="217"/>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85,187</w:t>
            </w:r>
          </w:p>
        </w:tc>
        <w:tc>
          <w:tcPr>
            <w:tcW w:w="180" w:type="dxa"/>
            <w:vAlign w:val="bottom"/>
          </w:tcPr>
          <w:p>
            <w:pPr>
              <w:spacing w:after="0"/>
              <w:rPr>
                <w:sz w:val="18"/>
                <w:szCs w:val="18"/>
                <w:color w:val="auto"/>
              </w:rPr>
            </w:pPr>
          </w:p>
        </w:tc>
      </w:tr>
      <w:tr>
        <w:trPr>
          <w:trHeight w:val="209"/>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Total (As Restated)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347,996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100" w:type="dxa"/>
            <w:vAlign w:val="bottom"/>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456,553</w:t>
            </w:r>
          </w:p>
        </w:tc>
        <w:tc>
          <w:tcPr>
            <w:tcW w:w="180" w:type="dxa"/>
            <w:vAlign w:val="bottom"/>
          </w:tcPr>
          <w:p>
            <w:pPr>
              <w:spacing w:after="0"/>
              <w:rPr>
                <w:sz w:val="18"/>
                <w:szCs w:val="18"/>
                <w:color w:val="auto"/>
              </w:rPr>
            </w:pPr>
          </w:p>
        </w:tc>
      </w:tr>
      <w:tr>
        <w:trPr>
          <w:trHeight w:val="21"/>
        </w:trPr>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02"/>
        </w:trPr>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58"/>
        </w:trPr>
        <w:tc>
          <w:tcPr>
            <w:tcW w:w="200" w:type="dxa"/>
            <w:vAlign w:val="bottom"/>
            <w:tcBorders>
              <w:bottom w:val="single" w:sz="8" w:color="9A9A9A"/>
            </w:tcBorders>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328295</wp:posOffset>
            </wp:positionH>
            <wp:positionV relativeFrom="page">
              <wp:posOffset>766445</wp:posOffset>
            </wp:positionV>
            <wp:extent cx="6892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2290" cy="8890"/>
                    </a:xfrm>
                    <a:prstGeom prst="rect">
                      <a:avLst/>
                    </a:prstGeom>
                    <a:noFill/>
                  </pic:spPr>
                </pic:pic>
              </a:graphicData>
            </a:graphic>
          </wp:anchor>
        </w:drawing>
        <w:t>Nine months ended September 30, 2025</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1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Europe</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80"/>
              <w:spacing w:after="0"/>
              <w:rPr>
                <w:sz w:val="20"/>
                <w:szCs w:val="20"/>
                <w:color w:val="auto"/>
              </w:rPr>
            </w:pPr>
            <w:r>
              <w:rPr>
                <w:rFonts w:ascii="Arial" w:cs="Arial" w:eastAsia="Arial" w:hAnsi="Arial"/>
                <w:sz w:val="15"/>
                <w:szCs w:val="15"/>
                <w:b w:val="1"/>
                <w:bCs w:val="1"/>
                <w:color w:val="auto"/>
              </w:rPr>
              <w:t>Total</w:t>
            </w:r>
          </w:p>
        </w:tc>
      </w:tr>
      <w:tr>
        <w:trPr>
          <w:trHeight w:val="209"/>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318,684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404,052</w:t>
            </w:r>
          </w:p>
        </w:tc>
      </w:tr>
      <w:tr>
        <w:trPr>
          <w:trHeight w:val="216"/>
        </w:trPr>
        <w:tc>
          <w:tcPr>
            <w:tcW w:w="1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37,497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70,230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33,138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141,187</w:t>
            </w: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70,966</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PrimaLoft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57,640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61,794</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103,716</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56,496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57,454</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239,386</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Arnold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71,610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110,126</w:t>
            </w: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216,346</w:t>
            </w:r>
          </w:p>
        </w:tc>
      </w:tr>
      <w:tr>
        <w:trPr>
          <w:trHeight w:val="210"/>
        </w:trPr>
        <w:tc>
          <w:tcPr>
            <w:tcW w:w="19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1,085,041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38,205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133,292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108,823</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1,405,027</w:t>
            </w:r>
          </w:p>
        </w:tc>
      </w:tr>
      <w:tr>
        <w:trPr>
          <w:trHeight w:val="21"/>
        </w:trPr>
        <w:tc>
          <w:tcPr>
            <w:tcW w:w="1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85"/>
        </w:trPr>
        <w:tc>
          <w:tcPr>
            <w:tcW w:w="1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8"/>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6"/>
        </w:trPr>
        <w:tc>
          <w:tcPr>
            <w:tcW w:w="1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8"/>
          </w:tcPr>
          <w:p>
            <w:pPr>
              <w:ind w:left="240"/>
              <w:spacing w:after="0"/>
              <w:rPr>
                <w:sz w:val="20"/>
                <w:szCs w:val="20"/>
                <w:color w:val="auto"/>
              </w:rPr>
            </w:pPr>
            <w:r>
              <w:rPr>
                <w:rFonts w:ascii="Arial" w:cs="Arial" w:eastAsia="Arial" w:hAnsi="Arial"/>
                <w:sz w:val="15"/>
                <w:szCs w:val="15"/>
                <w:b w:val="1"/>
                <w:bCs w:val="1"/>
                <w:color w:val="auto"/>
              </w:rPr>
              <w:t>Nine months ended September 30, 2024</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Europe</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Pr>
          <w:p>
            <w:pPr>
              <w:spacing w:after="0"/>
              <w:rPr>
                <w:sz w:val="17"/>
                <w:szCs w:val="17"/>
                <w:color w:val="auto"/>
              </w:rPr>
            </w:pPr>
          </w:p>
        </w:tc>
        <w:tc>
          <w:tcPr>
            <w:tcW w:w="1240" w:type="dxa"/>
            <w:vAlign w:val="bottom"/>
          </w:tcPr>
          <w:p>
            <w:pPr>
              <w:jc w:val="center"/>
              <w:ind w:right="80"/>
              <w:spacing w:after="0"/>
              <w:rPr>
                <w:sz w:val="20"/>
                <w:szCs w:val="20"/>
                <w:color w:val="auto"/>
              </w:rPr>
            </w:pPr>
            <w:r>
              <w:rPr>
                <w:rFonts w:ascii="Arial" w:cs="Arial" w:eastAsia="Arial" w:hAnsi="Arial"/>
                <w:sz w:val="15"/>
                <w:szCs w:val="15"/>
                <w:b w:val="1"/>
                <w:bCs w:val="1"/>
                <w:color w:val="auto"/>
              </w:rPr>
              <w:t>Total</w:t>
            </w:r>
          </w:p>
        </w:tc>
      </w:tr>
      <w:tr>
        <w:trPr>
          <w:trHeight w:val="196"/>
        </w:trPr>
        <w:tc>
          <w:tcPr>
            <w:tcW w:w="19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2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CCEEFF"/>
            </w:tcBorders>
          </w:tcPr>
          <w:p>
            <w:pPr>
              <w:spacing w:after="0"/>
              <w:rPr>
                <w:sz w:val="17"/>
                <w:szCs w:val="17"/>
                <w:color w:val="auto"/>
              </w:rPr>
            </w:pPr>
          </w:p>
        </w:tc>
        <w:tc>
          <w:tcPr>
            <w:tcW w:w="9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rPr>
              <w:t>(As restated)</w:t>
            </w: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387,393</w:t>
            </w:r>
          </w:p>
        </w:tc>
      </w:tr>
      <w:tr>
        <w:trPr>
          <w:trHeight w:val="216"/>
        </w:trPr>
        <w:tc>
          <w:tcPr>
            <w:tcW w:w="1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37,764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142,670</w:t>
            </w: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 (as restated)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37,087</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PrimaLoft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57,506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61,518</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75,892</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71,487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77,419</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157,746</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Arnold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89,684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130,545</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223,814</w:t>
            </w: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color w:val="auto"/>
              </w:rPr>
              <w:t>Total (as restated)</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960,108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48,172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123,508</w:t>
            </w:r>
          </w:p>
        </w:tc>
        <w:tc>
          <w:tcPr>
            <w:tcW w:w="100" w:type="dxa"/>
            <w:vAlign w:val="bottom"/>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1,294,084</w:t>
            </w: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1"/>
          <w:szCs w:val="11"/>
          <w:b w:val="1"/>
          <w:bCs w:val="1"/>
          <w:color w:val="auto"/>
        </w:rPr>
      </w:pPr>
      <w:r>
        <w:rPr>
          <w:rFonts w:ascii="Arial" w:cs="Arial" w:eastAsia="Arial" w:hAnsi="Arial"/>
          <w:sz w:val="18"/>
          <w:szCs w:val="18"/>
          <w:color w:val="auto"/>
        </w:rPr>
        <w:t>For BOA, revenue reflects the location of the Brand Partners of the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Property, Plant and Equipment and Inventory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plant and equipment is comprised of the following at September 30,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4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September 30, 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December 31, 2024</w:t>
            </w: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269,367</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69,628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72,721</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120,046</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11,640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11,375</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24,807</w:t>
            </w:r>
          </w:p>
        </w:tc>
      </w:tr>
      <w:tr>
        <w:trPr>
          <w:trHeight w:val="210"/>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491,772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498,316</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(277,321)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(253,570)</w:t>
            </w:r>
          </w:p>
        </w:tc>
      </w:tr>
      <w:tr>
        <w:trPr>
          <w:trHeight w:val="210"/>
        </w:trPr>
        <w:tc>
          <w:tcPr>
            <w:tcW w:w="4740" w:type="dxa"/>
            <w:vAlign w:val="bottom"/>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244,746</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Depreciation expense was $10.9 million and $ 34.2 million for the three and nine months ended September 30, 2025, respectively and $10.2 million and $31.2 million for the three and nine months ended September 30, 2024, respectively.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Inventory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September 30,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September 30, 2025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December 31, 2024</w:t>
            </w:r>
          </w:p>
        </w:tc>
      </w:tr>
      <w:tr>
        <w:trPr>
          <w:trHeight w:val="196"/>
        </w:trPr>
        <w:tc>
          <w:tcPr>
            <w:tcW w:w="47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(As Restated)</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80,145</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23,513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19,672</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515,242</w:t>
            </w: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(43,811)</w:t>
            </w:r>
          </w:p>
        </w:tc>
      </w:tr>
      <w:tr>
        <w:trPr>
          <w:trHeight w:val="235"/>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602,180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571,248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Goodwill and Other Intangible Assets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an indefinite-lived intangible.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Testing</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uses a qualitative approach to test goodwill and indefinite lived intangible assets for impairment by first assessing qualitative factors to determine whether it is more-likely-than-not that the fair value of a reporting unit is less than its carrying amount as a basis for determining whether it is necessary to perform quantitative goodwill impairment testing.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Annual Impairment Testing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Company's annual impairment testing at March 31, 2025, the Company performed a qualitative assessment of our reporting units with goodwill balances. The results of the qualitative analysis indicated that it was more-likely-than-not that the fair value of each of the reporting units tested except PrimaLoft exceeded their carrying value. Based on the Company's analysis, the Company determined that the PrimaLoft operating segment required quantitative testing because we could not conclude that the fair value of this reporting unit significantly exceeded the carrying value based on qualitative factors alone. The Company 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Annual Impairment Testing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Company's annual impairment testing at March 31, 2024, the Company performed a qualitative assessment of our reporting units. The results of the qualitative analysis indicated that it was more-likely-than-not that the fair value of each of our reporting units except Velocity exceeded their carrying value. Based on the Company's analysis, the Company determined that the Velocity operating segment required quantitative testing because we could not conclude that the fair value of this reporting unit significantly exceeded the carrying value based on qualitative factors alone. The Company performed a quantitative test of Velocity and the results of the testing indicated that the fair value of Velocity did not exceed the carrying value, resulting in goodwill impairment expense of $8.2 million as of March 31, 2024.</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3" w:name="page24"/>
    <w:bookmarkEnd w:id="23"/>
    <w:p>
      <w:pPr>
        <w:spacing w:after="0" w:line="287" w:lineRule="auto"/>
        <w:rPr>
          <w:sz w:val="20"/>
          <w:szCs w:val="20"/>
          <w:color w:val="auto"/>
        </w:rPr>
      </w:pPr>
      <w:r>
        <w:rPr>
          <w:rFonts w:ascii="Arial" w:cs="Arial" w:eastAsia="Arial" w:hAnsi="Arial"/>
          <w:sz w:val="18"/>
          <w:szCs w:val="18"/>
          <w:color w:val="auto"/>
        </w:rPr>
        <w:t xml:space="preserve">The following is a summary of the net carrying amount of goodwill at September 30, 2025 and December 31, 2024,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2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September 30, 2025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December 31, 2024</w:t>
            </w:r>
          </w:p>
        </w:tc>
      </w:tr>
      <w:tr>
        <w:trPr>
          <w:trHeight w:val="196"/>
        </w:trPr>
        <w:tc>
          <w:tcPr>
            <w:tcW w:w="45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b w:val="1"/>
                <w:bCs w:val="1"/>
                <w:color w:val="auto"/>
              </w:rPr>
              <w:t>(As Restated)</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1,311,813</w:t>
            </w:r>
          </w:p>
        </w:tc>
      </w:tr>
      <w:tr>
        <w:trPr>
          <w:trHeight w:val="216"/>
        </w:trPr>
        <w:tc>
          <w:tcPr>
            <w:tcW w:w="45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Accumulated impairment losses </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(415,897)</w:t>
            </w:r>
          </w:p>
        </w:tc>
      </w:tr>
      <w:tr>
        <w:trPr>
          <w:trHeight w:val="23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895,420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895,916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8"/>
        <w:spacing w:after="0" w:line="247" w:lineRule="auto"/>
        <w:tabs>
          <w:tab w:leader="none" w:pos="188" w:val="left"/>
        </w:tabs>
        <w:numPr>
          <w:ilvl w:val="0"/>
          <w:numId w:val="11"/>
        </w:numPr>
        <w:rPr>
          <w:rFonts w:ascii="Arial" w:cs="Arial" w:eastAsia="Arial" w:hAnsi="Arial"/>
          <w:sz w:val="21"/>
          <w:szCs w:val="21"/>
          <w:b w:val="1"/>
          <w:bCs w:val="1"/>
          <w:color w:val="auto"/>
          <w:vertAlign w:val="superscript"/>
        </w:rPr>
      </w:pPr>
      <w:r>
        <w:rPr>
          <w:rFonts w:ascii="Arial" w:cs="Arial" w:eastAsia="Arial" w:hAnsi="Arial"/>
          <w:sz w:val="18"/>
          <w:szCs w:val="18"/>
          <w:color w:val="auto"/>
        </w:rPr>
        <w:t>Comprised of accumulated goodwill impairment expense of $260.6 million at Lugano (as restated), $72.7 million at Velocity, $24.9 million at Arnold and $57.8 million at PrimaLoft.</w:t>
      </w:r>
    </w:p>
    <w:p>
      <w:pPr>
        <w:spacing w:after="0" w:line="18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nine months ended September 30, 2025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2"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7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5"/>
                <w:szCs w:val="15"/>
                <w:b w:val="1"/>
                <w:bCs w:val="1"/>
                <w:color w:val="auto"/>
              </w:rPr>
              <w:t>Balance at January 1,</w:t>
            </w:r>
          </w:p>
        </w:tc>
        <w:tc>
          <w:tcPr>
            <w:tcW w:w="160" w:type="dxa"/>
            <w:vAlign w:val="bottom"/>
          </w:tcPr>
          <w:p>
            <w:pPr>
              <w:spacing w:after="0"/>
              <w:rPr>
                <w:sz w:val="14"/>
                <w:szCs w:val="14"/>
                <w:color w:val="auto"/>
              </w:rPr>
            </w:pPr>
          </w:p>
        </w:tc>
        <w:tc>
          <w:tcPr>
            <w:tcW w:w="200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Acquisitions/Measurement</w:t>
            </w:r>
          </w:p>
        </w:tc>
        <w:tc>
          <w:tcPr>
            <w:tcW w:w="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5"/>
                <w:szCs w:val="15"/>
                <w:b w:val="1"/>
                <w:bCs w:val="1"/>
                <w:color w:val="auto"/>
              </w:rPr>
              <w:t>Balance at</w:t>
            </w:r>
          </w:p>
        </w:tc>
      </w:tr>
      <w:tr>
        <w:trPr>
          <w:trHeight w:val="208"/>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80"/>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5"/>
                <w:szCs w:val="15"/>
                <w:b w:val="1"/>
                <w:bCs w:val="1"/>
                <w:color w:val="auto"/>
              </w:rPr>
              <w:t>Period Adjustments</w:t>
            </w:r>
          </w:p>
        </w:tc>
        <w:tc>
          <w:tcPr>
            <w:tcW w:w="1500" w:type="dxa"/>
            <w:vAlign w:val="bottom"/>
            <w:gridSpan w:val="2"/>
          </w:tcPr>
          <w:p>
            <w:pPr>
              <w:jc w:val="right"/>
              <w:spacing w:after="0"/>
              <w:rPr>
                <w:sz w:val="20"/>
                <w:szCs w:val="20"/>
                <w:color w:val="auto"/>
              </w:rPr>
            </w:pPr>
            <w:r>
              <w:rPr>
                <w:rFonts w:ascii="Arial" w:cs="Arial" w:eastAsia="Arial" w:hAnsi="Arial"/>
                <w:sz w:val="15"/>
                <w:szCs w:val="15"/>
                <w:b w:val="1"/>
                <w:bCs w:val="1"/>
                <w:color w:val="auto"/>
              </w:rPr>
              <w:t>September 30, 2025</w:t>
            </w:r>
          </w:p>
        </w:tc>
      </w:tr>
      <w:tr>
        <w:trPr>
          <w:trHeight w:val="196"/>
        </w:trPr>
        <w:tc>
          <w:tcPr>
            <w:tcW w:w="44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180"/>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820" w:type="dxa"/>
            <w:vAlign w:val="bottom"/>
            <w:tcBorders>
              <w:top w:val="single" w:sz="8" w:color="auto"/>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92,966</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BOA</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254,153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254,153</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 (as restated)</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PrimaLoft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232,536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232,536</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107,039</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4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114,123</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Arnold</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39,267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39,267</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r>
      <w:tr>
        <w:trPr>
          <w:trHeight w:val="210"/>
        </w:trPr>
        <w:tc>
          <w:tcPr>
            <w:tcW w:w="4420" w:type="dxa"/>
            <w:vAlign w:val="bottom"/>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895,916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895,420</w:t>
            </w: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the indefinite lived intangible asset in connection with the annual impairment testing for 2025 and 2024. Results of the qualitative analysis indicate that it is more likely than not that the fair value of the reporting unit that maintains an indefinite lived intangible asset exceeded the carrying value.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Other intangible assets are comprised of the following at September 30,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right"/>
              <w:ind w:right="87"/>
              <w:spacing w:after="0" w:line="130" w:lineRule="exact"/>
              <w:rPr>
                <w:sz w:val="20"/>
                <w:szCs w:val="20"/>
                <w:color w:val="auto"/>
              </w:rPr>
            </w:pPr>
            <w:r>
              <w:rPr>
                <w:rFonts w:ascii="Arial" w:cs="Arial" w:eastAsia="Arial" w:hAnsi="Arial"/>
                <w:sz w:val="14"/>
                <w:szCs w:val="14"/>
                <w:b w:val="1"/>
                <w:bCs w:val="1"/>
                <w:color w:val="auto"/>
              </w:rPr>
              <w:t>Gross 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center"/>
              <w:ind w:right="47"/>
              <w:spacing w:after="0" w:line="130" w:lineRule="exact"/>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87"/>
              <w:spacing w:after="0" w:line="130"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center"/>
              <w:ind w:right="67"/>
              <w:spacing w:after="0" w:line="130"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47"/>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300" w:type="dxa"/>
            <w:vAlign w:val="bottom"/>
          </w:tcPr>
          <w:p>
            <w:pPr>
              <w:jc w:val="center"/>
              <w:ind w:right="10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100" w:type="dxa"/>
            <w:vAlign w:val="bottom"/>
          </w:tcPr>
          <w:p>
            <w:pPr>
              <w:jc w:val="center"/>
              <w:ind w:right="67"/>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88"/>
        </w:trPr>
        <w:tc>
          <w:tcPr>
            <w:tcW w:w="26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16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9"/>
              </w:rPr>
              <w:t>(As Restated)</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Restated)</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9"/>
              </w:rPr>
              <w:t>(As Restated)</w:t>
            </w:r>
          </w:p>
        </w:tc>
        <w:tc>
          <w:tcPr>
            <w:tcW w:w="0" w:type="dxa"/>
            <w:vAlign w:val="bottom"/>
          </w:tcPr>
          <w:p>
            <w:pPr>
              <w:spacing w:after="0"/>
              <w:rPr>
                <w:sz w:val="1"/>
                <w:szCs w:val="1"/>
                <w:color w:val="auto"/>
              </w:rPr>
            </w:pPr>
          </w:p>
        </w:tc>
      </w:tr>
      <w:tr>
        <w:trPr>
          <w:trHeight w:val="196"/>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771,445</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(349,744)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421,701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772,361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(311,357)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461,004</w:t>
            </w:r>
          </w:p>
        </w:tc>
        <w:tc>
          <w:tcPr>
            <w:tcW w:w="0" w:type="dxa"/>
            <w:vAlign w:val="bottom"/>
          </w:tcPr>
          <w:p>
            <w:pPr>
              <w:spacing w:after="0"/>
              <w:rPr>
                <w:sz w:val="1"/>
                <w:szCs w:val="1"/>
                <w:color w:val="auto"/>
              </w:rPr>
            </w:pPr>
          </w:p>
        </w:tc>
      </w:tr>
      <w:tr>
        <w:trPr>
          <w:trHeight w:val="200"/>
        </w:trPr>
        <w:tc>
          <w:tcPr>
            <w:tcW w:w="2660" w:type="dxa"/>
            <w:vAlign w:val="bottom"/>
          </w:tcPr>
          <w:p>
            <w:pPr>
              <w:ind w:left="2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200,530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(89,205)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111,325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198,865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(78,175)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120,690</w:t>
            </w:r>
          </w:p>
        </w:tc>
        <w:tc>
          <w:tcPr>
            <w:tcW w:w="0" w:type="dxa"/>
            <w:vAlign w:val="bottom"/>
          </w:tcPr>
          <w:p>
            <w:pPr>
              <w:spacing w:after="0"/>
              <w:rPr>
                <w:sz w:val="1"/>
                <w:szCs w:val="1"/>
                <w:color w:val="auto"/>
              </w:rPr>
            </w:pPr>
          </w:p>
        </w:tc>
      </w:tr>
      <w:tr>
        <w:trPr>
          <w:trHeight w:val="205"/>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454,434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351,209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453,792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370,086</w:t>
            </w:r>
          </w:p>
        </w:tc>
        <w:tc>
          <w:tcPr>
            <w:tcW w:w="0" w:type="dxa"/>
            <w:vAlign w:val="bottom"/>
          </w:tcPr>
          <w:p>
            <w:pPr>
              <w:spacing w:after="0"/>
              <w:rPr>
                <w:sz w:val="1"/>
                <w:szCs w:val="1"/>
                <w:color w:val="auto"/>
              </w:rPr>
            </w:pPr>
          </w:p>
        </w:tc>
      </w:tr>
      <w:tr>
        <w:trPr>
          <w:trHeight w:val="200"/>
        </w:trPr>
        <w:tc>
          <w:tcPr>
            <w:tcW w:w="2660" w:type="dxa"/>
            <w:vAlign w:val="bottom"/>
          </w:tcPr>
          <w:p>
            <w:pPr>
              <w:ind w:left="20"/>
              <w:spacing w:after="0"/>
              <w:rPr>
                <w:sz w:val="20"/>
                <w:szCs w:val="20"/>
                <w:color w:val="auto"/>
              </w:rPr>
            </w:pPr>
            <w:r>
              <w:rPr>
                <w:rFonts w:ascii="Arial" w:cs="Arial" w:eastAsia="Arial" w:hAnsi="Arial"/>
                <w:sz w:val="15"/>
                <w:szCs w:val="15"/>
                <w:color w:val="auto"/>
              </w:rPr>
              <w:t>Non-compete agreements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1,588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205"/>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contractual intangible assets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2660" w:type="dxa"/>
            <w:vAlign w:val="bottom"/>
          </w:tcPr>
          <w:p>
            <w:pPr>
              <w:ind w:left="36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1,428,207</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(543,851)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884,356</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1,426,816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(474,730)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952,086</w:t>
            </w: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Trade names, not subject to</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30,810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5"/>
                <w:szCs w:val="15"/>
                <w:color w:val="auto"/>
              </w:rPr>
              <w:t>In-process research and development</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66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(1)</w:t>
            </w:r>
          </w:p>
        </w:tc>
        <w:tc>
          <w:tcPr>
            <w:tcW w:w="160" w:type="dxa"/>
            <w:vAlign w:val="bottom"/>
          </w:tcPr>
          <w:p>
            <w:pPr>
              <w:spacing w:after="0"/>
              <w:rPr>
                <w:sz w:val="8"/>
                <w:szCs w:val="8"/>
                <w:color w:val="auto"/>
              </w:rPr>
            </w:pPr>
          </w:p>
        </w:tc>
        <w:tc>
          <w:tcPr>
            <w:tcW w:w="124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restart"/>
          </w:tcPr>
          <w:p>
            <w:pPr>
              <w:jc w:val="right"/>
              <w:ind w:right="7"/>
              <w:spacing w:after="0" w:line="149"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restart"/>
          </w:tcPr>
          <w:p>
            <w:pPr>
              <w:ind w:left="980"/>
              <w:spacing w:after="0" w:line="149" w:lineRule="exact"/>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54"/>
        </w:trPr>
        <w:tc>
          <w:tcPr>
            <w:tcW w:w="26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intangibles,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1,459,517</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(543,851)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915,666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1,458,126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983,396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276" w:lineRule="auto"/>
        <w:tabs>
          <w:tab w:leader="none" w:pos="171" w:val="left"/>
        </w:tabs>
        <w:numPr>
          <w:ilvl w:val="0"/>
          <w:numId w:val="12"/>
        </w:numPr>
        <w:rPr>
          <w:rFonts w:ascii="Arial" w:cs="Arial" w:eastAsia="Arial" w:hAnsi="Arial"/>
          <w:sz w:val="20"/>
          <w:szCs w:val="20"/>
          <w:b w:val="1"/>
          <w:bCs w:val="1"/>
          <w:color w:val="auto"/>
          <w:vertAlign w:val="superscript"/>
        </w:rPr>
      </w:pPr>
      <w:r>
        <w:rPr>
          <w:rFonts w:ascii="Arial" w:cs="Arial" w:eastAsia="Arial" w:hAnsi="Arial"/>
          <w:sz w:val="17"/>
          <w:szCs w:val="17"/>
          <w:color w:val="auto"/>
        </w:rPr>
        <w:t>In-process research and development is considered indefinite lived until the underlying technology becomes viable, at which point the intangible asset will be amortized over the expected useful life.</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related to intangible assets was $ 23.3 million and $69.7 million for the three and nine months ended September 30, 2025, respectively and $23.7 million and $71.3 million for the three and nine months ended September 30, 2024, respectively.</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2025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2800" w:type="dxa"/>
        <w:tblCellMar>
          <w:top w:w="0" w:type="dxa"/>
          <w:left w:w="0" w:type="dxa"/>
          <w:bottom w:w="0" w:type="dxa"/>
          <w:right w:w="0" w:type="dxa"/>
        </w:tblCellMar>
      </w:tblPr>
      <w:tr>
        <w:trPr>
          <w:trHeight w:val="217"/>
        </w:trPr>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2029</w:t>
            </w:r>
          </w:p>
        </w:tc>
      </w:tr>
      <w:tr>
        <w:trPr>
          <w:trHeight w:val="34"/>
        </w:trPr>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79,649</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long-lived asset impairment testing</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Lugano - As a result of the preliminary findings of the Lugano Investigation, the Company determined that a triggering event had occurred in the second quarter of 2025 and tested the long-lived assets of Lugano for impairment. The long-lived assets at Lugano are comprised of a tradename intangible asset, property, plant and equipment and right-of-use lease assets. The long-lived assets were assessed as definite lived assets to be held and used as of the impairment testing in the second quarter. The assessment of the recoverability of the carrying value of the Lugano assets resulted in an impairment loss of $29.5 million related to property, plant and equipment and $1.9 million related to right-of-use assets as of June 30, 2025. The impairment of the property, plant and equipment reflects the amount by which the carrying value of these assets exceed their estimated fair value, with fair value determined primarily through a market comparison method. The right-of-use asset related to a retail salon in Toronto, Canada. At the time of the triggering event, the Toronto retail salon had not yet opened and the Company's assessment determined that given the findings of the Lugano Investigation, it was unlikely that the Toronto salon would open in the near term. The impairment test for right-of-use assets involves comparing the right-of-use asset's carrying value to the undiscounted cash flows expected from its future use. Given the expectation that the Toronto retail salon would not open, no cash flows were expected from its future use and an impairment loss was recognized for the entire balance of the right-of-use asset associated with the Toronto salon lease.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Warranties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BOA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5" w:name="page26"/>
    <w:bookmarkEnd w:id="25"/>
    <w:p>
      <w:pPr>
        <w:spacing w:after="0" w:line="287" w:lineRule="auto"/>
        <w:rPr>
          <w:sz w:val="20"/>
          <w:szCs w:val="20"/>
          <w:color w:val="auto"/>
        </w:rPr>
      </w:pPr>
      <w:r>
        <w:rPr>
          <w:rFonts w:ascii="Arial" w:cs="Arial" w:eastAsia="Arial" w:hAnsi="Arial"/>
          <w:sz w:val="18"/>
          <w:szCs w:val="18"/>
          <w:color w:val="auto"/>
        </w:rPr>
        <w:t>the carrying value of the Company’s warranty liability for the nine months ended September 30, 2025 and the year ended December 31, 2024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7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Warranty liability</w:t>
            </w:r>
          </w:p>
        </w:tc>
        <w:tc>
          <w:tcPr>
            <w:tcW w:w="2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ind w:right="201"/>
              <w:spacing w:after="0" w:line="162" w:lineRule="exact"/>
              <w:rPr>
                <w:sz w:val="20"/>
                <w:szCs w:val="20"/>
                <w:color w:val="auto"/>
              </w:rPr>
            </w:pPr>
            <w:r>
              <w:rPr>
                <w:rFonts w:ascii="Arial" w:cs="Arial" w:eastAsia="Arial" w:hAnsi="Arial"/>
                <w:sz w:val="15"/>
                <w:szCs w:val="15"/>
                <w:b w:val="1"/>
                <w:bCs w:val="1"/>
                <w:color w:val="auto"/>
              </w:rPr>
              <w:t>Nine months ended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41"/>
              <w:spacing w:after="0" w:line="162" w:lineRule="exact"/>
              <w:rPr>
                <w:sz w:val="20"/>
                <w:szCs w:val="20"/>
                <w:color w:val="auto"/>
              </w:rPr>
            </w:pPr>
            <w:r>
              <w:rPr>
                <w:rFonts w:ascii="Arial" w:cs="Arial" w:eastAsia="Arial" w:hAnsi="Arial"/>
                <w:sz w:val="15"/>
                <w:szCs w:val="15"/>
                <w:b w:val="1"/>
                <w:bCs w:val="1"/>
                <w:color w:val="auto"/>
              </w:rPr>
              <w:t>Year ended December</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5"/>
                <w:szCs w:val="15"/>
                <w:b w:val="1"/>
                <w:bCs w:val="1"/>
                <w:color w:val="auto"/>
              </w:rPr>
              <w:t>September 30, 2025</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61"/>
              <w:spacing w:after="0"/>
              <w:rPr>
                <w:sz w:val="20"/>
                <w:szCs w:val="20"/>
                <w:color w:val="auto"/>
              </w:rPr>
            </w:pPr>
            <w:r>
              <w:rPr>
                <w:rFonts w:ascii="Arial" w:cs="Arial" w:eastAsia="Arial" w:hAnsi="Arial"/>
                <w:sz w:val="15"/>
                <w:szCs w:val="15"/>
                <w:b w:val="1"/>
                <w:bCs w:val="1"/>
                <w:color w:val="auto"/>
              </w:rPr>
              <w:t>31, 2024</w:t>
            </w: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center"/>
              <w:ind w:left="1121"/>
              <w:spacing w:after="0"/>
              <w:rPr>
                <w:sz w:val="20"/>
                <w:szCs w:val="20"/>
                <w:color w:val="auto"/>
              </w:rPr>
            </w:pPr>
            <w:r>
              <w:rPr>
                <w:rFonts w:ascii="Arial" w:cs="Arial" w:eastAsia="Arial" w:hAnsi="Arial"/>
                <w:sz w:val="16"/>
                <w:szCs w:val="16"/>
                <w:color w:val="auto"/>
                <w:w w:val="99"/>
              </w:rPr>
              <w:t>1,258</w:t>
            </w:r>
          </w:p>
        </w:tc>
        <w:tc>
          <w:tcPr>
            <w:tcW w:w="0" w:type="dxa"/>
            <w:vAlign w:val="bottom"/>
          </w:tcPr>
          <w:p>
            <w:pPr>
              <w:spacing w:after="0"/>
              <w:rPr>
                <w:sz w:val="1"/>
                <w:szCs w:val="1"/>
                <w:color w:val="auto"/>
              </w:rPr>
            </w:pP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Provision for warranties issued during the period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121"/>
              <w:spacing w:after="0"/>
              <w:rPr>
                <w:sz w:val="20"/>
                <w:szCs w:val="20"/>
                <w:color w:val="auto"/>
              </w:rPr>
            </w:pPr>
            <w:r>
              <w:rPr>
                <w:rFonts w:ascii="Arial" w:cs="Arial" w:eastAsia="Arial" w:hAnsi="Arial"/>
                <w:sz w:val="16"/>
                <w:szCs w:val="16"/>
                <w:color w:val="auto"/>
                <w:w w:val="99"/>
              </w:rPr>
              <w:t>2,332</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Fulfillment of warranty obligations</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101"/>
              <w:spacing w:after="0"/>
              <w:rPr>
                <w:sz w:val="20"/>
                <w:szCs w:val="20"/>
                <w:color w:val="auto"/>
              </w:rPr>
            </w:pPr>
            <w:r>
              <w:rPr>
                <w:rFonts w:ascii="Arial" w:cs="Arial" w:eastAsia="Arial" w:hAnsi="Arial"/>
                <w:sz w:val="16"/>
                <w:szCs w:val="16"/>
                <w:color w:val="auto"/>
                <w:w w:val="98"/>
              </w:rPr>
              <w:t>(2,469)</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center"/>
              <w:ind w:left="1121"/>
              <w:spacing w:after="0"/>
              <w:rPr>
                <w:sz w:val="20"/>
                <w:szCs w:val="20"/>
                <w:color w:val="auto"/>
              </w:rPr>
            </w:pPr>
            <w:r>
              <w:rPr>
                <w:rFonts w:ascii="Arial" w:cs="Arial" w:eastAsia="Arial" w:hAnsi="Arial"/>
                <w:sz w:val="16"/>
                <w:szCs w:val="16"/>
                <w:color w:val="auto"/>
                <w:w w:val="99"/>
              </w:rPr>
              <w:t>1,121</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Credit Facility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12, 2022, the LLC entered into the Third Amended and Restated Credit Agreement with the lenders from time to time party thereto (the “Lenders”), Bank of America, N.A., as Administrative Agent, Swing Line Lender and letter of credit issuer (as amended from time to time, the "2022 Credit Facility" or the “Credit Agreement”) to amend and restate the Second Amended and Restated Credit Agreement (the "2021 Credit Facility"). The 2022 Credit Facility provided for revolving loans, swing line loans and letters of credit ("the 2022 Revolving Credit Facility") up to a maximum aggregate amount of $600 million ("the 2022 Revolving Loan Commitment") and a $400 million term loan (the “2022 Term Loan”). All amounts outstanding under the 2022 Revolving Credit Facility will become due on July 12, 2027, which is the termination date of the 2022 Revolving Loan Commitment. The 2022 Credit Facility also permitted the LLC, prior to the applicable maturity date, to increase the 2022 Revolving Loan Commitment and/or obtain additional term loans in an aggregate amount of up to $250 million, subject to certain restrictions and conditions.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LLC may borrow, prepay and reborrow principal under the 2022 Revolving Credit Facility from time to time during its term. Advances under the 2022 Revolving Credit Facility can be either term Secured Overnight Financing Rate ("SOFR") loans or base rate loans. Term SOFR revolving loans bear interest on the outstanding principal amount thereof for each interest period at a rate per annum based on the applicable SOFR as administered by the Federal Reserve Bank of New York (or a successor administrator), as adjusted, plus a margin initially ranging from 1.50% to 2.50%, as further amended as described below,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the applicable SOFR plus 1.0% (the “Base Rate”), plus a margin initially ranging from 0.50% to 1.50%, as further amended as described below based on the Company's Consolidated Total Leverage Ratio.</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Advances under the 2022 Term Loan can be either term SOFR loans or base rate loans. The 2022 Term Loan was advanced in full on the closing date for the 2022 Credit Facility as a Term SOFR loan with an interest period of one month. On the last day of an interest period, Term SOFR loans may be converted to Term SOFR loans of a different interest period or to Base Rate loans. Term SOFR term loans bear interest on the outstanding principal amount thereof for each interest period at a rate per annum based on the Term SOFR for such interest period plus a margin initially ranging from 1.50% to 2.50%, as further amended as described below, based on the Consolidated Total Leverage Ratio. Base rate term loans bear interest on the outstanding principal amount thereof from the applicable borrowing date at a rate per annum equal to the Base Rate plus a margin initially ranging from 0.50% to 1.50%, as further amended as described below, based on the Consolidated Total Leverage Ratio.</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2022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2022 Revolving Credit Facility.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2022 Revolving Credit Facility is secured by all of the assets of the Company, including all of its equity interests in, and loans to,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2022 Credit Facility.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First Amendment of 2022 Credit Facility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9, 2025, the LLC entered into a First Incremental Facility Amendment (the “First Amendment”) to its existing Credit Agreement. The First Amendment was by and among the LLC, the lenders party thereto (the “Lenders”), and Bank of America, N.A., as administrative agent for the Lenders (the “Administrative Agent”).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First Amendment modified the Credit Agreement to provide for (a) an additional advance of the term loan in the aggregate amount of $200 million (the “Incremental Term Loan”) on the date of the First Amendment, and (b) delayed draw term loan commitments in the aggregate amount of $100 million (the “Incremental Delayed Draw Term Loan Commitments,” and the loan drawn thereunder is referred to herein as the “Incremental Delayed Draw Term Loan”), which was able to be reduced or terminated by the LLC upon five business days’ notice and pursuant to which the Company was able to make no more than two draws by July 9, 2025. The proceeds from the Incremental Term Loan and the Incremental Delayed Draw Term Loan were to be used for new acquisitions, working capital, capital expenditures and other general corporate purposes.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Incremental Term Loan, along with the existing term loan under the Credit Agreement, requires quarterly repayments of principal amounts ranging from $3.75 million to $11.25 million, which commenced on March 31, 2025, with a final payment of principal and interest due on July 12, 2027.</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LLC agreed to pay to the Administrative Agent, for the account of each Lender in accordance with its applicable percentage of the Incremental Delayed Draw Term Loan Commitments, a commitment fee equal to the product of (i) a rate ranging from 0.25% to 0.45% per annum, based on the Consolidated Total Leverage Ratio, times (ii) the actual daily amount by which the Incremental Delayed Draw Term Loan Commitments exceed the Incremental Delayed Draw Term Loan. Such commitment fee only accrued during the period when the Incremental Delayed Draw Term Loan Commitments were available (the “Availability Period”), which was the period from January 9, 2025 to the earlier of (a) July 9, 2025 and (b) the date on which the Incremental Delayed Draw Term Loan Commitments were terminated. The Incremental Delayed Draw Term Loan Commitments were terminated early, as further described below.</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Commencing on the first quarter ending after the earlier of (i) the date Incremental Delayed Draw Term Loan is fully drawn and (ii) the end of the Availability Period, the LLC is required to make quarterly repayments of principal amounts ranging from 0.625% to 1.875% of the drawn Incremental Delayed Draw Term Loan (which amounts will be reduced by certain prepayment, if any), unless such loan is accelerated sooner.</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First Amendment contained customary representations and warranties. All other material terms and conditions of the Credit Agreement were unchanged.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Forbearance Agreement with Respect to Credit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7, 2025, the Company indicated its intent to delay the filing of its Quarterly Report on Form 10-Q for the quarter ended March 31, 2025 and disclosed non-reliance on its 2024 financial statements as a result of concerns about financing, accounting, and inventory practices at one of its subsidiaries, Lugano, and irregularities identified in sales, cost of sales, inventory, and accounts receivable recorded by Lugano. Concurrently, the LLC also provided notice to the Administrative Agent, advising of the existence of potential defaults or events of default under the Credit Agreement in respect of Lugano (the “Lugano Events of Default”).</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22, 2025, the LLC entered into a Forbearance Agreement and Second Amendment to Credit Agreement (the “First Forbearance Agreement”) with the Administrative Agent and the lenders party thereto representing at least 50% of the total credit exposure of all lenders under the Credit Agreement (the “Consenting Lenders”), pursuant to which the Consenting Lenders agreed to refrain from exercising rights and remedies available to them with respect to the Lugano Events of Default until the earliest of: (a) 11:59 p.m. (Eastern Time) on July 25, 2025; (b) the occurrence of any event of default other than a Lugano Event of Default; (c) the breach by the LLC of any covenant or provision of the First Forbearance Agreement; (d) a declaration by the Trustee (as defined below) or any holders of the LLC’s 5.250% senior notes due 2029 (the “2029 Notes”) of any default or event of default under the Indenture dated as of March 23, 2021 (as amended, restated, supplemented or otherwise modified from time to time, the “2029 Notes Indenture”) between the LLC and U.S. Bank Trust Company National Association (as successor to U.S. Bank National Association), and (e) the declaration by the Trustee or any holder of the LLC’s 5.000% senior notes due 2032 (the “2032 Notes” and together with the 2029 Notes, the “Notes”) of any default or event of default under the Indenture dated as of November 27, 2021 (as amended, restated, supplemented or otherwise modified from time to time, the “2032 Notes Indenture” and together with the 2029 Notes Indenture, the “Indentures”) between the LLC and the Trustee (the “First Forbearance Period”).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During the First Forbearance Period, the Lenders under the Credit Agreement agreed to honor requests for credit extensions from the LLC for revolving loans composed of term SOFR loans with an applicable rate of 2.50% per annum and an interest period of one month; provided, however, that such credit extensions were not to cause the Lenders’ revolving credit exposures (inclusive of letters of credit obligations) to exceed $40 million. Lenders representing at least 50% of the total credit exposure of all Lenders under the Credit Agreement were able, in their discretion, to approve additional revolving borrowings by the LLC in an amount not to exceed an aggregate of $10 million. The funds provided were able to be used by the LLC for working capital, capital expenditures, general corporate purposes, and any other purpose of the LLC not otherwise prohibited under the Credit Agreement.</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forbearance of the lenders described above, the First Forbearance Agreement also amended the Credit Agreement to, among other modifications: (i) reduce the aggregate borrowing amount available for revolving commitments to $100 million; (ii) limit the management fees that may be paid by the LLC to Compass Group Management LLC (the "Manager") to no more than $10.5 million per fiscal quarter (with the amount of such management fees that could not be paid due to this limitation being available to offset any potential future reduction in management fees as a result of any adjustments for deemed overpayments); (iii) limit the management fees that may be paid by the LLC’s subsidiaries to no more than $2.0 million per fiscal quarter; (iv) restrict investments by the LLC into Lugano to no more than $5 million in the aggregate; (v) impose additional reporting requirements on the LLC; (vi) prohibit certain acquisitions and dispositions; (vii) require that cash-on hand in excess of $10 million as of the last business day of any week be paid by the LLC to the Administrative Agent, for the account of the Lenders, which payments would be applied to the outstanding revolving loans owing by the LLC; and (vii) terminate the commitment of the Lenders to advance Incremental Delayed Draw Term Loans.</w:t>
      </w:r>
    </w:p>
    <w:p>
      <w:pPr>
        <w:spacing w:after="0" w:line="131" w:lineRule="exact"/>
        <w:rPr>
          <w:sz w:val="20"/>
          <w:szCs w:val="20"/>
          <w:color w:val="auto"/>
        </w:rPr>
      </w:pPr>
    </w:p>
    <w:p>
      <w:pPr>
        <w:ind w:right="1000"/>
        <w:spacing w:after="0" w:line="438" w:lineRule="auto"/>
        <w:rPr>
          <w:sz w:val="20"/>
          <w:szCs w:val="20"/>
          <w:color w:val="auto"/>
        </w:rPr>
      </w:pPr>
      <w:r>
        <w:rPr>
          <w:rFonts w:ascii="Arial" w:cs="Arial" w:eastAsia="Arial" w:hAnsi="Arial"/>
          <w:sz w:val="18"/>
          <w:szCs w:val="18"/>
          <w:color w:val="auto"/>
        </w:rPr>
        <w:t xml:space="preserve">On May 22, 2025, the Manager delivered to the Company a waiver agreeing to the management fee limitations described above. </w:t>
      </w:r>
      <w:r>
        <w:rPr>
          <w:rFonts w:ascii="Arial" w:cs="Arial" w:eastAsia="Arial" w:hAnsi="Arial"/>
          <w:sz w:val="18"/>
          <w:szCs w:val="18"/>
          <w:i w:val="1"/>
          <w:iCs w:val="1"/>
          <w:color w:val="auto"/>
        </w:rPr>
        <w:t>Second Forbearance Agreement and Third Amendment of Credit Agreement</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25, 2025, the LLC entered into a Second Forbearance Agreement and Third Amendment to Credit Agreement (the “Third Amendment”). The Third Amendment was by and among the LLC, the lenders party thereto, and the Administrative Agent.</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Third Amendment provided that the Administrative Agent and the Lenders would refrain from exercising rights and remedies available to them with respect to the Lugano Events of Default until the earliest of: (a) 11:59 p.m. (Eastern Time) on October 24, 2025; (b) the occurrence of any event of default other than a Lugano Event of Default; (c) the breach by the LLC of any covenant or provision of the Third Amendment;</w:t>
      </w:r>
    </w:p>
    <w:p>
      <w:pPr>
        <w:spacing w:after="0" w:line="1" w:lineRule="exact"/>
        <w:rPr>
          <w:sz w:val="20"/>
          <w:szCs w:val="20"/>
          <w:color w:val="auto"/>
        </w:rPr>
      </w:pPr>
    </w:p>
    <w:p>
      <w:pPr>
        <w:jc w:val="both"/>
        <w:ind w:firstLine="8"/>
        <w:spacing w:after="0" w:line="253" w:lineRule="auto"/>
        <w:tabs>
          <w:tab w:leader="none" w:pos="2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declaration by the trustee or any holders of the LLC’s 2029 Senior Unsecured Notes of any default or event of default under the Indenture dated as of March 23, 2021 between the LLC and U.S. Bank National Association, as trustee, for which a forbearance agreement was not executed with the LLC within five business days after the date of such declaration; and (e) the declaration by the trustee or any holder of the 2032 Senior Unsecured Notes of any default or event of default under the Indenture dated as of November 27, 2021 between the LLC and U.S. Bank National Association, as trustee, for which a forbearance agreement was not executed with the LLC within five business days after the date of such declaration (the period from July 25, 2025 through the earliest of events (a) through (e) above, the “Second Forbearance Period”).</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Forbearance Period, the Lenders under the Credit Agreement would not honor requests for credit extensions from the LLC for revolving loans composed of term SOFR loans with an applicable rate of 2.50% per annum and an interest period of one month; provided, however, that such credit extensions would not cause the Lenders’ revolving credit exposures (inclusive of letters of credit obligations) to exceed $60 million. Lenders representing at least 50% of the total credit exposure of all Lenders under the Credit Agreement may in their discretion approve additional revolving borrowings by the LLC in an amount not to exceed an aggregate of $10 million. During the Second Forbearance Period, the LLC was permitted to make Restricted Payments (as defined in the Credit Agreement), including any dividend or other distribution with respect to equity interests, if, after giving effect to any indebtedness incurred in connection with such payment (a) all cash of the LLC on deposit with the Administrative Agent or subject to a qualifying control account, plus (b) unused borrowing availability, is not less than $10 million; provided, however, that the forgoing was not the exclusive method by which the LLC may make Restricted Payments.</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to the forbearance of the Lenders described above, the Third Amendment also amended the Credit Agreement to (i) limit the management fees that were able to be paid by the LLC to CGM to no more than $5 million per fiscal quarter (with the amount of such management fees that could not be paid due to this limitation being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8"/>
          <w:szCs w:val="18"/>
          <w:color w:val="auto"/>
        </w:rPr>
        <w:t>available to offset any potential future reduction in management fees as a result of any adjustments for deemed overpayments) and (ii) limit the management fees that could be paid by the LLC’s subsidiaries to the Manager to no more than $2.0 million per fiscal quarter. The Third Amendment contained customary representations and warranties.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availability under the 2022 Revolving Credit Facility after giving effect to the Third Amendment and during the Second Forbearance Period was approximately $30.0 million at September 30, 2025. Letters of credit outstanding at September 30, 2025 totaled approximately $4.0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Senior Notes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17, 2021, the Company consummated the issuance and sale of $300 million aggregate principal amount of our 5.000% Senior Notes due 2032 (the “2032 Notes” or "2032 Senior Notes") offered pursuant to a private offering to qualified institutional buyers in accordance with Rule 144A under the Securities Act of 1933 (the "Securities Act"), and to non-U.S. persons under Regulation S under the Securities Act. The 2032 Notes were issued pursuant to an indenture, dated as of November 17, 2021 (the “2032 Notes Indenture”), between the Company and U.S. Bank National Association, as trustee (the “2032 Notes Trustee”). The 2032 Notes bear interest at the rate of 5.000% per annum and will mature on January 15, 2032. Interest on the 2032 Notes is payable in cash on January 15 and July 15 of each year, beginning on July 15,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sale of the 2032 Notes were used to repay a portion of our debt outstanding under the 2021 Revolving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Senior Notes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23, 2021, the Company consummated the issuance and sale of $1,000 million aggregate principal amount of our 5.250% Senior Notes due 2029 (the "2029 Notes" or "2029 Senior Notes" and, together with the 2032 Notes or 2032 Senior Notes, the “Notes” or “Senior Notes”) offered pursuant to a private offering to qualified institutional buyers in accordance with Rule 144A under the Securities Act, and to non-U.S. persons under Regulation S under the Securities Act. The 2029 Notes were issued pursuant to an indenture, dated as of March 23, 2021 (the “2029 Notes Indenture” and, together with the 2032 Notes Indenture, the “Indentures”), between the LLC and U.S. Bank National Association, as trustee (the "2029 Notes Trustee" and, together with the 2032 Notes Trustee, the “Trustee”). The 2029 Notes bear interest at the rate of 5.250% per annum and will mature on April 15, 2029. Interest on the 2029 Notes is payable in cash on April 15th and October 15th of each year. The first interest payment date on the 2029 Senior Notes was October 15, 2021. The 2029 Notes are general unsecured obligations of the LLC and are not guaranteed by our subsidiaries.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Forbearance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Lugano matters, the LLC has maintained regular communication with holders of the LLC’s Notes concerning the existence of the potential for default under the terms of the Indentures in respect of the Lugano matters. To provide the Company with adequate time to complete the restatement of its 2022, 2023, and 2024 financial statements and to file its quarterly reports for the first and second quarters of 2025, on August 29, 2025, the LLC entered into a Forbearance Agreement (the “Indenture Forbearance Agreement”) with certain holders of the Notes (collectively, the “Supporting Holders”) and, for certain limited purposes described therein, the Trustee, pursuant to which, during the Indenture Forbearance Period (as defined below), the Supporting Holders agreed to forbear, and to direct the Trustee to forbear, from exercising rights and remedies available to them with respect to (i) actual or potential defaults or events of default under the Indentures resulting from any breach of the Indentures’ requirement to provide certain financial statements within specified time periods, and</w:t>
      </w:r>
    </w:p>
    <w:p>
      <w:pPr>
        <w:jc w:val="both"/>
        <w:ind w:firstLine="8"/>
        <w:spacing w:after="0" w:line="252"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default or event of default mutually agreed upon between the Supporting Holders and the LLC in writing and delivered to the Trustee (events (i) and (ii), collectively, the “Specified Defaults”) until the earliest of: (a) the occurrence or existence of any event of default under the Indentures, other than the Specified Defaults, that was not cured or waived within any applicable grace or cure period under the Indentures; (b) the failure of the LLC to timely comply with any term, condition, or covenant of the Indenture Forbearance Agreement; (c) the termination of the forbearance period provided under the Second Forbearance Agreement with respect to the Credit Agreement, such forbearance period having not been extended or replaced by another forbearance or similar agreement among the parties thereto within three (3) business days of such termination; (d) the cure of any Specified Default related to any breach of the requirement to provide certain financial information within specified time periods pursuant to Section 4.03 of the Indentures; (e) the LLC’s failure to cause the execution and the delivery of supplemental indentures in respect of</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each series of Notes substantially in the form provided in the Indenture Forbearance Agreement providing for the payment to the holders of the Notes of the fees specified in the Indenture Forbearance Agreement (or another form reasonably acceptable to the Supporting Holders providing for the payment of the same fees) (the “Supplemental Indentures”), or alternatively the LLC failed to make certain cash fee payment within fifteen business days of August 29, 2025, and (f) 11:59 p.m. ET on October 24, 2025 (the period from August 29, 2025 through the earliest of events (a) through (f) above, the “Indenture Forbearance Period”).</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Indenture Forbearance Period, the Supporting Holders also agreed (1) in the event that the Trustee or any holder or group of holders of the Notes declared the 2029 Notes and/or the 2032 Notes to be due and payable immediately solely as a result of any Specified Default (an “Acceleration”), the Supporting Holders would (a) deliver written notice and direction to the Trustee to rescind and not seek any remedy under the Indenture in connection with such Acceleration in accordance with the terms of the Indentures and (b) take all other action in the Supporting Holders’ power to cause such Acceleration to be rescinded and cancelled, to the extent permitted by the Indentures, and</w:t>
      </w:r>
    </w:p>
    <w:p>
      <w:pPr>
        <w:spacing w:after="0" w:line="3" w:lineRule="exact"/>
        <w:rPr>
          <w:sz w:val="20"/>
          <w:szCs w:val="20"/>
          <w:color w:val="auto"/>
        </w:rPr>
      </w:pPr>
    </w:p>
    <w:p>
      <w:pPr>
        <w:jc w:val="both"/>
        <w:ind w:firstLine="8"/>
        <w:spacing w:after="0" w:line="258" w:lineRule="auto"/>
        <w:tabs>
          <w:tab w:leader="none" w:pos="2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to transfer any right, title or interest in their respective Notes, unless (x) such transferee was a party to the Indenture Forbearance Agreement or (y) the transferee executed a joinder agreeing to be bound by the terms of the Indenture Forbearance Agreement if such transferee was not already a party to the Indenture Forbearance Agreement.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consideration for entering into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Indentures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9, 2025, the LLC entered into (a) a second supplemental indenture by and between the LLC and the Trustee amending and supplementing the 2029 Notes Indenture (the “2029 Second Supplemental Indenture”); and (b) a second supplemental indenture (the “2032 Second Supplemental Indenture” and, together with the 2029 Second Supplemental Indenture, the “Supplemental Indentures”) by and between the LLC and the Trustee, amending and supplementing the 2032 Notes Indenture.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Supplemental Indentures: (a) amended and restated Section 2.01(a) of each of the Indentures to (i) require all Notes to be in minimum denominations of $1.00 and integral multiples of $1.00 in excess thereof and (ii) authorize the payment of the PIK Payments (defined below), payable in kind as an increase in the principal amount of the Global Notes (as defined in the Indentures) held by Cede &amp; Co., as nominee for the Depositary (as defined in the Indentures); and (b) added a new Section 4.19 to each of the Indentures (i) requiring the LLC to make (A) a special one-time payment in kind (the “Fixed PIK Payment”) on September 17, 2025 (the “Fixed PIK Payment Date”) in an amount equal to $17.50 per $1,000 of the principal amount of the Notes outstanding to the holders of such Notes as of September 16, 2025; and (B) an additional interest payment on the Notes (the “Interest PIK Payment” and, together with the Fixed PIK Payment, the “PIK Payments”) at a rate of 5.00% per annum for each day during the period beginning on, and including, August 1, 2025 and ending on the earlier of (X) October 24, 2025 and (Y) the date of delivery to the Trustee of restated audited annual financials for fiscal years 2022, 2023, and 2024 and unaudited financials for the first quarter of fiscal year 2025.</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4.19(c), PIK Payments on the Notes were payable by increasing the principal amount of the outstanding Global Notes by an amount equal to the amount of the applicable PIK Payment (rounded down to the nearest whole dollar) as directed by the LLC. Such increased principal amount is fungible with the Notes issued prior to the applicable date of such PIK Payment and will bear interest from the most recent interest payment date on the Notes prior to the applicable date of such PIK Payment. The principal of all Notes resulting from a PIK Payment will mature on the maturity dates of the Notes.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27, 2025, the Trustee delivered a notice of default under the Indentures related to the Company’s failure to deliver to the Trustee the Company’s consolidated financial statements for the fiscal quarter ending March 31, 2025 within the time period required under the Indenture Forbearance Agreement. The Company completed the delivery of its consolidated financial statements for the fiscal quarter ending March 31, 2025 on December 19, 2025, within a sixty (60) day cure period provided under the Indentures to remedy such defaults.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Lugano Financing Arrangements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Lugano entered into various financing arrangements with third parties that were not recorded in the financial statements of Lugano as debt. Pursuant to some of these agreements, the third-party investors agreed to provide a specific amount of cash to purportedly jointly invest with Lugano in a specified jewel or piece of jewelry. The arrangements provided that Lugano would be responsible for purchasing, holding and insuring the jewelry until Lugano found a buyer or the third-party investor otherwise requested a return of their cash contribution. According to the terms of the arrangement, the third-party investors made an upfront payment to Lugano in exchange for the right to receive a return of their initial investment plus either (i) a portion of the profit when the jewelry was sold to a buyer, or (ii) interest on their invested cash if the third-party requested to liquidate their investment prior to the sale of the specified jewelry to a buyer. Lugano also entered into financing arrangements that were not specific to the acquisition of a specified jewel or piece of jewelry. These other financing arrangements involved the receipt of cash by Lugano from third parties and repayment of cash to those third parties, specifically cash receipts that were recorded as payment of accounts receivable balances or customer deposits and cash payments that were recorded as inventory purchases or purchase deposits.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Lugano Investigation, the Company determined that the inventory and sales transactions recorded in connection with these financing agreements were invalid because they were inconsistent with the underlying substance of the agreements. These financing arrangements represent debt and the financing arrangements and related interest expense have been recorded in the restated consolidated financial statements. Interest expense was determined based on documentation related to the underlying arrangement or, when no documentation existed related to the financing arrangement, imputed based on various factors associated with the arrangement. Certain financing arrangements that were entered into during 2024 and the first four months of 2025 contained unique interest terms reflecting a guaranteed return on the arrangements that have resulted in a calculation of interest expense at a higher rate than the historical effective interest rate on the Lugano financing arrangements. The Lugano financing arrangements have been classified as current in the accompanying consolidated balance sheets for the periods ended September 30, 2025 and December 31, 2024.</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provides the Lugano financing arrangements and effective interest rates at September 30,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92075</wp:posOffset>
            </wp:positionV>
            <wp:extent cx="32658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22860</wp:posOffset>
            </wp:positionV>
            <wp:extent cx="15601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2300"/>
        <w:spacing w:after="0"/>
        <w:rPr>
          <w:sz w:val="20"/>
          <w:szCs w:val="20"/>
          <w:color w:val="auto"/>
        </w:rPr>
      </w:pPr>
      <w:r>
        <w:rPr>
          <w:rFonts w:ascii="Arial" w:cs="Arial" w:eastAsia="Arial" w:hAnsi="Arial"/>
          <w:sz w:val="15"/>
          <w:szCs w:val="15"/>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22860</wp:posOffset>
            </wp:positionV>
            <wp:extent cx="16370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(As Restated)</w:t>
      </w:r>
    </w:p>
    <w:p>
      <w:pPr>
        <w:spacing w:after="0" w:line="35" w:lineRule="exact"/>
        <w:rPr>
          <w:sz w:val="20"/>
          <w:szCs w:val="20"/>
          <w:color w:val="auto"/>
        </w:rPr>
      </w:pPr>
    </w:p>
    <w:p>
      <w:pPr>
        <w:sectPr>
          <w:pgSz w:w="11900" w:h="16838" w:orient="portrait"/>
          <w:cols w:equalWidth="0" w:num="2">
            <w:col w:w="6840" w:space="720"/>
            <w:col w:w="3680"/>
          </w:cols>
          <w:pgMar w:left="320" w:top="1054" w:right="339" w:bottom="1440" w:gutter="0" w:footer="0" w:header="0"/>
          <w:type w:val="continuous"/>
        </w:sectPr>
      </w:pPr>
    </w:p>
    <w:tbl>
      <w:tblPr>
        <w:tblLayout w:type="fixed"/>
        <w:tblInd w:w="1700" w:type="dxa"/>
        <w:tblCellMar>
          <w:top w:w="0" w:type="dxa"/>
          <w:left w:w="0" w:type="dxa"/>
          <w:bottom w:w="0" w:type="dxa"/>
          <w:right w:w="0" w:type="dxa"/>
        </w:tblCellMar>
      </w:tblPr>
      <w:tr>
        <w:trPr>
          <w:trHeight w:val="148"/>
        </w:trPr>
        <w:tc>
          <w:tcPr>
            <w:tcW w:w="2700" w:type="dxa"/>
            <w:vAlign w:val="bottom"/>
          </w:tcPr>
          <w:p>
            <w:pPr>
              <w:spacing w:after="0"/>
              <w:rPr>
                <w:sz w:val="12"/>
                <w:szCs w:val="12"/>
                <w:color w:val="auto"/>
              </w:rPr>
            </w:pPr>
          </w:p>
        </w:tc>
        <w:tc>
          <w:tcPr>
            <w:tcW w:w="1520" w:type="dxa"/>
            <w:vAlign w:val="bottom"/>
            <w:tcBorders>
              <w:top w:val="single" w:sz="8" w:color="auto"/>
            </w:tcBorders>
            <w:gridSpan w:val="3"/>
          </w:tcPr>
          <w:p>
            <w:pPr>
              <w:jc w:val="center"/>
              <w:ind w:right="284"/>
              <w:spacing w:after="0" w:line="149" w:lineRule="exact"/>
              <w:rPr>
                <w:sz w:val="20"/>
                <w:szCs w:val="20"/>
                <w:color w:val="auto"/>
              </w:rPr>
            </w:pPr>
            <w:r>
              <w:rPr>
                <w:rFonts w:ascii="Arial" w:cs="Arial" w:eastAsia="Arial" w:hAnsi="Arial"/>
                <w:sz w:val="14"/>
                <w:szCs w:val="14"/>
                <w:b w:val="1"/>
                <w:bCs w:val="1"/>
                <w:color w:val="auto"/>
              </w:rPr>
              <w:t>Effective</w:t>
            </w:r>
          </w:p>
        </w:tc>
        <w:tc>
          <w:tcPr>
            <w:tcW w:w="940" w:type="dxa"/>
            <w:vAlign w:val="bottom"/>
            <w:tcBorders>
              <w:top w:val="single" w:sz="8" w:color="auto"/>
            </w:tcBorders>
            <w:vMerge w:val="restart"/>
          </w:tcPr>
          <w:p>
            <w:pPr>
              <w:jc w:val="right"/>
              <w:ind w:right="226"/>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540" w:type="dxa"/>
            <w:vAlign w:val="bottom"/>
            <w:tcBorders>
              <w:top w:val="single" w:sz="8" w:color="auto"/>
            </w:tcBorders>
            <w:gridSpan w:val="3"/>
          </w:tcPr>
          <w:p>
            <w:pPr>
              <w:jc w:val="center"/>
              <w:ind w:right="304"/>
              <w:spacing w:after="0" w:line="149" w:lineRule="exact"/>
              <w:rPr>
                <w:sz w:val="20"/>
                <w:szCs w:val="20"/>
                <w:color w:val="auto"/>
              </w:rPr>
            </w:pPr>
            <w:r>
              <w:rPr>
                <w:rFonts w:ascii="Arial" w:cs="Arial" w:eastAsia="Arial" w:hAnsi="Arial"/>
                <w:sz w:val="14"/>
                <w:szCs w:val="14"/>
                <w:b w:val="1"/>
                <w:bCs w:val="1"/>
                <w:color w:val="auto"/>
              </w:rPr>
              <w:t>Effective</w:t>
            </w:r>
          </w:p>
        </w:tc>
        <w:tc>
          <w:tcPr>
            <w:tcW w:w="1040" w:type="dxa"/>
            <w:vAlign w:val="bottom"/>
            <w:tcBorders>
              <w:top w:val="single" w:sz="8" w:color="auto"/>
            </w:tcBorders>
            <w:vMerge w:val="restart"/>
          </w:tcPr>
          <w:p>
            <w:pPr>
              <w:jc w:val="right"/>
              <w:ind w:right="30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1520" w:type="dxa"/>
            <w:vAlign w:val="bottom"/>
            <w:gridSpan w:val="3"/>
          </w:tcPr>
          <w:p>
            <w:pPr>
              <w:jc w:val="center"/>
              <w:ind w:right="264"/>
              <w:spacing w:after="0"/>
              <w:rPr>
                <w:sz w:val="20"/>
                <w:szCs w:val="20"/>
                <w:color w:val="auto"/>
              </w:rPr>
            </w:pPr>
            <w:r>
              <w:rPr>
                <w:rFonts w:ascii="Arial" w:cs="Arial" w:eastAsia="Arial" w:hAnsi="Arial"/>
                <w:sz w:val="14"/>
                <w:szCs w:val="14"/>
                <w:b w:val="1"/>
                <w:bCs w:val="1"/>
                <w:color w:val="auto"/>
              </w:rPr>
              <w:t>Interest Rate</w:t>
            </w:r>
          </w:p>
        </w:tc>
        <w:tc>
          <w:tcPr>
            <w:tcW w:w="9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gridSpan w:val="3"/>
          </w:tcPr>
          <w:p>
            <w:pPr>
              <w:jc w:val="center"/>
              <w:ind w:right="304"/>
              <w:spacing w:after="0"/>
              <w:rPr>
                <w:sz w:val="20"/>
                <w:szCs w:val="20"/>
                <w:color w:val="auto"/>
              </w:rPr>
            </w:pPr>
            <w:r>
              <w:rPr>
                <w:rFonts w:ascii="Arial" w:cs="Arial" w:eastAsia="Arial" w:hAnsi="Arial"/>
                <w:sz w:val="14"/>
                <w:szCs w:val="14"/>
                <w:b w:val="1"/>
                <w:bCs w:val="1"/>
                <w:color w:val="auto"/>
              </w:rPr>
              <w:t>Interest Rate</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Lugano financing arrangements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15.17 %</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183,853</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11.43 %</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169,765</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our 2022 Credit Facility are subject to certain conditions and customary events of default, including, without limitation, failure to make payments, cross-default to certain other debt, breaches of covenants, breaches of representations and warranties, a change in control, certain monetary judgments, and bankruptcy and ERISA events. Upon any such event of default, the principal amount of any unpaid loans and all other obligations under the 2022 Credit Facility may be declared immediately due and payable and any letters of credit then outstanding may be required to be cash collateralized, and the Administrative Agent and the Lenders may exercise any rights or remedies available to them under the 2022 Credit Facility.</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type w:val="continuous"/>
        </w:sectPr>
      </w:pPr>
    </w:p>
    <w:bookmarkStart w:id="31" w:name="page32"/>
    <w:bookmarkEnd w:id="31"/>
    <w:p>
      <w:pPr>
        <w:jc w:val="both"/>
        <w:spacing w:after="0" w:line="253" w:lineRule="auto"/>
        <w:rPr>
          <w:sz w:val="20"/>
          <w:szCs w:val="20"/>
          <w:color w:val="auto"/>
        </w:rPr>
      </w:pPr>
      <w:r>
        <w:rPr>
          <w:rFonts w:ascii="Arial" w:cs="Arial" w:eastAsia="Arial" w:hAnsi="Arial"/>
          <w:sz w:val="18"/>
          <w:szCs w:val="18"/>
          <w:color w:val="auto"/>
        </w:rPr>
        <w:t>As a result of the restatement of financial information as of December 31, 2024, 2023, and 2022 and for the fiscal years ended December 31, 2024, 2023, and 2022 as well as the interim periods in the fiscal years ended December 31, 2024, 2023, and 2022, the Company was not in compliance with the financial covenants in the 2022 Credit Facility as of the year ended December 31, 2024, and had not received forbearance or other relief from its lenders as of that date. The Company entered into the First Forbearance Agreement on May 22, 2025, which waived an event of default related to the Company's failure to comply with the financial covenants in the 2022 Credit Facility as of June 30, 2025. The Company entered into the Second Forbearance Agreement on July 25, 2025, which waived an event of default related to the Company's failure to comply with the financial covenants in the 2022 Credit Facility as of September 30, 2025. However, the Company would have been in violation of the financial covenants in the 2022 Credit Facility without the relief granted by the First Forbearance Agreement and the Third Amendment. Accordingly, the Company has classified outstanding borrowings under the 2022 Term Loan and 2022 Revolving Credit facility as current at September 30, 2025 and December 31, 2024 in the Consolidated Financial Statements. Furthermore, because the 2029 Notes and 2032 Notes may have been subject to acceleration had the lenders under the 2022 Credit Facility exercised their acceleration rights, the 2029 Notes and 2032 Notes have also been classified as current at September 30, 2025 and December 31, 2024 in the Condensed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Company’s outstanding long-term debt and effective interest rates at September 30,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3"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5"/>
          </w:tcPr>
          <w:p>
            <w:pPr>
              <w:jc w:val="right"/>
              <w:ind w:right="960"/>
              <w:spacing w:after="0"/>
              <w:rPr>
                <w:sz w:val="20"/>
                <w:szCs w:val="20"/>
                <w:color w:val="auto"/>
              </w:rPr>
            </w:pPr>
            <w:r>
              <w:rPr>
                <w:rFonts w:ascii="Arial" w:cs="Arial" w:eastAsia="Arial" w:hAnsi="Arial"/>
                <w:sz w:val="15"/>
                <w:szCs w:val="15"/>
                <w:b w:val="1"/>
                <w:bCs w:val="1"/>
                <w:color w:val="auto"/>
              </w:rPr>
              <w:t>September 30, 2025</w:t>
            </w:r>
          </w:p>
        </w:tc>
        <w:tc>
          <w:tcPr>
            <w:tcW w:w="120" w:type="dxa"/>
            <w:vAlign w:val="bottom"/>
          </w:tcPr>
          <w:p>
            <w:pPr>
              <w:spacing w:after="0"/>
              <w:rPr>
                <w:sz w:val="18"/>
                <w:szCs w:val="18"/>
                <w:color w:val="auto"/>
              </w:rPr>
            </w:pPr>
          </w:p>
        </w:tc>
        <w:tc>
          <w:tcPr>
            <w:tcW w:w="3500" w:type="dxa"/>
            <w:vAlign w:val="bottom"/>
            <w:tcBorders>
              <w:top w:val="single" w:sz="8" w:color="auto"/>
              <w:bottom w:val="single" w:sz="8" w:color="auto"/>
            </w:tcBorders>
            <w:gridSpan w:val="5"/>
          </w:tcPr>
          <w:p>
            <w:pPr>
              <w:jc w:val="right"/>
              <w:ind w:right="100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0" w:type="dxa"/>
            <w:vAlign w:val="bottom"/>
            <w:gridSpan w:val="5"/>
          </w:tcPr>
          <w:p>
            <w:pPr>
              <w:jc w:val="center"/>
              <w:ind w:right="399"/>
              <w:spacing w:after="0" w:line="142" w:lineRule="exact"/>
              <w:rPr>
                <w:sz w:val="20"/>
                <w:szCs w:val="20"/>
                <w:color w:val="auto"/>
              </w:rPr>
            </w:pPr>
            <w:r>
              <w:rPr>
                <w:rFonts w:ascii="Arial" w:cs="Arial" w:eastAsia="Arial" w:hAnsi="Arial"/>
                <w:sz w:val="15"/>
                <w:szCs w:val="15"/>
                <w:b w:val="1"/>
                <w:bCs w:val="1"/>
                <w:color w:val="auto"/>
              </w:rPr>
              <w:t>Effective Interest</w:t>
            </w:r>
          </w:p>
        </w:tc>
        <w:tc>
          <w:tcPr>
            <w:tcW w:w="1500" w:type="dxa"/>
            <w:vAlign w:val="bottom"/>
            <w:vMerge w:val="restart"/>
          </w:tcPr>
          <w:p>
            <w:pPr>
              <w:jc w:val="right"/>
              <w:ind w:right="580"/>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2"/>
                <w:szCs w:val="12"/>
                <w:color w:val="auto"/>
              </w:rPr>
            </w:pPr>
          </w:p>
        </w:tc>
        <w:tc>
          <w:tcPr>
            <w:tcW w:w="1980" w:type="dxa"/>
            <w:vAlign w:val="bottom"/>
            <w:gridSpan w:val="4"/>
          </w:tcPr>
          <w:p>
            <w:pPr>
              <w:jc w:val="right"/>
              <w:ind w:right="539"/>
              <w:spacing w:after="0" w:line="142" w:lineRule="exact"/>
              <w:rPr>
                <w:sz w:val="20"/>
                <w:szCs w:val="20"/>
                <w:color w:val="auto"/>
              </w:rPr>
            </w:pPr>
            <w:r>
              <w:rPr>
                <w:rFonts w:ascii="Arial" w:cs="Arial" w:eastAsia="Arial" w:hAnsi="Arial"/>
                <w:sz w:val="15"/>
                <w:szCs w:val="15"/>
                <w:b w:val="1"/>
                <w:bCs w:val="1"/>
                <w:color w:val="auto"/>
              </w:rPr>
              <w:t>Effective Interest</w:t>
            </w:r>
          </w:p>
        </w:tc>
        <w:tc>
          <w:tcPr>
            <w:tcW w:w="1520" w:type="dxa"/>
            <w:vAlign w:val="bottom"/>
            <w:vMerge w:val="restart"/>
          </w:tcPr>
          <w:p>
            <w:pPr>
              <w:jc w:val="right"/>
              <w:ind w:right="600"/>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60" w:type="dxa"/>
            <w:vAlign w:val="bottom"/>
          </w:tcPr>
          <w:p>
            <w:pPr>
              <w:jc w:val="center"/>
              <w:ind w:left="484"/>
              <w:spacing w:after="0"/>
              <w:rPr>
                <w:sz w:val="20"/>
                <w:szCs w:val="20"/>
                <w:color w:val="auto"/>
              </w:rPr>
            </w:pPr>
            <w:r>
              <w:rPr>
                <w:rFonts w:ascii="Arial" w:cs="Arial" w:eastAsia="Arial" w:hAnsi="Arial"/>
                <w:sz w:val="15"/>
                <w:szCs w:val="15"/>
                <w:b w:val="1"/>
                <w:bCs w:val="1"/>
                <w:color w:val="auto"/>
                <w:w w:val="98"/>
              </w:rPr>
              <w:t>Rate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4"/>
          </w:tcPr>
          <w:p>
            <w:pPr>
              <w:jc w:val="right"/>
              <w:ind w:right="999"/>
              <w:spacing w:after="0"/>
              <w:rPr>
                <w:sz w:val="20"/>
                <w:szCs w:val="20"/>
                <w:color w:val="auto"/>
              </w:rPr>
            </w:pPr>
            <w:r>
              <w:rPr>
                <w:rFonts w:ascii="Arial" w:cs="Arial" w:eastAsia="Arial" w:hAnsi="Arial"/>
                <w:sz w:val="15"/>
                <w:szCs w:val="15"/>
                <w:b w:val="1"/>
                <w:bCs w:val="1"/>
                <w:color w:val="auto"/>
              </w:rPr>
              <w:t>Rate</w:t>
            </w: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2029</w:t>
            </w:r>
          </w:p>
        </w:tc>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8.76 %</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5.25 %</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20"/>
                <w:szCs w:val="20"/>
                <w:color w:val="auto"/>
              </w:rPr>
            </w:pPr>
            <w:r>
              <w:rPr>
                <w:rFonts w:ascii="Arial" w:cs="Arial" w:eastAsia="Arial" w:hAnsi="Arial"/>
                <w:sz w:val="16"/>
                <w:szCs w:val="16"/>
                <w:color w:val="auto"/>
              </w:rPr>
              <w:t>2032</w:t>
            </w: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Senior Notes</w:t>
            </w:r>
          </w:p>
        </w:tc>
        <w:tc>
          <w:tcPr>
            <w:tcW w:w="540" w:type="dxa"/>
            <w:vAlign w:val="bottom"/>
          </w:tcPr>
          <w:p>
            <w:pPr>
              <w:jc w:val="right"/>
              <w:spacing w:after="0"/>
              <w:rPr>
                <w:sz w:val="20"/>
                <w:szCs w:val="20"/>
                <w:color w:val="auto"/>
              </w:rPr>
            </w:pPr>
            <w:r>
              <w:rPr>
                <w:rFonts w:ascii="Arial" w:cs="Arial" w:eastAsia="Arial" w:hAnsi="Arial"/>
                <w:sz w:val="16"/>
                <w:szCs w:val="16"/>
                <w:color w:val="auto"/>
              </w:rPr>
              <w:t>8.48 %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305,250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5.00 %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7"/>
        </w:trPr>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6"/>
                <w:szCs w:val="16"/>
                <w:color w:val="auto"/>
              </w:rPr>
              <w:t>2022</w:t>
            </w: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Revolving Credit Facility</w:t>
            </w:r>
          </w:p>
        </w:tc>
        <w:tc>
          <w:tcPr>
            <w:tcW w:w="540" w:type="dxa"/>
            <w:vAlign w:val="bottom"/>
          </w:tcPr>
          <w:p>
            <w:pPr>
              <w:jc w:val="right"/>
              <w:spacing w:after="0"/>
              <w:rPr>
                <w:sz w:val="20"/>
                <w:szCs w:val="20"/>
                <w:color w:val="auto"/>
              </w:rPr>
            </w:pPr>
            <w:r>
              <w:rPr>
                <w:rFonts w:ascii="Arial" w:cs="Arial" w:eastAsia="Arial" w:hAnsi="Arial"/>
                <w:sz w:val="16"/>
                <w:szCs w:val="16"/>
                <w:color w:val="auto"/>
              </w:rPr>
              <w:t>8.30 %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6,000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7.62 %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1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(9,898)</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(10,710)</w:t>
            </w:r>
          </w:p>
        </w:tc>
        <w:tc>
          <w:tcPr>
            <w:tcW w:w="0" w:type="dxa"/>
            <w:vAlign w:val="bottom"/>
          </w:tcPr>
          <w:p>
            <w:pPr>
              <w:spacing w:after="0"/>
              <w:rPr>
                <w:sz w:val="1"/>
                <w:szCs w:val="1"/>
                <w:color w:val="auto"/>
              </w:rPr>
            </w:pPr>
          </w:p>
        </w:tc>
      </w:tr>
      <w:tr>
        <w:trPr>
          <w:trHeight w:val="209"/>
        </w:trPr>
        <w:tc>
          <w:tcPr>
            <w:tcW w:w="4600" w:type="dxa"/>
            <w:vAlign w:val="bottom"/>
            <w:gridSpan w:val="3"/>
          </w:tcPr>
          <w:p>
            <w:pPr>
              <w:ind w:left="320"/>
              <w:spacing w:after="0"/>
              <w:rPr>
                <w:sz w:val="20"/>
                <w:szCs w:val="20"/>
                <w:color w:val="auto"/>
              </w:rPr>
            </w:pPr>
            <w:r>
              <w:rPr>
                <w:rFonts w:ascii="Arial" w:cs="Arial" w:eastAsia="Arial" w:hAnsi="Arial"/>
                <w:sz w:val="16"/>
                <w:szCs w:val="16"/>
                <w:color w:val="auto"/>
              </w:rPr>
              <w:t>Total debt</w:t>
            </w:r>
          </w:p>
        </w:tc>
        <w:tc>
          <w:tcPr>
            <w:tcW w:w="660" w:type="dxa"/>
            <w:vAlign w:val="bottom"/>
            <w:gridSpan w:val="3"/>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1,878,852</w:t>
            </w:r>
          </w:p>
        </w:tc>
        <w:tc>
          <w:tcPr>
            <w:tcW w:w="120" w:type="dxa"/>
            <w:vAlign w:val="bottom"/>
          </w:tcPr>
          <w:p>
            <w:pPr>
              <w:spacing w:after="0"/>
              <w:rPr>
                <w:sz w:val="18"/>
                <w:szCs w:val="18"/>
                <w:color w:val="auto"/>
              </w:rPr>
            </w:pPr>
          </w:p>
        </w:tc>
        <w:tc>
          <w:tcPr>
            <w:tcW w:w="1600" w:type="dxa"/>
            <w:vAlign w:val="bottom"/>
            <w:gridSpan w:val="3"/>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1,774,290</w:t>
            </w:r>
          </w:p>
        </w:tc>
        <w:tc>
          <w:tcPr>
            <w:tcW w:w="0" w:type="dxa"/>
            <w:vAlign w:val="bottom"/>
          </w:tcPr>
          <w:p>
            <w:pPr>
              <w:spacing w:after="0"/>
              <w:rPr>
                <w:sz w:val="1"/>
                <w:szCs w:val="1"/>
                <w:color w:val="auto"/>
              </w:rPr>
            </w:pPr>
          </w:p>
        </w:tc>
      </w:tr>
      <w:tr>
        <w:trPr>
          <w:trHeight w:val="21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Current Portion, term loan facilities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(1,878,852)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(1,774,290)</w:t>
            </w:r>
          </w:p>
        </w:tc>
        <w:tc>
          <w:tcPr>
            <w:tcW w:w="0" w:type="dxa"/>
            <w:vAlign w:val="bottom"/>
          </w:tcPr>
          <w:p>
            <w:pPr>
              <w:spacing w:after="0"/>
              <w:rPr>
                <w:sz w:val="1"/>
                <w:szCs w:val="1"/>
                <w:color w:val="auto"/>
              </w:rPr>
            </w:pPr>
          </w:p>
        </w:tc>
      </w:tr>
      <w:tr>
        <w:trPr>
          <w:trHeight w:val="209"/>
        </w:trPr>
        <w:tc>
          <w:tcPr>
            <w:tcW w:w="4600" w:type="dxa"/>
            <w:vAlign w:val="bottom"/>
            <w:gridSpan w:val="3"/>
          </w:tcPr>
          <w:p>
            <w:pPr>
              <w:ind w:left="320"/>
              <w:spacing w:after="0"/>
              <w:rPr>
                <w:sz w:val="20"/>
                <w:szCs w:val="20"/>
                <w:color w:val="auto"/>
              </w:rPr>
            </w:pPr>
            <w:r>
              <w:rPr>
                <w:rFonts w:ascii="Arial" w:cs="Arial" w:eastAsia="Arial" w:hAnsi="Arial"/>
                <w:sz w:val="16"/>
                <w:szCs w:val="16"/>
                <w:color w:val="auto"/>
              </w:rPr>
              <w:t>Long-term debt</w:t>
            </w:r>
          </w:p>
        </w:tc>
        <w:tc>
          <w:tcPr>
            <w:tcW w:w="660" w:type="dxa"/>
            <w:vAlign w:val="bottom"/>
            <w:gridSpan w:val="3"/>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0" w:type="dxa"/>
            <w:vAlign w:val="bottom"/>
            <w:gridSpan w:val="3"/>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reflects the annual maturities of the Company's debt obligations, including the Lugano financing arrangements which are classified as current in the accompanying condensed consolidated balance sheet. As noted above, the Company was operating under a forbearance agreement from its Lenders as of September 30, 2025 and as a result, the 2022 Revolving Credit Facility, the 2022 Term Loan and the 2029 and 2032 Senior Notes have been classified as current in the accompanying Condensed Consolidated Balance Sheets at September 30, 2025 and December 31, 2024. Annual maturities of the Company's debt obligations are as follows (in thousands):</w:t>
      </w:r>
    </w:p>
    <w:p>
      <w:pPr>
        <w:spacing w:after="0" w:line="200" w:lineRule="exact"/>
        <w:rPr>
          <w:sz w:val="20"/>
          <w:szCs w:val="20"/>
          <w:color w:val="auto"/>
        </w:rPr>
      </w:pPr>
    </w:p>
    <w:tbl>
      <w:tblPr>
        <w:tblLayout w:type="fixed"/>
        <w:tblInd w:w="3620" w:type="dxa"/>
        <w:tblCellMar>
          <w:top w:w="0" w:type="dxa"/>
          <w:left w:w="0" w:type="dxa"/>
          <w:bottom w:w="0" w:type="dxa"/>
          <w:right w:w="0" w:type="dxa"/>
        </w:tblCellMar>
      </w:tblPr>
      <w:tr>
        <w:trPr>
          <w:trHeight w:val="241"/>
        </w:trPr>
        <w:tc>
          <w:tcPr>
            <w:tcW w:w="2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 xml:space="preserve">Remainder of 2025 </w:t>
            </w:r>
            <w:r>
              <w:rPr>
                <w:rFonts w:ascii="Arial" w:cs="Arial" w:eastAsia="Arial" w:hAnsi="Arial"/>
                <w:sz w:val="21"/>
                <w:szCs w:val="21"/>
                <w:b w:val="1"/>
                <w:bCs w:val="1"/>
                <w:color w:val="auto"/>
                <w:vertAlign w:val="superscript"/>
              </w:rPr>
              <w:t>(1)</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191,353</w:t>
            </w:r>
          </w:p>
        </w:tc>
      </w:tr>
      <w:tr>
        <w:trPr>
          <w:trHeight w:val="215"/>
        </w:trPr>
        <w:tc>
          <w:tcPr>
            <w:tcW w:w="2220" w:type="dxa"/>
            <w:vAlign w:val="bottom"/>
          </w:tcPr>
          <w:p>
            <w:pPr>
              <w:jc w:val="right"/>
              <w:ind w:right="79"/>
              <w:spacing w:after="0"/>
              <w:rPr>
                <w:sz w:val="20"/>
                <w:szCs w:val="20"/>
                <w:color w:val="auto"/>
              </w:rPr>
            </w:pPr>
            <w:r>
              <w:rPr>
                <w:rFonts w:ascii="Arial" w:cs="Arial" w:eastAsia="Arial" w:hAnsi="Arial"/>
                <w:sz w:val="16"/>
                <w:szCs w:val="16"/>
                <w:color w:val="auto"/>
              </w:rPr>
              <w:t>2026</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37,500</w:t>
            </w:r>
          </w:p>
        </w:tc>
      </w:tr>
      <w:tr>
        <w:trPr>
          <w:trHeight w:val="217"/>
        </w:trPr>
        <w:tc>
          <w:tcPr>
            <w:tcW w:w="2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2027</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521,000</w:t>
            </w:r>
          </w:p>
        </w:tc>
      </w:tr>
      <w:tr>
        <w:trPr>
          <w:trHeight w:val="215"/>
        </w:trPr>
        <w:tc>
          <w:tcPr>
            <w:tcW w:w="2220" w:type="dxa"/>
            <w:vAlign w:val="bottom"/>
          </w:tcPr>
          <w:p>
            <w:pPr>
              <w:jc w:val="right"/>
              <w:ind w:right="79"/>
              <w:spacing w:after="0"/>
              <w:rPr>
                <w:sz w:val="20"/>
                <w:szCs w:val="20"/>
                <w:color w:val="auto"/>
              </w:rPr>
            </w:pPr>
            <w:r>
              <w:rPr>
                <w:rFonts w:ascii="Arial" w:cs="Arial" w:eastAsia="Arial" w:hAnsi="Arial"/>
                <w:sz w:val="16"/>
                <w:szCs w:val="16"/>
                <w:color w:val="auto"/>
              </w:rPr>
              <w:t>2028</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2029</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1,017,500</w:t>
            </w:r>
          </w:p>
        </w:tc>
      </w:tr>
      <w:tr>
        <w:trPr>
          <w:trHeight w:val="215"/>
        </w:trPr>
        <w:tc>
          <w:tcPr>
            <w:tcW w:w="2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2030 and thereafter</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305,250</w:t>
            </w:r>
          </w:p>
        </w:tc>
      </w:tr>
      <w:tr>
        <w:trPr>
          <w:trHeight w:val="234"/>
        </w:trPr>
        <w:tc>
          <w:tcPr>
            <w:tcW w:w="2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2,072,603</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b w:val="1"/>
          <w:bCs w:val="1"/>
          <w:color w:val="auto"/>
          <w:vertAlign w:val="superscript"/>
        </w:rPr>
      </w:pPr>
      <w:r>
        <w:rPr>
          <w:rFonts w:ascii="Arial" w:cs="Arial" w:eastAsia="Arial" w:hAnsi="Arial"/>
          <w:sz w:val="16"/>
          <w:szCs w:val="16"/>
          <w:color w:val="auto"/>
        </w:rPr>
        <w:t>Debt obligations in 2025 include $183.9 million in Lugano 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Senior Notes consisted of the following carrying value and estimated fair value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2" w:name="page33"/>
    <w:bookmarkEnd w:id="32"/>
    <w:tbl>
      <w:tblPr>
        <w:tblLayout w:type="fixed"/>
        <w:tblInd w:w="96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22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rPr>
              <w:t>Hierarchy</w:t>
            </w: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000" w:type="dxa"/>
            <w:vAlign w:val="bottom"/>
          </w:tcPr>
          <w:p>
            <w:pPr>
              <w:spacing w:after="0"/>
              <w:rPr>
                <w:sz w:val="2"/>
                <w:szCs w:val="2"/>
                <w:color w:val="auto"/>
              </w:rPr>
            </w:pPr>
          </w:p>
        </w:tc>
        <w:tc>
          <w:tcPr>
            <w:tcW w:w="1740" w:type="dxa"/>
            <w:vAlign w:val="bottom"/>
            <w:gridSpan w:val="3"/>
            <w:vMerge w:val="restart"/>
          </w:tcPr>
          <w:p>
            <w:pPr>
              <w:ind w:left="300"/>
              <w:spacing w:after="0"/>
              <w:rPr>
                <w:sz w:val="20"/>
                <w:szCs w:val="20"/>
                <w:color w:val="auto"/>
              </w:rPr>
            </w:pPr>
            <w:r>
              <w:rPr>
                <w:rFonts w:ascii="Arial" w:cs="Arial" w:eastAsia="Arial" w:hAnsi="Arial"/>
                <w:sz w:val="16"/>
                <w:szCs w:val="16"/>
                <w:b w:val="1"/>
                <w:bCs w:val="1"/>
                <w:color w:val="auto"/>
              </w:rPr>
              <w:t>Maturity Date</w:t>
            </w:r>
          </w:p>
        </w:tc>
        <w:tc>
          <w:tcPr>
            <w:tcW w:w="108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Rate</w:t>
            </w:r>
          </w:p>
        </w:tc>
        <w:tc>
          <w:tcPr>
            <w:tcW w:w="12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Carrying Value</w:t>
            </w:r>
          </w:p>
        </w:tc>
        <w:tc>
          <w:tcPr>
            <w:tcW w:w="260" w:type="dxa"/>
            <w:vAlign w:val="bottom"/>
          </w:tcPr>
          <w:p>
            <w:pPr>
              <w:spacing w:after="0"/>
              <w:rPr>
                <w:sz w:val="2"/>
                <w:szCs w:val="2"/>
                <w:color w:val="auto"/>
              </w:rPr>
            </w:pPr>
          </w:p>
        </w:tc>
        <w:tc>
          <w:tcPr>
            <w:tcW w:w="12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6"/>
        </w:trPr>
        <w:tc>
          <w:tcPr>
            <w:tcW w:w="2000" w:type="dxa"/>
            <w:vAlign w:val="bottom"/>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Level</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2032 Senior Notes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January 15,</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305,250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273,200</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20"/>
                <w:szCs w:val="20"/>
                <w:color w:val="auto"/>
              </w:rPr>
            </w:pPr>
            <w:r>
              <w:rPr>
                <w:rFonts w:ascii="Arial" w:cs="Arial" w:eastAsia="Arial" w:hAnsi="Arial"/>
                <w:sz w:val="16"/>
                <w:szCs w:val="16"/>
                <w:color w:val="auto"/>
              </w:rPr>
              <w:t>2029 Senior Notes</w:t>
            </w:r>
          </w:p>
        </w:tc>
        <w:tc>
          <w:tcPr>
            <w:tcW w:w="1240" w:type="dxa"/>
            <w:vAlign w:val="bottom"/>
          </w:tcPr>
          <w:p>
            <w:pPr>
              <w:jc w:val="right"/>
              <w:spacing w:after="0"/>
              <w:rPr>
                <w:sz w:val="20"/>
                <w:szCs w:val="20"/>
                <w:color w:val="auto"/>
              </w:rPr>
            </w:pPr>
            <w:r>
              <w:rPr>
                <w:rFonts w:ascii="Arial" w:cs="Arial" w:eastAsia="Arial" w:hAnsi="Arial"/>
                <w:sz w:val="16"/>
                <w:szCs w:val="16"/>
                <w:color w:val="auto"/>
              </w:rPr>
              <w:t>April 15,</w:t>
            </w:r>
          </w:p>
        </w:tc>
        <w:tc>
          <w:tcPr>
            <w:tcW w:w="40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5.250 %</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1,017,500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942,460</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Since the LLC can borrow, repay and reborrow principal under the 2022 Revolving Credit Facility, the debt issuance costs associated with the 2022 Revolving Credit Facility have been classified as other non-current assets in the accompanying condensed consolidated balance sheet. The debt issuance costs associated with the 2022 Term Loan and First Amendment and Senior Notes are classified as a reduction of long-term debt in the accompanying condensed consolidated balance sheets. The Company recorded $1.2 million in deferred debt issuance costs related to the First Amendment of the 2022 Credit Facility in the six months ended September 30, 2025. During the second quarter of 2025, the Company entered into the First Forbearance Agreement, which amended the 2022 Credit Facility to reduce the aggregate borrowing amount available for revolving commitments to $100 million from $ 600 million. As a result of the reduction in available revolving commitments, the Company wrote-off a portion of the deferred financing costs associated with the 2022 Revolving Credit Facility and recognized $2.8 million in loss on debt modification in the second quarter of 2025.</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debt issuance costs at September 30, 2025 and December 31, 2024, and the balance sheet classification in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5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September 30, 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debt issuance costs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32,526</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(17,797)</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debt issuance costs,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Balance sheet classification: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10,710</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Trust is authorized to issue 500,000,000 Trust common shares and the LLC is authorized to issue a corresponding number of Trust common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LLC are entitled to vote.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 - common shares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2024, the Company refreshed its at-the-market ("ATM") program for the common shares of the Trust, which was initially established on September 7, 2021, by filing a prospectus supplement pursuant to which the Company may, but has no obligation to, issue and sell up to $500 million common shares of the Trust in amounts and at times to be determined by the Company. Actual sales will depend on a variety of factors to be determined by us from time to time, including, market conditions, the trading price of Trust common shares and determinations by us regarding appropriate sources of funding.</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Common Sales Agreement”) with B. Riley Securities, Inc. ("B. Riley Securities"), Goldman Sachs &amp; Co. LLC ("Goldman") and TD Securities (USA) LLC (each a “Common Sales Agent” and, collectively, the “Common Sales Agents”). The Amended Common Sales Agreement provides that the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Company may offer and sell Trust common shares from time to time through or to the Common Sales Agents, as sales agent or principal, up to $500 million, in amounts and at times to be determined by the Company. Pursuant to the Amended Common Sales Agreement, the shares may be offered and sold through each Sales Agent, acting separately,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Common Sales Agreement amended and restated in its entirety the At Market Issuance Sales Agreement (the “Common Sales Agreement”), dated September 7, 2021, between the Company, B. Riley Securities and Goldman, which provided for the offer and sale of Trust common shares up to $500 million under the terms substantially same as those under the Amended Common Sales Agreement.</w:t>
      </w:r>
    </w:p>
    <w:p>
      <w:pPr>
        <w:spacing w:after="0" w:line="7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and nine months ended September 30, 2025, there were no sales of Trust common shares under the Amended Common Sales Agreement.</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and nine months ended September 30, 2024, the Company sold 176,377 and 381,957 Trust common shares under the Common Sales Agreement, respectively. During the same periods, the Company received total net proceeds of approximately $3.8 million and $8.4 million, respectively, from these sales. The Company incurred approximately $ 0.1 million and $0.2 million in commissions paid to the Common Sales Agents during the three and nine months ended September 30, 2024, respectively.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did not incur any costs related to the ATM program in the three months ended September 30, 2025, and incurred approximately $59.0 thousand in total costs related to the ATM program during the nine months ended September 30, 2025. The Company incurred approximately $0.2 million and $0.4 million in total costs related to the ATM programs during the three and nine months ended September 30, 2024, respectively.</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the commencement of the Lugano Investigation and related events, the Company determined during the quarter ended June 30, 2025 that it was unable to continue offering and selling its common shares under the Amended Common Sales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15, 2024, the Board approved a share repurchase program authorizing the Company to repurchase, through December 31, 2024, subject to extension by the Board, up to $100 million of its outstanding common shares. The Company repurchased 416,320 shares for approximately $9.7 million during the year ended December 31, 2024. The share repurchase program expired on December 31,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Distribution on Common Shares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light of the Lugano Investigation and related matters, on May 27, 2025, the Company announced that it suspended the quarterly cash distribution historically paid to common shareholders in order to preserve cash and protect long-term value until such time as the Company’s board of directors deems it appropriate to resume such distributions.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interests.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 - preferred shares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5, 2024, the Company refreshed its at-the-market program for certain preferred shares of the Trust, which was initially established in the first quarter of 2024, by filing a prospectus supplement pursuant to which the Company may, but has no obligation to, issue and sell up to $200 million of the Trust’s 7.250% Series A Preferred Shares (the “Series A Preferred Shares”), 7.875% Series B Preferred Shares (the “Series B Preferred Shares”), and 7.875% Series C Preferred Shares (the “Series C Preferred Shares” and together with the Series A Preferred Shares, the Series B Preferred Shares, and the Series C Preferred Shares, the “Preferred Shares”), each representing beneficial interests in the Trust.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Preferred Sales Agreement”) with B. Riley Securities, Inc. (the “Preferred Sales Agent”). The Amended Preferred Sales Agreement provides that the Company may offer and sell Trust preferred shares from time to time through or to the Preferred Sales Agent, as sales agent or principal, up to $200 million, in amounts and at times to be determined by the Company. Pursuant to the Amended Preferred Sales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jc w:val="both"/>
        <w:spacing w:after="0" w:line="256" w:lineRule="auto"/>
        <w:rPr>
          <w:sz w:val="20"/>
          <w:szCs w:val="20"/>
          <w:color w:val="auto"/>
        </w:rPr>
      </w:pPr>
      <w:r>
        <w:rPr>
          <w:rFonts w:ascii="Arial" w:cs="Arial" w:eastAsia="Arial" w:hAnsi="Arial"/>
          <w:sz w:val="18"/>
          <w:szCs w:val="18"/>
          <w:color w:val="auto"/>
        </w:rPr>
        <w:t>Agreement, the shares may be offered and sold through the Preferred Sales Agent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Preferred Sales Agreement amended and restated in its entirety, the At Market Issuance Sales Agreement, dated March 20, 2024, between the Company and B. Riley Securities, which provided for the offer and sale of Trust preferred shares up to $100 million under the terms substantially the same as those under the Amended Preferred Sales Agreement.</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reflects the activity in the preferred share ATM program during the nine months ended September 30, 2025 and the three and nine September 30, 2024 </w:t>
      </w:r>
      <w:r>
        <w:rPr>
          <w:rFonts w:ascii="Arial" w:cs="Arial" w:eastAsia="Arial" w:hAnsi="Arial"/>
          <w:sz w:val="18"/>
          <w:szCs w:val="18"/>
          <w:i w:val="1"/>
          <w:iCs w:val="1"/>
          <w:color w:val="auto"/>
        </w:rPr>
        <w:t>(in thousands, except share data)</w:t>
      </w:r>
      <w:r>
        <w:rPr>
          <w:rFonts w:ascii="Arial" w:cs="Arial" w:eastAsia="Arial" w:hAnsi="Arial"/>
          <w:sz w:val="18"/>
          <w:szCs w:val="18"/>
          <w:color w:val="auto"/>
        </w:rPr>
        <w:t>:</w:t>
      </w:r>
    </w:p>
    <w:p>
      <w:pPr>
        <w:spacing w:after="0" w:line="139" w:lineRule="exact"/>
        <w:rPr>
          <w:sz w:val="20"/>
          <w:szCs w:val="20"/>
          <w:color w:val="auto"/>
        </w:rPr>
      </w:pPr>
    </w:p>
    <w:tbl>
      <w:tblPr>
        <w:tblLayout w:type="fixed"/>
        <w:tblInd w:w="2180" w:type="dxa"/>
        <w:tblCellMar>
          <w:top w:w="0" w:type="dxa"/>
          <w:left w:w="0" w:type="dxa"/>
          <w:bottom w:w="0" w:type="dxa"/>
          <w:right w:w="0" w:type="dxa"/>
        </w:tblCellMar>
      </w:tblPr>
      <w:tr>
        <w:trPr>
          <w:trHeight w:val="208"/>
        </w:trPr>
        <w:tc>
          <w:tcPr>
            <w:tcW w:w="2400" w:type="dxa"/>
            <w:vAlign w:val="bottom"/>
          </w:tcPr>
          <w:p>
            <w:pPr>
              <w:spacing w:after="0"/>
              <w:rPr>
                <w:sz w:val="18"/>
                <w:szCs w:val="18"/>
                <w:color w:val="auto"/>
              </w:rPr>
            </w:pPr>
          </w:p>
        </w:tc>
        <w:tc>
          <w:tcPr>
            <w:tcW w:w="3860" w:type="dxa"/>
            <w:vAlign w:val="bottom"/>
            <w:tcBorders>
              <w:bottom w:val="single" w:sz="8" w:color="auto"/>
            </w:tcBorders>
            <w:gridSpan w:val="6"/>
          </w:tcPr>
          <w:p>
            <w:pPr>
              <w:jc w:val="center"/>
              <w:ind w:left="524"/>
              <w:spacing w:after="0"/>
              <w:rPr>
                <w:sz w:val="20"/>
                <w:szCs w:val="20"/>
                <w:color w:val="auto"/>
              </w:rPr>
            </w:pPr>
            <w:r>
              <w:rPr>
                <w:rFonts w:ascii="Arial" w:cs="Arial" w:eastAsia="Arial" w:hAnsi="Arial"/>
                <w:sz w:val="15"/>
                <w:szCs w:val="15"/>
                <w:b w:val="1"/>
                <w:bCs w:val="1"/>
                <w:color w:val="auto"/>
              </w:rPr>
              <w:t>Nine Months Ended September 30, 2025</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Arial" w:cs="Arial" w:eastAsia="Arial" w:hAnsi="Arial"/>
                <w:sz w:val="15"/>
                <w:szCs w:val="15"/>
                <w:b w:val="1"/>
                <w:bCs w:val="1"/>
                <w:color w:val="auto"/>
              </w:rPr>
              <w:t>Number of Shares</w:t>
            </w:r>
          </w:p>
        </w:tc>
        <w:tc>
          <w:tcPr>
            <w:tcW w:w="18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rPr>
              <w:t>Net Proceeds</w:t>
            </w:r>
          </w:p>
        </w:tc>
        <w:tc>
          <w:tcPr>
            <w:tcW w:w="14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Commissions Paid</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8"/>
              </w:rPr>
              <w:t>Sold</w:t>
            </w:r>
          </w:p>
        </w:tc>
        <w:tc>
          <w:tcPr>
            <w:tcW w:w="1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 Preferred Shares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127,078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1"/>
        </w:trPr>
        <w:tc>
          <w:tcPr>
            <w:tcW w:w="2400" w:type="dxa"/>
            <w:vAlign w:val="bottom"/>
          </w:tcPr>
          <w:p>
            <w:pPr>
              <w:ind w:left="20"/>
              <w:spacing w:after="0"/>
              <w:rPr>
                <w:sz w:val="20"/>
                <w:szCs w:val="20"/>
                <w:color w:val="auto"/>
              </w:rPr>
            </w:pPr>
            <w:r>
              <w:rPr>
                <w:rFonts w:ascii="Arial" w:cs="Arial" w:eastAsia="Arial" w:hAnsi="Arial"/>
                <w:sz w:val="15"/>
                <w:szCs w:val="15"/>
                <w:color w:val="auto"/>
              </w:rPr>
              <w:t>Series B Preferred Shares</w:t>
            </w:r>
          </w:p>
        </w:tc>
        <w:tc>
          <w:tcPr>
            <w:tcW w:w="1400" w:type="dxa"/>
            <w:vAlign w:val="bottom"/>
          </w:tcPr>
          <w:p>
            <w:pPr>
              <w:jc w:val="right"/>
              <w:spacing w:after="0"/>
              <w:rPr>
                <w:sz w:val="20"/>
                <w:szCs w:val="20"/>
                <w:color w:val="auto"/>
              </w:rPr>
            </w:pPr>
            <w:r>
              <w:rPr>
                <w:rFonts w:ascii="Arial" w:cs="Arial" w:eastAsia="Arial" w:hAnsi="Arial"/>
                <w:sz w:val="15"/>
                <w:szCs w:val="15"/>
                <w:color w:val="auto"/>
              </w:rPr>
              <w:t>1,331,522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29,869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611</w:t>
            </w:r>
          </w:p>
        </w:tc>
        <w:tc>
          <w:tcPr>
            <w:tcW w:w="0" w:type="dxa"/>
            <w:vAlign w:val="bottom"/>
          </w:tcPr>
          <w:p>
            <w:pPr>
              <w:spacing w:after="0"/>
              <w:rPr>
                <w:sz w:val="1"/>
                <w:szCs w:val="1"/>
                <w:color w:val="auto"/>
              </w:rPr>
            </w:pPr>
          </w:p>
        </w:tc>
      </w:tr>
      <w:tr>
        <w:trPr>
          <w:trHeight w:val="204"/>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Shares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1,152,584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26,285</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0" w:type="dxa"/>
            <w:vAlign w:val="bottom"/>
          </w:tcPr>
          <w:p>
            <w:pPr>
              <w:spacing w:after="0"/>
              <w:rPr>
                <w:sz w:val="1"/>
                <w:szCs w:val="1"/>
                <w:color w:val="auto"/>
              </w:rPr>
            </w:pPr>
          </w:p>
        </w:tc>
      </w:tr>
      <w:tr>
        <w:trPr>
          <w:trHeight w:val="195"/>
        </w:trPr>
        <w:tc>
          <w:tcPr>
            <w:tcW w:w="2400" w:type="dxa"/>
            <w:vAlign w:val="bottom"/>
          </w:tcPr>
          <w:p>
            <w:pPr>
              <w:ind w:left="220"/>
              <w:spacing w:after="0"/>
              <w:rPr>
                <w:sz w:val="20"/>
                <w:szCs w:val="20"/>
                <w:color w:val="auto"/>
              </w:rPr>
            </w:pPr>
            <w:r>
              <w:rPr>
                <w:rFonts w:ascii="Arial" w:cs="Arial" w:eastAsia="Arial" w:hAnsi="Arial"/>
                <w:sz w:val="15"/>
                <w:szCs w:val="15"/>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2,611,184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59,008</w:t>
            </w:r>
          </w:p>
        </w:tc>
        <w:tc>
          <w:tcPr>
            <w:tcW w:w="100" w:type="dxa"/>
            <w:vAlign w:val="bottom"/>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1,206</w:t>
            </w:r>
          </w:p>
        </w:tc>
        <w:tc>
          <w:tcPr>
            <w:tcW w:w="0" w:type="dxa"/>
            <w:vAlign w:val="bottom"/>
          </w:tcPr>
          <w:p>
            <w:pPr>
              <w:spacing w:after="0"/>
              <w:rPr>
                <w:sz w:val="1"/>
                <w:szCs w:val="1"/>
                <w:color w:val="auto"/>
              </w:rPr>
            </w:pPr>
          </w:p>
        </w:tc>
      </w:tr>
    </w:tbl>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420" w:type="dxa"/>
            <w:vAlign w:val="bottom"/>
          </w:tcPr>
          <w:p>
            <w:pPr>
              <w:spacing w:after="0"/>
              <w:rPr>
                <w:sz w:val="18"/>
                <w:szCs w:val="18"/>
                <w:color w:val="auto"/>
              </w:rPr>
            </w:pPr>
          </w:p>
        </w:tc>
        <w:tc>
          <w:tcPr>
            <w:tcW w:w="4320" w:type="dxa"/>
            <w:vAlign w:val="bottom"/>
            <w:gridSpan w:val="8"/>
          </w:tcPr>
          <w:p>
            <w:pPr>
              <w:ind w:left="600"/>
              <w:spacing w:after="0"/>
              <w:rPr>
                <w:sz w:val="20"/>
                <w:szCs w:val="20"/>
                <w:color w:val="auto"/>
              </w:rPr>
            </w:pPr>
            <w:r>
              <w:rPr>
                <w:rFonts w:ascii="Arial" w:cs="Arial" w:eastAsia="Arial" w:hAnsi="Arial"/>
                <w:sz w:val="15"/>
                <w:szCs w:val="15"/>
                <w:b w:val="1"/>
                <w:bCs w:val="1"/>
                <w:color w:val="auto"/>
              </w:rPr>
              <w:t>Three Months Ended September 30, 2024</w:t>
            </w:r>
          </w:p>
        </w:tc>
        <w:tc>
          <w:tcPr>
            <w:tcW w:w="3880" w:type="dxa"/>
            <w:vAlign w:val="bottom"/>
            <w:gridSpan w:val="6"/>
          </w:tcPr>
          <w:p>
            <w:pPr>
              <w:jc w:val="center"/>
              <w:ind w:left="464"/>
              <w:spacing w:after="0"/>
              <w:rPr>
                <w:sz w:val="20"/>
                <w:szCs w:val="20"/>
                <w:color w:val="auto"/>
              </w:rPr>
            </w:pPr>
            <w:r>
              <w:rPr>
                <w:rFonts w:ascii="Arial" w:cs="Arial" w:eastAsia="Arial" w:hAnsi="Arial"/>
                <w:sz w:val="15"/>
                <w:szCs w:val="15"/>
                <w:b w:val="1"/>
                <w:bCs w:val="1"/>
                <w:color w:val="auto"/>
              </w:rPr>
              <w:t>Nine Months Ended September 30, 2024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5"/>
                <w:szCs w:val="15"/>
                <w:b w:val="1"/>
                <w:bCs w:val="1"/>
                <w:color w:val="auto"/>
              </w:rPr>
              <w:t>Number of</w:t>
            </w: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Net Proceeds</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44"/>
              <w:spacing w:after="0" w:line="142" w:lineRule="exact"/>
              <w:rPr>
                <w:sz w:val="20"/>
                <w:szCs w:val="20"/>
                <w:color w:val="auto"/>
              </w:rPr>
            </w:pPr>
            <w:r>
              <w:rPr>
                <w:rFonts w:ascii="Arial" w:cs="Arial" w:eastAsia="Arial" w:hAnsi="Arial"/>
                <w:sz w:val="15"/>
                <w:szCs w:val="15"/>
                <w:b w:val="1"/>
                <w:bCs w:val="1"/>
                <w:color w:val="auto"/>
              </w:rPr>
              <w:t>Commissions</w:t>
            </w:r>
          </w:p>
        </w:tc>
        <w:tc>
          <w:tcPr>
            <w:tcW w:w="140" w:type="dxa"/>
            <w:vAlign w:val="bottom"/>
          </w:tcPr>
          <w:p>
            <w:pPr>
              <w:spacing w:after="0"/>
              <w:rPr>
                <w:sz w:val="12"/>
                <w:szCs w:val="12"/>
                <w:color w:val="auto"/>
              </w:rPr>
            </w:pPr>
          </w:p>
        </w:tc>
        <w:tc>
          <w:tcPr>
            <w:tcW w:w="150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5"/>
                <w:szCs w:val="15"/>
                <w:b w:val="1"/>
                <w:bCs w:val="1"/>
                <w:color w:val="auto"/>
              </w:rPr>
              <w:t>Number of Shares</w:t>
            </w: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5"/>
                <w:szCs w:val="15"/>
                <w:b w:val="1"/>
                <w:bCs w:val="1"/>
                <w:color w:val="auto"/>
              </w:rPr>
              <w:t>Net Proceeds</w:t>
            </w:r>
          </w:p>
        </w:tc>
        <w:tc>
          <w:tcPr>
            <w:tcW w:w="14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Commissions Paid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Shares Sold</w:t>
            </w: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Paid</w:t>
            </w: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8"/>
              </w:rPr>
              <w:t>Sold</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 Preferred Shares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113,707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159,065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3,838</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1"/>
        </w:trPr>
        <w:tc>
          <w:tcPr>
            <w:tcW w:w="2420" w:type="dxa"/>
            <w:vAlign w:val="bottom"/>
          </w:tcPr>
          <w:p>
            <w:pPr>
              <w:ind w:left="20"/>
              <w:spacing w:after="0"/>
              <w:rPr>
                <w:sz w:val="20"/>
                <w:szCs w:val="20"/>
                <w:color w:val="auto"/>
              </w:rPr>
            </w:pPr>
            <w:r>
              <w:rPr>
                <w:rFonts w:ascii="Arial" w:cs="Arial" w:eastAsia="Arial" w:hAnsi="Arial"/>
                <w:sz w:val="15"/>
                <w:szCs w:val="15"/>
                <w:color w:val="auto"/>
              </w:rPr>
              <w:t>Series B Preferred Shares</w:t>
            </w:r>
          </w:p>
        </w:tc>
        <w:tc>
          <w:tcPr>
            <w:tcW w:w="1300" w:type="dxa"/>
            <w:vAlign w:val="bottom"/>
          </w:tcPr>
          <w:p>
            <w:pPr>
              <w:jc w:val="right"/>
              <w:spacing w:after="0"/>
              <w:rPr>
                <w:sz w:val="20"/>
                <w:szCs w:val="20"/>
                <w:color w:val="auto"/>
              </w:rPr>
            </w:pPr>
            <w:r>
              <w:rPr>
                <w:rFonts w:ascii="Arial" w:cs="Arial" w:eastAsia="Arial" w:hAnsi="Arial"/>
                <w:sz w:val="15"/>
                <w:szCs w:val="15"/>
                <w:color w:val="auto"/>
              </w:rPr>
              <w:t>309,316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7,450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162</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437,383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10,570</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Shares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290,792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6,989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14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528,696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12,770</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95"/>
        </w:trPr>
        <w:tc>
          <w:tcPr>
            <w:tcW w:w="2420" w:type="dxa"/>
            <w:vAlign w:val="bottom"/>
          </w:tcPr>
          <w:p>
            <w:pPr>
              <w:ind w:left="220"/>
              <w:spacing w:after="0"/>
              <w:rPr>
                <w:sz w:val="20"/>
                <w:szCs w:val="20"/>
                <w:color w:val="auto"/>
              </w:rPr>
            </w:pPr>
            <w:r>
              <w:rPr>
                <w:rFonts w:ascii="Arial" w:cs="Arial" w:eastAsia="Arial" w:hAnsi="Arial"/>
                <w:sz w:val="15"/>
                <w:szCs w:val="15"/>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713,815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17,175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1,125,144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27,178</w:t>
            </w:r>
          </w:p>
        </w:tc>
        <w:tc>
          <w:tcPr>
            <w:tcW w:w="80" w:type="dxa"/>
            <w:vAlign w:val="bottom"/>
          </w:tcPr>
          <w:p>
            <w:pPr>
              <w:spacing w:after="0"/>
              <w:rPr>
                <w:sz w:val="16"/>
                <w:szCs w:val="16"/>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incurred less than $0.1 million in total costs related to the preferred share ATM program during the nine months ended September 30, 2025, and approximately $0.1 million and $0.2 million in total costs related to the preferred share ATM program during the three and nine months ended September 30, 2024, respectively.</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a result of the commencement of the Lugano Investigation and related events, the Company determined during the quarter ended June 30, 2025 that it was unable to continue offering and selling Trust preferred shares under the Amended Preferred Sales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Shares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are cumulative and at September 30, 2025, $2.6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Company to repurchase the Series C Preferred Shares absent certain fundamental changes of the Company and there is no maturity date.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Series B Preferred Shares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13, 2018, the Trust issued 4,000,000 7.875% Series B Preferred Shares (the "Series B Preferred Shares") with a liquidation preference of $ 25.00 per share, for gross proceeds of $100.0 million, or $96.5 million net of underwriters' discount and issuance costs. Distributions on the Series B Preferred Shares are payable quarterly in arrears, when and as declared by the Company's board of directors on January 30, April 30, July 30, and October 30 of each year, beginning on July 30, 2018, at a rate per annum of 7.875%. Holders of the Series B Preferred Shares are entitled to receive cumulative cash distributions (i) from and including the date of issuance to, but excluding, April 30, 2028 a rate equal to 7.875% per annum and (ii) from and including April 30, 2028, at a floating rate equal to the applicable successor to three-month LIBOR (as determined by a calculation agent) plus a spread of 4.985% per annum. Subsequent to April 30, 2028, the distribution rate will be reset quarterly. At September 30, 2025, $2.5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Series B Preferred Shares. The Series B Preferred Shares may be redeemed at the Company's option, in whole or in part, at any time after April 30, 2028, at a price of $ 25.00 per share, plus any accumulated and unpaid distributions (thereon whether authorized or declared) to, but excluding, the redemption date. Holders of Series B Preferred Shares will have no right to require the Company to repurchase the Series B Preferred Shares absent certain fundamental changes of the Company and there is no maturity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28, 2017, the Trust issued 4,000,000 7.250% Series A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are not convertible into Trust common shares and have no voting rights, except in limited circumstances as provided for in the share designation for the Series A Preferred Shares. The Series A Preferred Shares may be redeemed at the Company’s option, in whole or in part, at any time after July 30, 2022, at a price of $25.00 per share, plus declared and unpaid distributions to, but excluding, the redemption date, without payment of nay undeclared distributions. Holders of Series A Preferred Shares will have no right to require the Company to repurchase the Series A Preferred Shares absent certain fundamental changes of the Company and there is no maturity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Interests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Allocation Interests ("Holders"), through Sostratus LLC, are entitled to receive distributions pursuant to a profit allocation formula upon the occurrence of certain events. The distributions of the profit allocation is paid upon the sale of a business (a "Sale Event") and upon election of the Holder during the 30-day period following the fifth anniversary of the date upon which we acquired a controlling interest in a business (a "Holding Event"). The Company records distributions of the profit allocation to the Holders upon occurrence of a Sale Event or Holding Event as dividends declared on Allocation Interests to stockholders’ equity when they are approved by the Company’s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Event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sale of Ergobaby in December 2024 represented a Sale Event, however the calculation of the profit allocation payment resulted in a negative amount and therefore no profit allocation payment was due to the Holders. The negative amount will offset future profit allocation payments due to the Holders.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sale of Marucci in November 2023 represented a Sale Event and the Company's board of director's approved a distribution of $48.9 million in the first quarter of 2024. This distribution was paid to the Holders of the Allocation Interests in February 2024.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net income (loss) attributable to Holdings to net income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4"/>
          </w:tcPr>
          <w:p>
            <w:pPr>
              <w:jc w:val="right"/>
              <w:ind w:right="564"/>
              <w:spacing w:after="0" w:line="162" w:lineRule="exact"/>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4"/>
          </w:tcPr>
          <w:p>
            <w:pPr>
              <w:ind w:left="360"/>
              <w:spacing w:after="0" w:line="162" w:lineRule="exact"/>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58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8"/>
                <w:szCs w:val="18"/>
                <w:color w:val="auto"/>
              </w:rPr>
            </w:pPr>
          </w:p>
        </w:tc>
        <w:tc>
          <w:tcPr>
            <w:tcW w:w="2460" w:type="dxa"/>
            <w:vAlign w:val="bottom"/>
            <w:gridSpan w:val="4"/>
          </w:tcPr>
          <w:p>
            <w:pPr>
              <w:jc w:val="right"/>
              <w:ind w:right="744"/>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99"/>
        </w:trPr>
        <w:tc>
          <w:tcPr>
            <w:tcW w:w="54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2024</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4"/>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4"/>
              <w:spacing w:after="0"/>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attributable to Holdings</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(35,536)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(157,551)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(169,870)</w:t>
            </w:r>
          </w:p>
        </w:tc>
        <w:tc>
          <w:tcPr>
            <w:tcW w:w="0" w:type="dxa"/>
            <w:vAlign w:val="bottom"/>
          </w:tcPr>
          <w:p>
            <w:pPr>
              <w:spacing w:after="0"/>
              <w:rPr>
                <w:sz w:val="1"/>
                <w:szCs w:val="1"/>
                <w:color w:val="auto"/>
              </w:rPr>
            </w:pP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Less: Distributions paid - Allocation Interests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48,941</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Distributions paid - Preferred Shares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6,345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27,863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18,491</w:t>
            </w:r>
          </w:p>
        </w:tc>
        <w:tc>
          <w:tcPr>
            <w:tcW w:w="0" w:type="dxa"/>
            <w:vAlign w:val="bottom"/>
          </w:tcPr>
          <w:p>
            <w:pPr>
              <w:spacing w:after="0"/>
              <w:rPr>
                <w:sz w:val="1"/>
                <w:szCs w:val="1"/>
                <w:color w:val="auto"/>
              </w:rPr>
            </w:pPr>
          </w:p>
        </w:tc>
      </w:tr>
      <w:tr>
        <w:trPr>
          <w:trHeight w:val="21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Accrued distributions - Preferred Shares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3,191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3,191</w:t>
            </w:r>
          </w:p>
        </w:tc>
        <w:tc>
          <w:tcPr>
            <w:tcW w:w="0" w:type="dxa"/>
            <w:vAlign w:val="bottom"/>
          </w:tcPr>
          <w:p>
            <w:pPr>
              <w:spacing w:after="0"/>
              <w:rPr>
                <w:sz w:val="1"/>
                <w:szCs w:val="1"/>
                <w:color w:val="auto"/>
              </w:rPr>
            </w:pPr>
          </w:p>
        </w:tc>
      </w:tr>
      <w:tr>
        <w:trPr>
          <w:trHeight w:val="143"/>
        </w:trPr>
        <w:tc>
          <w:tcPr>
            <w:tcW w:w="542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Net loss from continuing operations attributable to common shares of</w:t>
            </w:r>
          </w:p>
        </w:tc>
        <w:tc>
          <w:tcPr>
            <w:tcW w:w="3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(88,355)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(45,072)</w:t>
            </w:r>
          </w:p>
        </w:tc>
        <w:tc>
          <w:tcPr>
            <w:tcW w:w="1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ind w:left="360"/>
              <w:spacing w:after="0"/>
              <w:rPr>
                <w:sz w:val="20"/>
                <w:szCs w:val="20"/>
                <w:color w:val="auto"/>
              </w:rPr>
            </w:pPr>
            <w:r>
              <w:rPr>
                <w:rFonts w:ascii="Arial" w:cs="Arial" w:eastAsia="Arial" w:hAnsi="Arial"/>
                <w:sz w:val="15"/>
                <w:szCs w:val="15"/>
                <w:color w:val="auto"/>
              </w:rPr>
              <w:t>(190,562)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(240,493)</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Holdings</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nine months ended September 30, 2025 and 2024 reflects the incremental increase during the period in the profit allocation distribution to Holders related to Holding Events.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Basic and diluted earnings per share for the three and nine months ended September 30, 2025 and 2024 attributable to the common shares of 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4"/>
          </w:tcPr>
          <w:p>
            <w:pPr>
              <w:jc w:val="right"/>
              <w:ind w:right="564"/>
              <w:spacing w:after="0" w:line="169" w:lineRule="exact"/>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4"/>
          </w:tcPr>
          <w:p>
            <w:pPr>
              <w:jc w:val="right"/>
              <w:ind w:right="604"/>
              <w:spacing w:after="0" w:line="169" w:lineRule="exact"/>
              <w:rPr>
                <w:sz w:val="20"/>
                <w:szCs w:val="20"/>
                <w:color w:val="auto"/>
              </w:rPr>
            </w:pPr>
            <w:r>
              <w:rPr>
                <w:rFonts w:ascii="Arial" w:cs="Arial" w:eastAsia="Arial" w:hAnsi="Arial"/>
                <w:sz w:val="15"/>
                <w:szCs w:val="15"/>
                <w:b w:val="1"/>
                <w:bCs w:val="1"/>
                <w:color w:val="auto"/>
              </w:rPr>
              <w:t>Nine months ended</w:t>
            </w:r>
          </w:p>
        </w:tc>
        <w:tc>
          <w:tcPr>
            <w:tcW w:w="60" w:type="dxa"/>
            <w:vAlign w:val="bottom"/>
          </w:tcPr>
          <w:p>
            <w:pPr>
              <w:spacing w:after="0"/>
              <w:rPr>
                <w:sz w:val="14"/>
                <w:szCs w:val="14"/>
                <w:color w:val="auto"/>
              </w:rPr>
            </w:pPr>
          </w:p>
        </w:tc>
      </w:tr>
      <w:tr>
        <w:trPr>
          <w:trHeight w:val="208"/>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8"/>
                <w:szCs w:val="18"/>
                <w:color w:val="auto"/>
              </w:rPr>
            </w:pPr>
          </w:p>
        </w:tc>
        <w:tc>
          <w:tcPr>
            <w:tcW w:w="2500" w:type="dxa"/>
            <w:vAlign w:val="bottom"/>
            <w:gridSpan w:val="5"/>
          </w:tcPr>
          <w:p>
            <w:pPr>
              <w:ind w:left="580"/>
              <w:spacing w:after="0"/>
              <w:rPr>
                <w:sz w:val="20"/>
                <w:szCs w:val="20"/>
                <w:color w:val="auto"/>
              </w:rPr>
            </w:pPr>
            <w:r>
              <w:rPr>
                <w:rFonts w:ascii="Arial" w:cs="Arial" w:eastAsia="Arial" w:hAnsi="Arial"/>
                <w:sz w:val="15"/>
                <w:szCs w:val="15"/>
                <w:b w:val="1"/>
                <w:bCs w:val="1"/>
                <w:color w:val="auto"/>
              </w:rPr>
              <w:t>September 30,</w:t>
            </w:r>
          </w:p>
        </w:tc>
      </w:tr>
      <w:tr>
        <w:trPr>
          <w:trHeight w:val="196"/>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4"/>
              <w:spacing w:after="0"/>
              <w:rPr>
                <w:sz w:val="20"/>
                <w:szCs w:val="20"/>
                <w:color w:val="auto"/>
              </w:rPr>
            </w:pPr>
            <w:r>
              <w:rPr>
                <w:rFonts w:ascii="Arial" w:cs="Arial" w:eastAsia="Arial" w:hAnsi="Arial"/>
                <w:sz w:val="15"/>
                <w:szCs w:val="15"/>
                <w:b w:val="1"/>
                <w:bCs w:val="1"/>
                <w:color w:val="auto"/>
              </w:rPr>
              <w:t>(As Restated)</w:t>
            </w:r>
          </w:p>
        </w:tc>
        <w:tc>
          <w:tcPr>
            <w:tcW w:w="60" w:type="dxa"/>
            <w:vAlign w:val="bottom"/>
          </w:tcPr>
          <w:p>
            <w:pPr>
              <w:spacing w:after="0"/>
              <w:rPr>
                <w:sz w:val="17"/>
                <w:szCs w:val="17"/>
                <w:color w:val="auto"/>
              </w:rPr>
            </w:pPr>
          </w:p>
        </w:tc>
      </w:tr>
      <w:tr>
        <w:trPr>
          <w:trHeight w:val="162"/>
        </w:trPr>
        <w:tc>
          <w:tcPr>
            <w:tcW w:w="80" w:type="dxa"/>
            <w:vAlign w:val="bottom"/>
          </w:tcPr>
          <w:p>
            <w:pPr>
              <w:spacing w:after="0"/>
              <w:rPr>
                <w:sz w:val="14"/>
                <w:szCs w:val="14"/>
                <w:color w:val="auto"/>
              </w:rPr>
            </w:pPr>
          </w:p>
        </w:tc>
        <w:tc>
          <w:tcPr>
            <w:tcW w:w="53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loss from continuing operations attributable to common shares of</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Holdings</w:t>
            </w:r>
          </w:p>
        </w:tc>
        <w:tc>
          <w:tcPr>
            <w:tcW w:w="5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(190,562)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(240,493)</w:t>
            </w:r>
          </w:p>
        </w:tc>
        <w:tc>
          <w:tcPr>
            <w:tcW w:w="60" w:type="dxa"/>
            <w:vAlign w:val="bottom"/>
          </w:tcPr>
          <w:p>
            <w:pPr>
              <w:spacing w:after="0"/>
              <w:rPr>
                <w:sz w:val="18"/>
                <w:szCs w:val="18"/>
                <w:color w:val="auto"/>
              </w:rPr>
            </w:pPr>
          </w:p>
        </w:tc>
      </w:tr>
      <w:tr>
        <w:trPr>
          <w:trHeight w:val="215"/>
        </w:trPr>
        <w:tc>
          <w:tcPr>
            <w:tcW w:w="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Less: Effect of contribution based profit - Holding Event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1,213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2,641</w:t>
            </w:r>
          </w:p>
        </w:tc>
        <w:tc>
          <w:tcPr>
            <w:tcW w:w="60" w:type="dxa"/>
            <w:vAlign w:val="bottom"/>
          </w:tcPr>
          <w:p>
            <w:pPr>
              <w:spacing w:after="0"/>
              <w:rPr>
                <w:sz w:val="18"/>
                <w:szCs w:val="18"/>
                <w:color w:val="auto"/>
              </w:rPr>
            </w:pPr>
          </w:p>
        </w:tc>
      </w:tr>
      <w:tr>
        <w:trPr>
          <w:trHeight w:val="143"/>
        </w:trPr>
        <w:tc>
          <w:tcPr>
            <w:tcW w:w="80" w:type="dxa"/>
            <w:vAlign w:val="bottom"/>
          </w:tcPr>
          <w:p>
            <w:pPr>
              <w:spacing w:after="0"/>
              <w:rPr>
                <w:sz w:val="12"/>
                <w:szCs w:val="12"/>
                <w:color w:val="auto"/>
              </w:rPr>
            </w:pPr>
          </w:p>
        </w:tc>
        <w:tc>
          <w:tcPr>
            <w:tcW w:w="53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6"/>
                <w:szCs w:val="16"/>
                <w:color w:val="auto"/>
              </w:rPr>
              <w:t>Net loss from continuing operations attributable to common shares of</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Holdings</w:t>
            </w:r>
          </w:p>
        </w:tc>
        <w:tc>
          <w:tcPr>
            <w:tcW w:w="5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(190,562)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(243,134)</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Income from discontinued operations attributable to Holdings</w:t>
            </w:r>
          </w:p>
        </w:tc>
        <w:tc>
          <w:tcPr>
            <w:tcW w:w="5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4,609</w:t>
            </w:r>
          </w:p>
        </w:tc>
        <w:tc>
          <w:tcPr>
            <w:tcW w:w="60" w:type="dxa"/>
            <w:vAlign w:val="bottom"/>
          </w:tcPr>
          <w:p>
            <w:pPr>
              <w:spacing w:after="0"/>
              <w:rPr>
                <w:sz w:val="18"/>
                <w:szCs w:val="18"/>
                <w:color w:val="auto"/>
              </w:rPr>
            </w:pPr>
          </w:p>
        </w:tc>
      </w:tr>
      <w:tr>
        <w:trPr>
          <w:trHeight w:val="215"/>
        </w:trPr>
        <w:tc>
          <w:tcPr>
            <w:tcW w:w="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Less: Effect of contribution based profit - Holding Event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43"/>
        </w:trPr>
        <w:tc>
          <w:tcPr>
            <w:tcW w:w="80" w:type="dxa"/>
            <w:vAlign w:val="bottom"/>
          </w:tcPr>
          <w:p>
            <w:pPr>
              <w:spacing w:after="0"/>
              <w:rPr>
                <w:sz w:val="12"/>
                <w:szCs w:val="12"/>
                <w:color w:val="auto"/>
              </w:rPr>
            </w:pPr>
          </w:p>
        </w:tc>
        <w:tc>
          <w:tcPr>
            <w:tcW w:w="53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6"/>
                <w:szCs w:val="16"/>
                <w:color w:val="auto"/>
              </w:rPr>
              <w:t>Income from discontinued operations attributable to common shares of</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Holdings</w:t>
            </w:r>
          </w:p>
        </w:tc>
        <w:tc>
          <w:tcPr>
            <w:tcW w:w="5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4,609</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weighted average common shares outstanding</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75,645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75,437</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53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Basic and fully diluted income (loss) per common share attributable</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 Holdings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Continuing operations</w:t>
            </w:r>
          </w:p>
        </w:tc>
        <w:tc>
          <w:tcPr>
            <w:tcW w:w="5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(0.61)</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(3.22)</w:t>
            </w:r>
          </w:p>
        </w:tc>
        <w:tc>
          <w:tcPr>
            <w:tcW w:w="60" w:type="dxa"/>
            <w:vAlign w:val="bottom"/>
          </w:tcPr>
          <w:p>
            <w:pPr>
              <w:spacing w:after="0"/>
              <w:rPr>
                <w:sz w:val="18"/>
                <w:szCs w:val="18"/>
                <w:color w:val="auto"/>
              </w:rPr>
            </w:pPr>
          </w:p>
        </w:tc>
      </w:tr>
      <w:tr>
        <w:trPr>
          <w:trHeight w:val="217"/>
        </w:trPr>
        <w:tc>
          <w:tcPr>
            <w:tcW w:w="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0.06</w:t>
            </w:r>
          </w:p>
        </w:tc>
        <w:tc>
          <w:tcPr>
            <w:tcW w:w="6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60" w:type="dxa"/>
            <w:vAlign w:val="bottom"/>
          </w:tcPr>
          <w:p>
            <w:pPr>
              <w:spacing w:after="0"/>
              <w:rPr>
                <w:sz w:val="16"/>
                <w:szCs w:val="16"/>
                <w:color w:val="auto"/>
              </w:rPr>
            </w:pPr>
          </w:p>
        </w:tc>
      </w:tr>
      <w:tr>
        <w:trPr>
          <w:trHeight w:val="22"/>
        </w:trPr>
        <w:tc>
          <w:tcPr>
            <w:tcW w:w="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5"/>
        </w:trPr>
        <w:tc>
          <w:tcPr>
            <w:tcW w:w="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00" w:type="dxa"/>
            <w:vAlign w:val="bottom"/>
            <w:gridSpan w:val="2"/>
          </w:tcPr>
          <w:p>
            <w:pPr>
              <w:jc w:val="right"/>
              <w:ind w:right="124"/>
              <w:spacing w:after="0"/>
              <w:rPr>
                <w:sz w:val="20"/>
                <w:szCs w:val="20"/>
                <w:color w:val="auto"/>
              </w:rPr>
            </w:pPr>
            <w:r>
              <w:rPr>
                <w:rFonts w:ascii="Arial" w:cs="Arial" w:eastAsia="Arial" w:hAnsi="Arial"/>
                <w:sz w:val="16"/>
                <w:szCs w:val="16"/>
                <w:color w:val="auto"/>
              </w:rPr>
              <w:t>37</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7"/>
        </w:trPr>
        <w:tc>
          <w:tcPr>
            <w:tcW w:w="80" w:type="dxa"/>
            <w:vAlign w:val="bottom"/>
            <w:tcBorders>
              <w:bottom w:val="single" w:sz="8" w:color="9A9A9A"/>
            </w:tcBorders>
          </w:tcPr>
          <w:p>
            <w:pPr>
              <w:spacing w:after="0"/>
              <w:rPr>
                <w:sz w:val="13"/>
                <w:szCs w:val="13"/>
                <w:color w:val="auto"/>
              </w:rPr>
            </w:pPr>
          </w:p>
        </w:tc>
        <w:tc>
          <w:tcPr>
            <w:tcW w:w="5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27, 2025, the Company announced that it suspended the quarterly cash distribution historically paid to common shareholders. No common distributions were paid subsequent to April 24, 2025. The following table summarizes information related to our quarterly cash distributions on our Trust common and preferred shares (</w:t>
      </w:r>
      <w:r>
        <w:rPr>
          <w:rFonts w:ascii="Arial" w:cs="Arial" w:eastAsia="Arial" w:hAnsi="Arial"/>
          <w:sz w:val="18"/>
          <w:szCs w:val="18"/>
          <w:i w:val="1"/>
          <w:iCs w:val="1"/>
          <w:color w:val="auto"/>
        </w:rPr>
        <w:t>in thousands, except per share data</w:t>
      </w:r>
      <w:r>
        <w:rPr>
          <w:rFonts w:ascii="Arial" w:cs="Arial" w:eastAsia="Arial" w:hAnsi="Arial"/>
          <w:sz w:val="14"/>
          <w:szCs w:val="14"/>
          <w:i w:val="1"/>
          <w:iCs w:val="1"/>
          <w:color w:val="auto"/>
        </w:rPr>
        <w:t>):</w:t>
      </w:r>
    </w:p>
    <w:p>
      <w:pPr>
        <w:sectPr>
          <w:pgSz w:w="11900" w:h="16838" w:orient="portrait"/>
          <w:cols w:equalWidth="0" w:num="1">
            <w:col w:w="11240"/>
          </w:cols>
          <w:pgMar w:left="320" w:top="1351" w:right="339" w:bottom="1440" w:gutter="0" w:footer="0" w:header="0"/>
        </w:sectPr>
      </w:pP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vMerge w:val="restart"/>
          </w:tcPr>
          <w:p>
            <w:pPr>
              <w:ind w:left="15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6"/>
                <w:szCs w:val="16"/>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Cash Distribution per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1, 2025 - March 31,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1, 2024 - December 31,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1, 2024 - September 30,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1, 2024 - June 30,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1, 2024 - March 31,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6"/>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July 30, 2025 - October 29,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2025 - July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2025 - April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2024 - January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2024 - October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6"/>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July 30, 2025 - October 29,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2025 - July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2025 - April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2024 - January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2024 - October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4"/>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July 30, 2025 - October 29,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2025 - July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2025 - April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2024 - January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2024 - October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-4763135</wp:posOffset>
            </wp:positionV>
            <wp:extent cx="709803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-4488815</wp:posOffset>
            </wp:positionV>
            <wp:extent cx="709803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-4214495</wp:posOffset>
            </wp:positionV>
            <wp:extent cx="709803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-3974465</wp:posOffset>
            </wp:positionV>
            <wp:extent cx="709803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-3700145</wp:posOffset>
            </wp:positionV>
            <wp:extent cx="709803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-3425825</wp:posOffset>
            </wp:positionV>
            <wp:extent cx="709803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-3151505</wp:posOffset>
            </wp:positionV>
            <wp:extent cx="709803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-2877185</wp:posOffset>
            </wp:positionV>
            <wp:extent cx="709803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-2637155</wp:posOffset>
            </wp:positionV>
            <wp:extent cx="709803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-2362835</wp:posOffset>
            </wp:positionV>
            <wp:extent cx="709803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-2088515</wp:posOffset>
            </wp:positionV>
            <wp:extent cx="709803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-1814195</wp:posOffset>
            </wp:positionV>
            <wp:extent cx="709803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-1539875</wp:posOffset>
            </wp:positionV>
            <wp:extent cx="709803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-1231265</wp:posOffset>
            </wp:positionV>
            <wp:extent cx="709803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-956945</wp:posOffset>
            </wp:positionV>
            <wp:extent cx="709803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-682625</wp:posOffset>
            </wp:positionV>
            <wp:extent cx="709803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-408305</wp:posOffset>
            </wp:positionV>
            <wp:extent cx="709803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-133985</wp:posOffset>
            </wp:positionV>
            <wp:extent cx="709803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94"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26"/>
          <w:szCs w:val="26"/>
          <w:b w:val="1"/>
          <w:bCs w:val="1"/>
          <w:color w:val="auto"/>
          <w:vertAlign w:val="superscript"/>
        </w:rPr>
      </w:pPr>
      <w:r>
        <w:rPr>
          <w:rFonts w:ascii="Arial" w:cs="Arial" w:eastAsia="Arial" w:hAnsi="Arial"/>
          <w:sz w:val="17"/>
          <w:szCs w:val="17"/>
          <w:color w:val="auto"/>
        </w:rPr>
        <w:t>This distribution was declared on October 2, 2025.</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jc w:val="right"/>
              <w:ind w:right="541"/>
              <w:spacing w:after="0"/>
              <w:rPr>
                <w:sz w:val="20"/>
                <w:szCs w:val="20"/>
                <w:color w:val="auto"/>
              </w:rPr>
            </w:pPr>
            <w:r>
              <w:rPr>
                <w:rFonts w:ascii="Arial" w:cs="Arial" w:eastAsia="Arial" w:hAnsi="Arial"/>
                <w:sz w:val="16"/>
                <w:szCs w:val="16"/>
                <w:b w:val="1"/>
                <w:bCs w:val="1"/>
                <w:color w:val="auto"/>
              </w:rPr>
              <w:t>Total Cash</w:t>
            </w:r>
          </w:p>
        </w:tc>
        <w:tc>
          <w:tcPr>
            <w:tcW w:w="178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Record Date</w:t>
            </w:r>
          </w:p>
        </w:tc>
        <w:tc>
          <w:tcPr>
            <w:tcW w:w="100" w:type="dxa"/>
            <w:vAlign w:val="bottom"/>
            <w:vMerge w:val="restart"/>
          </w:tcPr>
          <w:p>
            <w:pPr>
              <w:spacing w:after="0"/>
              <w:rPr>
                <w:sz w:val="16"/>
                <w:szCs w:val="16"/>
                <w:color w:val="auto"/>
              </w:rPr>
            </w:pPr>
          </w:p>
        </w:tc>
        <w:tc>
          <w:tcPr>
            <w:tcW w:w="178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08"/>
        </w:trPr>
        <w:tc>
          <w:tcPr>
            <w:tcW w:w="1500" w:type="dxa"/>
            <w:vAlign w:val="bottom"/>
          </w:tcPr>
          <w:p>
            <w:pPr>
              <w:jc w:val="right"/>
              <w:ind w:right="461"/>
              <w:spacing w:after="0"/>
              <w:rPr>
                <w:sz w:val="20"/>
                <w:szCs w:val="20"/>
                <w:color w:val="auto"/>
              </w:rPr>
            </w:pPr>
            <w:r>
              <w:rPr>
                <w:rFonts w:ascii="Arial" w:cs="Arial" w:eastAsia="Arial" w:hAnsi="Arial"/>
                <w:sz w:val="16"/>
                <w:szCs w:val="16"/>
                <w:b w:val="1"/>
                <w:bCs w:val="1"/>
                <w:color w:val="auto"/>
                <w:w w:val="95"/>
              </w:rPr>
              <w:t>Distributions</w:t>
            </w:r>
          </w:p>
        </w:tc>
        <w:tc>
          <w:tcPr>
            <w:tcW w:w="17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0"/>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18,809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17,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24,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18,809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16,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23,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18,913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17,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24,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18,913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18,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25,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18,846</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18,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25, 2024</w:t>
            </w:r>
          </w:p>
        </w:tc>
        <w:tc>
          <w:tcPr>
            <w:tcW w:w="0" w:type="dxa"/>
            <w:vAlign w:val="bottom"/>
          </w:tcPr>
          <w:p>
            <w:pPr>
              <w:spacing w:after="0"/>
              <w:rPr>
                <w:sz w:val="1"/>
                <w:szCs w:val="1"/>
                <w:color w:val="auto"/>
              </w:rPr>
            </w:pPr>
          </w:p>
        </w:tc>
      </w:tr>
      <w:tr>
        <w:trPr>
          <w:trHeight w:val="594"/>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2,120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2,120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2,120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2,062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1,930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1,852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1,822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r>
        <w:trPr>
          <w:trHeight w:val="594"/>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3,703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3,703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3,703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3,048</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2,347</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2,064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1,983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r>
        <w:trPr>
          <w:trHeight w:val="702"/>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3,892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3,892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3,892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3,324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2,690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2,430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2,295</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-5003165</wp:posOffset>
            </wp:positionV>
            <wp:extent cx="1165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612" w:lineRule="exact"/>
        <w:rPr>
          <w:sz w:val="20"/>
          <w:szCs w:val="20"/>
          <w:color w:val="auto"/>
        </w:rPr>
      </w:pPr>
    </w:p>
    <w:p>
      <w:pPr>
        <w:sectPr>
          <w:pgSz w:w="11900" w:h="16838" w:orient="portrait"/>
          <w:cols w:equalWidth="0" w:num="2">
            <w:col w:w="5720" w:space="340"/>
            <w:col w:w="5180"/>
          </w:cols>
          <w:pgMar w:left="320" w:top="1351"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J — Noncontrolling Interest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Noncontrolling interest represents the portion of the Company’s majority owned subsidiaries' net income (loss) and equity that is owned by noncontrolling shareholders. The following tables reflect the LLC’s ownership percentage of its majority owned operating segments and related noncontrolling interest balances as of September 30, 2025 and December 31, 2024:</w:t>
      </w:r>
    </w:p>
    <w:p>
      <w:pPr>
        <w:spacing w:after="0" w:line="25"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2440" w:type="dxa"/>
            <w:vAlign w:val="bottom"/>
            <w:gridSpan w:val="4"/>
          </w:tcPr>
          <w:p>
            <w:pPr>
              <w:jc w:val="center"/>
              <w:ind w:left="340"/>
              <w:spacing w:after="0"/>
              <w:rPr>
                <w:sz w:val="20"/>
                <w:szCs w:val="20"/>
                <w:color w:val="auto"/>
              </w:rPr>
            </w:pPr>
            <w:r>
              <w:rPr>
                <w:rFonts w:ascii="Arial" w:cs="Arial" w:eastAsia="Arial" w:hAnsi="Arial"/>
                <w:sz w:val="15"/>
                <w:szCs w:val="15"/>
                <w:b w:val="1"/>
                <w:bCs w:val="1"/>
                <w:color w:val="auto"/>
                <w:w w:val="99"/>
              </w:rPr>
              <w:t xml:space="preserve">% Ownership </w:t>
            </w:r>
            <w:r>
              <w:rPr>
                <w:rFonts w:ascii="Arial" w:cs="Arial" w:eastAsia="Arial" w:hAnsi="Arial"/>
                <w:sz w:val="19"/>
                <w:szCs w:val="19"/>
                <w:b w:val="1"/>
                <w:bCs w:val="1"/>
                <w:color w:val="auto"/>
                <w:w w:val="99"/>
                <w:vertAlign w:val="superscript"/>
              </w:rPr>
              <w:t>(1)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4"/>
          </w:tcPr>
          <w:p>
            <w:pPr>
              <w:jc w:val="right"/>
              <w:ind w:right="762"/>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440" w:type="dxa"/>
            <w:vAlign w:val="bottom"/>
            <w:tcBorders>
              <w:bottom w:val="single" w:sz="8" w:color="auto"/>
            </w:tcBorders>
            <w:gridSpan w:val="4"/>
          </w:tcPr>
          <w:p>
            <w:pPr>
              <w:jc w:val="center"/>
              <w:ind w:left="340"/>
              <w:spacing w:after="0"/>
              <w:rPr>
                <w:sz w:val="20"/>
                <w:szCs w:val="20"/>
                <w:color w:val="auto"/>
              </w:rPr>
            </w:pPr>
            <w:r>
              <w:rPr>
                <w:rFonts w:ascii="Arial" w:cs="Arial" w:eastAsia="Arial" w:hAnsi="Arial"/>
                <w:sz w:val="15"/>
                <w:szCs w:val="15"/>
                <w:b w:val="1"/>
                <w:bCs w:val="1"/>
                <w:color w:val="auto"/>
              </w:rPr>
              <w:t>September 30, 2025</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5"/>
                <w:szCs w:val="15"/>
                <w:b w:val="1"/>
                <w:bCs w:val="1"/>
                <w:color w:val="auto"/>
              </w:rPr>
              <w:t>December 31, 2024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400" w:type="dxa"/>
            <w:vAlign w:val="bottom"/>
          </w:tcPr>
          <w:p>
            <w:pPr>
              <w:spacing w:after="0"/>
              <w:rPr>
                <w:sz w:val="12"/>
                <w:szCs w:val="12"/>
                <w:color w:val="auto"/>
              </w:rPr>
            </w:pPr>
          </w:p>
        </w:tc>
        <w:tc>
          <w:tcPr>
            <w:tcW w:w="1320" w:type="dxa"/>
            <w:vAlign w:val="bottom"/>
            <w:vMerge w:val="restart"/>
          </w:tcPr>
          <w:p>
            <w:pPr>
              <w:jc w:val="right"/>
              <w:ind w:right="280"/>
              <w:spacing w:after="0"/>
              <w:rPr>
                <w:sz w:val="20"/>
                <w:szCs w:val="20"/>
                <w:color w:val="auto"/>
              </w:rPr>
            </w:pPr>
            <w:r>
              <w:rPr>
                <w:rFonts w:ascii="Arial" w:cs="Arial" w:eastAsia="Arial" w:hAnsi="Arial"/>
                <w:sz w:val="15"/>
                <w:szCs w:val="15"/>
                <w:b w:val="1"/>
                <w:bCs w:val="1"/>
                <w:color w:val="auto"/>
              </w:rPr>
              <w:t>Primary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344"/>
              <w:spacing w:after="0" w:line="145" w:lineRule="exact"/>
              <w:rPr>
                <w:sz w:val="20"/>
                <w:szCs w:val="20"/>
                <w:color w:val="auto"/>
              </w:rPr>
            </w:pPr>
            <w:r>
              <w:rPr>
                <w:rFonts w:ascii="Arial" w:cs="Arial" w:eastAsia="Arial" w:hAnsi="Arial"/>
                <w:sz w:val="15"/>
                <w:szCs w:val="15"/>
                <w:b w:val="1"/>
                <w:bCs w:val="1"/>
                <w:color w:val="auto"/>
              </w:rPr>
              <w:t>Fully</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ind w:right="282"/>
              <w:spacing w:after="0"/>
              <w:rPr>
                <w:sz w:val="20"/>
                <w:szCs w:val="20"/>
                <w:color w:val="auto"/>
              </w:rPr>
            </w:pPr>
            <w:r>
              <w:rPr>
                <w:rFonts w:ascii="Arial" w:cs="Arial" w:eastAsia="Arial" w:hAnsi="Arial"/>
                <w:sz w:val="15"/>
                <w:szCs w:val="15"/>
                <w:b w:val="1"/>
                <w:bCs w:val="1"/>
                <w:color w:val="auto"/>
              </w:rPr>
              <w:t>Primary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422"/>
              <w:spacing w:after="0" w:line="145" w:lineRule="exact"/>
              <w:rPr>
                <w:sz w:val="20"/>
                <w:szCs w:val="20"/>
                <w:color w:val="auto"/>
              </w:rPr>
            </w:pPr>
            <w:r>
              <w:rPr>
                <w:rFonts w:ascii="Arial" w:cs="Arial" w:eastAsia="Arial" w:hAnsi="Arial"/>
                <w:sz w:val="15"/>
                <w:szCs w:val="15"/>
                <w:b w:val="1"/>
                <w:bCs w:val="1"/>
                <w:color w:val="auto"/>
              </w:rPr>
              <w:t>Fully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344"/>
              <w:spacing w:after="0"/>
              <w:rPr>
                <w:sz w:val="20"/>
                <w:szCs w:val="20"/>
                <w:color w:val="auto"/>
              </w:rPr>
            </w:pPr>
            <w:r>
              <w:rPr>
                <w:rFonts w:ascii="Arial" w:cs="Arial" w:eastAsia="Arial" w:hAnsi="Arial"/>
                <w:sz w:val="15"/>
                <w:szCs w:val="15"/>
                <w:b w:val="1"/>
                <w:bCs w:val="1"/>
                <w:color w:val="auto"/>
              </w:rPr>
              <w:t>Diluted</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42"/>
              <w:spacing w:after="0"/>
              <w:rPr>
                <w:sz w:val="20"/>
                <w:szCs w:val="20"/>
                <w:color w:val="auto"/>
              </w:rPr>
            </w:pPr>
            <w:r>
              <w:rPr>
                <w:rFonts w:ascii="Arial" w:cs="Arial" w:eastAsia="Arial" w:hAnsi="Arial"/>
                <w:sz w:val="15"/>
                <w:szCs w:val="15"/>
                <w:b w:val="1"/>
                <w:bCs w:val="1"/>
                <w:color w:val="auto"/>
              </w:rPr>
              <w:t>Diluted</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0"/>
              <w:spacing w:after="0"/>
              <w:rPr>
                <w:sz w:val="20"/>
                <w:szCs w:val="20"/>
                <w:color w:val="auto"/>
              </w:rPr>
            </w:pPr>
            <w:r>
              <w:rPr>
                <w:rFonts w:ascii="Arial" w:cs="Arial" w:eastAsia="Arial" w:hAnsi="Arial"/>
                <w:sz w:val="16"/>
                <w:szCs w:val="16"/>
                <w:color w:val="auto"/>
              </w:rPr>
              <w:t>BOA</w:t>
            </w:r>
          </w:p>
        </w:tc>
        <w:tc>
          <w:tcPr>
            <w:tcW w:w="1320" w:type="dxa"/>
            <w:vAlign w:val="bottom"/>
          </w:tcPr>
          <w:p>
            <w:pPr>
              <w:jc w:val="right"/>
              <w:spacing w:after="0"/>
              <w:rPr>
                <w:sz w:val="20"/>
                <w:szCs w:val="20"/>
                <w:color w:val="auto"/>
              </w:rPr>
            </w:pPr>
            <w:r>
              <w:rPr>
                <w:rFonts w:ascii="Arial" w:cs="Arial" w:eastAsia="Arial" w:hAnsi="Arial"/>
                <w:sz w:val="16"/>
                <w:szCs w:val="16"/>
                <w:color w:val="auto"/>
              </w:rPr>
              <w:t>91.6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82.8</w:t>
            </w:r>
          </w:p>
        </w:tc>
        <w:tc>
          <w:tcPr>
            <w:tcW w:w="4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91.7</w:t>
            </w:r>
          </w:p>
        </w:tc>
        <w:tc>
          <w:tcPr>
            <w:tcW w:w="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40" w:type="dxa"/>
            <w:vAlign w:val="bottom"/>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40" w:type="dxa"/>
            <w:vAlign w:val="bottom"/>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0"/>
              <w:spacing w:after="0"/>
              <w:rPr>
                <w:sz w:val="20"/>
                <w:szCs w:val="20"/>
                <w:color w:val="auto"/>
              </w:rPr>
            </w:pPr>
            <w:r>
              <w:rPr>
                <w:rFonts w:ascii="Arial" w:cs="Arial" w:eastAsia="Arial" w:hAnsi="Arial"/>
                <w:sz w:val="16"/>
                <w:szCs w:val="16"/>
                <w:color w:val="auto"/>
              </w:rPr>
              <w:t>PrimaLoft</w:t>
            </w:r>
          </w:p>
        </w:tc>
        <w:tc>
          <w:tcPr>
            <w:tcW w:w="1320" w:type="dxa"/>
            <w:vAlign w:val="bottom"/>
          </w:tcPr>
          <w:p>
            <w:pPr>
              <w:jc w:val="right"/>
              <w:spacing w:after="0"/>
              <w:rPr>
                <w:sz w:val="20"/>
                <w:szCs w:val="20"/>
                <w:color w:val="auto"/>
              </w:rPr>
            </w:pPr>
            <w:r>
              <w:rPr>
                <w:rFonts w:ascii="Arial" w:cs="Arial" w:eastAsia="Arial" w:hAnsi="Arial"/>
                <w:sz w:val="16"/>
                <w:szCs w:val="16"/>
                <w:color w:val="auto"/>
              </w:rPr>
              <w:t>90.7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84.7</w:t>
            </w:r>
          </w:p>
        </w:tc>
        <w:tc>
          <w:tcPr>
            <w:tcW w:w="4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90.7</w:t>
            </w:r>
          </w:p>
        </w:tc>
        <w:tc>
          <w:tcPr>
            <w:tcW w:w="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40" w:type="dxa"/>
            <w:vAlign w:val="bottom"/>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40" w:type="dxa"/>
            <w:vAlign w:val="bottom"/>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20" w:type="dxa"/>
            <w:vAlign w:val="bottom"/>
          </w:tcPr>
          <w:p>
            <w:pPr>
              <w:jc w:val="right"/>
              <w:spacing w:after="0"/>
              <w:rPr>
                <w:sz w:val="20"/>
                <w:szCs w:val="20"/>
                <w:color w:val="auto"/>
              </w:rPr>
            </w:pPr>
            <w:r>
              <w:rPr>
                <w:rFonts w:ascii="Arial" w:cs="Arial" w:eastAsia="Arial" w:hAnsi="Arial"/>
                <w:sz w:val="16"/>
                <w:szCs w:val="16"/>
                <w:color w:val="auto"/>
              </w:rPr>
              <w:t>99.4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93.2</w:t>
            </w:r>
          </w:p>
        </w:tc>
        <w:tc>
          <w:tcPr>
            <w:tcW w:w="4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99.4</w:t>
            </w:r>
          </w:p>
        </w:tc>
        <w:tc>
          <w:tcPr>
            <w:tcW w:w="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40" w:type="dxa"/>
            <w:vAlign w:val="bottom"/>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40" w:type="dxa"/>
            <w:vAlign w:val="bottom"/>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0"/>
              <w:spacing w:after="0"/>
              <w:rPr>
                <w:sz w:val="20"/>
                <w:szCs w:val="20"/>
                <w:color w:val="auto"/>
              </w:rPr>
            </w:pPr>
            <w:r>
              <w:rPr>
                <w:rFonts w:ascii="Arial" w:cs="Arial" w:eastAsia="Arial" w:hAnsi="Arial"/>
                <w:sz w:val="16"/>
                <w:szCs w:val="16"/>
                <w:color w:val="auto"/>
              </w:rPr>
              <w:t>Arnold</w:t>
            </w:r>
          </w:p>
        </w:tc>
        <w:tc>
          <w:tcPr>
            <w:tcW w:w="1320" w:type="dxa"/>
            <w:vAlign w:val="bottom"/>
          </w:tcPr>
          <w:p>
            <w:pPr>
              <w:jc w:val="right"/>
              <w:spacing w:after="0"/>
              <w:rPr>
                <w:sz w:val="20"/>
                <w:szCs w:val="20"/>
                <w:color w:val="auto"/>
              </w:rPr>
            </w:pPr>
            <w:r>
              <w:rPr>
                <w:rFonts w:ascii="Arial" w:cs="Arial" w:eastAsia="Arial" w:hAnsi="Arial"/>
                <w:sz w:val="16"/>
                <w:szCs w:val="16"/>
                <w:color w:val="auto"/>
              </w:rPr>
              <w:t>98.0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82.9</w:t>
            </w:r>
          </w:p>
        </w:tc>
        <w:tc>
          <w:tcPr>
            <w:tcW w:w="4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98.0</w:t>
            </w:r>
          </w:p>
        </w:tc>
        <w:tc>
          <w:tcPr>
            <w:tcW w:w="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hanging="332"/>
        <w:spacing w:after="0" w:line="235" w:lineRule="auto"/>
        <w:tabs>
          <w:tab w:leader="none" w:pos="477" w:val="left"/>
        </w:tabs>
        <w:numPr>
          <w:ilvl w:val="0"/>
          <w:numId w:val="18"/>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740" w:type="dxa"/>
            <w:vAlign w:val="bottom"/>
            <w:tcBorders>
              <w:top w:val="single" w:sz="8" w:color="auto"/>
              <w:bottom w:val="single" w:sz="8" w:color="auto"/>
            </w:tcBorders>
            <w:gridSpan w:val="4"/>
          </w:tcPr>
          <w:p>
            <w:pPr>
              <w:jc w:val="right"/>
              <w:ind w:right="680"/>
              <w:spacing w:after="0"/>
              <w:rPr>
                <w:sz w:val="20"/>
                <w:szCs w:val="20"/>
                <w:color w:val="auto"/>
              </w:rPr>
            </w:pPr>
            <w:r>
              <w:rPr>
                <w:rFonts w:ascii="Arial" w:cs="Arial" w:eastAsia="Arial" w:hAnsi="Arial"/>
                <w:sz w:val="15"/>
                <w:szCs w:val="15"/>
                <w:b w:val="1"/>
                <w:bCs w:val="1"/>
                <w:color w:val="auto"/>
              </w:rPr>
              <w:t>Noncontrolling Interest Balances</w:t>
            </w: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80" w:type="dxa"/>
            <w:vAlign w:val="bottom"/>
          </w:tcPr>
          <w:p>
            <w:pPr>
              <w:spacing w:after="0"/>
              <w:rPr>
                <w:sz w:val="17"/>
                <w:szCs w:val="17"/>
                <w:color w:val="auto"/>
              </w:rPr>
            </w:pPr>
          </w:p>
        </w:tc>
        <w:tc>
          <w:tcPr>
            <w:tcW w:w="1720" w:type="dxa"/>
            <w:vAlign w:val="bottom"/>
          </w:tcPr>
          <w:p>
            <w:pPr>
              <w:jc w:val="right"/>
              <w:ind w:right="180"/>
              <w:spacing w:after="0"/>
              <w:rPr>
                <w:sz w:val="20"/>
                <w:szCs w:val="20"/>
                <w:color w:val="auto"/>
              </w:rPr>
            </w:pPr>
            <w:r>
              <w:rPr>
                <w:rFonts w:ascii="Arial" w:cs="Arial" w:eastAsia="Arial" w:hAnsi="Arial"/>
                <w:sz w:val="15"/>
                <w:szCs w:val="15"/>
                <w:b w:val="1"/>
                <w:bCs w:val="1"/>
                <w:color w:val="auto"/>
              </w:rPr>
              <w:t>December 31, 2024</w:t>
            </w:r>
          </w:p>
        </w:tc>
      </w:tr>
      <w:tr>
        <w:trPr>
          <w:trHeight w:val="196"/>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(As Restated)</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15,104</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BOA</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21,253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15,103</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Lugano</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(268,595)</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PrimaLoft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33,448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32,133</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The Honey Pot Co.</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41,869</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Velocity Outdoor</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6,824</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Altor</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Arnold</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r>
      <w:tr>
        <w:trPr>
          <w:trHeight w:val="215"/>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Allocation Interests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34"/>
        </w:trPr>
        <w:tc>
          <w:tcPr>
            <w:tcW w:w="5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(200,851)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Fair Value Measurement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assets or liabilities measured on a recurring basis as of September 30, 2025 or December 31, 2024. The Company had no assets or liabilities Level 3 fair value measurements during the three months ended September 30, 2025 or during the year ended December 31,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2024 Form 10-K/A for the year ended December 31,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following table provides the assets and liabilities carried at fair value measured on a non-recurring basis as of September 30, 2025 and December 31, 2024. Refer to </w:t>
      </w:r>
      <w:r>
        <w:rPr>
          <w:rFonts w:ascii="Arial" w:cs="Arial" w:eastAsia="Arial" w:hAnsi="Arial"/>
          <w:sz w:val="18"/>
          <w:szCs w:val="18"/>
          <w:u w:val="single" w:color="auto"/>
          <w:color w:val="0000FF"/>
        </w:rPr>
        <w:t>"Note F - Goodwill and Intangible Assets"</w:t>
      </w:r>
      <w:r>
        <w:rPr>
          <w:rFonts w:ascii="Arial" w:cs="Arial" w:eastAsia="Arial" w:hAnsi="Arial"/>
          <w:sz w:val="18"/>
          <w:szCs w:val="18"/>
          <w:color w:val="auto"/>
        </w:rPr>
        <w:t>, for a description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of the valuation techniques used to determine fair value of the assets measured on a non-recurring basis in the tables below.</w:t>
      </w:r>
    </w:p>
    <w:p>
      <w:pPr>
        <w:spacing w:after="0" w:line="157" w:lineRule="exact"/>
        <w:rPr>
          <w:sz w:val="20"/>
          <w:szCs w:val="20"/>
          <w:color w:val="auto"/>
        </w:rPr>
      </w:pPr>
    </w:p>
    <w:tbl>
      <w:tblPr>
        <w:tblLayout w:type="fixed"/>
        <w:tblInd w:w="500" w:type="dxa"/>
        <w:tblCellMar>
          <w:top w:w="0" w:type="dxa"/>
          <w:left w:w="0" w:type="dxa"/>
          <w:bottom w:w="0" w:type="dxa"/>
          <w:right w:w="0" w:type="dxa"/>
        </w:tblCellMar>
      </w:tblPr>
      <w:tr>
        <w:trPr>
          <w:trHeight w:val="208"/>
        </w:trPr>
        <w:tc>
          <w:tcPr>
            <w:tcW w:w="3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82"/>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9"/>
          </w:tcPr>
          <w:p>
            <w:pPr>
              <w:jc w:val="right"/>
              <w:ind w:right="561"/>
              <w:spacing w:after="0"/>
              <w:rPr>
                <w:sz w:val="20"/>
                <w:szCs w:val="20"/>
                <w:color w:val="auto"/>
              </w:rPr>
            </w:pPr>
            <w:r>
              <w:rPr>
                <w:rFonts w:ascii="Arial" w:cs="Arial" w:eastAsia="Arial" w:hAnsi="Arial"/>
                <w:sz w:val="15"/>
                <w:szCs w:val="15"/>
                <w:b w:val="1"/>
                <w:bCs w:val="1"/>
                <w:color w:val="auto"/>
              </w:rPr>
              <w:t>Fair Value Measurements at September 30, 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02"/>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5"/>
                <w:szCs w:val="15"/>
                <w:b w:val="1"/>
                <w:bCs w:val="1"/>
                <w:color w:val="auto"/>
              </w:rPr>
              <w:t>Carrying</w:t>
            </w:r>
          </w:p>
        </w:tc>
        <w:tc>
          <w:tcPr>
            <w:tcW w:w="84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Level 3</w:t>
            </w:r>
          </w:p>
        </w:tc>
        <w:tc>
          <w:tcPr>
            <w:tcW w:w="160" w:type="dxa"/>
            <w:vAlign w:val="bottom"/>
          </w:tcPr>
          <w:p>
            <w:pPr>
              <w:spacing w:after="0"/>
              <w:rPr>
                <w:sz w:val="12"/>
                <w:szCs w:val="12"/>
                <w:color w:val="auto"/>
              </w:rPr>
            </w:pPr>
          </w:p>
        </w:tc>
        <w:tc>
          <w:tcPr>
            <w:tcW w:w="1720" w:type="dxa"/>
            <w:vAlign w:val="bottom"/>
            <w:vMerge w:val="restart"/>
          </w:tcPr>
          <w:p>
            <w:pPr>
              <w:jc w:val="center"/>
              <w:ind w:right="82"/>
              <w:spacing w:after="0"/>
              <w:rPr>
                <w:sz w:val="20"/>
                <w:szCs w:val="20"/>
                <w:color w:val="auto"/>
              </w:rPr>
            </w:pPr>
            <w:r>
              <w:rPr>
                <w:rFonts w:ascii="Arial" w:cs="Arial" w:eastAsia="Arial" w:hAnsi="Arial"/>
                <w:sz w:val="15"/>
                <w:szCs w:val="15"/>
                <w:b w:val="1"/>
                <w:bCs w:val="1"/>
                <w:color w:val="auto"/>
              </w:rPr>
              <w:t>September 30, 2025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Value</w:t>
            </w:r>
          </w:p>
        </w:tc>
        <w:tc>
          <w:tcPr>
            <w:tcW w:w="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 Lugano</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3,029</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29,631</w:t>
            </w: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6"/>
                <w:szCs w:val="16"/>
                <w:color w:val="auto"/>
              </w:rPr>
              <w:t>Right-of-use asset - Lugano</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36,837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36,837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595"/>
        </w:trPr>
        <w:tc>
          <w:tcPr>
            <w:tcW w:w="3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82"/>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9"/>
          </w:tcPr>
          <w:p>
            <w:pPr>
              <w:jc w:val="right"/>
              <w:ind w:right="581"/>
              <w:spacing w:after="0"/>
              <w:rPr>
                <w:sz w:val="20"/>
                <w:szCs w:val="20"/>
                <w:color w:val="auto"/>
              </w:rPr>
            </w:pPr>
            <w:r>
              <w:rPr>
                <w:rFonts w:ascii="Arial" w:cs="Arial" w:eastAsia="Arial" w:hAnsi="Arial"/>
                <w:sz w:val="15"/>
                <w:szCs w:val="15"/>
                <w:b w:val="1"/>
                <w:bCs w:val="1"/>
                <w:color w:val="auto"/>
              </w:rPr>
              <w:t>Fair Value Measurements at December 31, 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02"/>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5"/>
                <w:szCs w:val="15"/>
                <w:b w:val="1"/>
                <w:bCs w:val="1"/>
                <w:color w:val="auto"/>
              </w:rPr>
              <w:t>Carrying</w:t>
            </w:r>
          </w:p>
        </w:tc>
        <w:tc>
          <w:tcPr>
            <w:tcW w:w="84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Level 3</w:t>
            </w:r>
          </w:p>
        </w:tc>
        <w:tc>
          <w:tcPr>
            <w:tcW w:w="160" w:type="dxa"/>
            <w:vAlign w:val="bottom"/>
          </w:tcPr>
          <w:p>
            <w:pPr>
              <w:spacing w:after="0"/>
              <w:rPr>
                <w:sz w:val="12"/>
                <w:szCs w:val="12"/>
                <w:color w:val="auto"/>
              </w:rPr>
            </w:pPr>
          </w:p>
        </w:tc>
        <w:tc>
          <w:tcPr>
            <w:tcW w:w="1720" w:type="dxa"/>
            <w:vAlign w:val="bottom"/>
            <w:vMerge w:val="restart"/>
          </w:tcPr>
          <w:p>
            <w:pPr>
              <w:jc w:val="center"/>
              <w:ind w:right="102"/>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Value</w:t>
            </w:r>
          </w:p>
        </w:tc>
        <w:tc>
          <w:tcPr>
            <w:tcW w:w="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 - Velocity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8,182</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estimates its annual effective tax rate each fiscal quarter and applies that estimated rate to its interim pre-tax earnings. In this regard, the Company reflects the full year’s estimated tax impact of certain unusual or infrequently occurring items and the effects of changes in tax laws or rates in the interim period in which they occur. The Company's parent, the Trust, is subject to entity-level U.S. federal, state and local corporate income taxes on the Company's earnings that flow through to the Trust. In the quarter ended September 30, 2025, the LLC entered into a Forbearance Agreement (the “Indenture Forbearance Agreement”) with certain holders of the Senior Notes (collectively, the “Supporting Holders”). As consideration for entering into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 The Indenture Forbearance Agreement and paid-in-kind interest were treated as a significant modification of the Senior Notes for U.S. federal income tax purposes whereby the Senior Notes were deemed to be retired and reissued in a taxable exchange. As a result of the deemed exchange, the Trust recognized cancellation of debt income for income tax purposes. The cancellation of debt income is calculated as the difference in the fair value of the Senior Notes as of the original issuance date and the fair value of the Senior Notes on the date of the entry into the Indenture Forbearance Agreement. The cancellation of debt income resulted in additional income tax expense at the Trust of approximately $9.9 million during the quarter ended September 30, 2025.</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computation of the annual estimated effective tax rate for each interim period requires certain assumptions, estimates, and significant judgment, including with respect to the projected operating income for the year, projections of income earned and taxes incurred in various jurisdictions, permanent and temporary differences and the likelihood of recovering deferred tax assets. The accounting estimates used to compute the provision for income taxes may change as new events occur, as additional information is obtained, as our tax structure changes or as the tax laws change. Certain foreign operations are subject to foreign income taxation under existing provisions of the laws of those jurisdictions.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0" w:name="page41"/>
    <w:bookmarkEnd w:id="40"/>
    <w:p>
      <w:pPr>
        <w:spacing w:after="0" w:line="287" w:lineRule="auto"/>
        <w:rPr>
          <w:sz w:val="20"/>
          <w:szCs w:val="20"/>
          <w:color w:val="auto"/>
        </w:rPr>
      </w:pPr>
      <w:r>
        <w:rPr>
          <w:rFonts w:ascii="Arial" w:cs="Arial" w:eastAsia="Arial" w:hAnsi="Arial"/>
          <w:sz w:val="18"/>
          <w:szCs w:val="18"/>
          <w:color w:val="auto"/>
        </w:rPr>
        <w:t>The reconciliation between the Federal Statutory Rate and the effective income tax rate for the nine months ended September 30, 2025 and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83185</wp:posOffset>
            </wp:positionV>
            <wp:extent cx="22974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19" w:lineRule="exact"/>
        <w:rPr>
          <w:sz w:val="20"/>
          <w:szCs w:val="20"/>
          <w:color w:val="auto"/>
        </w:rPr>
      </w:pPr>
    </w:p>
    <w:p>
      <w:pPr>
        <w:ind w:left="7620"/>
        <w:spacing w:after="0"/>
        <w:rPr>
          <w:sz w:val="20"/>
          <w:szCs w:val="20"/>
          <w:color w:val="auto"/>
        </w:rPr>
      </w:pPr>
      <w:r>
        <w:rPr>
          <w:rFonts w:ascii="Arial" w:cs="Arial" w:eastAsia="Arial" w:hAnsi="Arial"/>
          <w:sz w:val="15"/>
          <w:szCs w:val="15"/>
          <w:b w:val="1"/>
          <w:bCs w:val="1"/>
          <w:color w:val="auto"/>
        </w:rPr>
        <w:t>Nine months ended September 30,</w:t>
      </w: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48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4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3"/>
          </w:tcPr>
          <w:p>
            <w:pPr>
              <w:jc w:val="right"/>
              <w:ind w:right="600"/>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top w:val="single" w:sz="8" w:color="auto"/>
            </w:tcBorders>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5"/>
                <w:szCs w:val="15"/>
                <w:b w:val="1"/>
                <w:bCs w:val="1"/>
                <w:color w:val="auto"/>
              </w:rPr>
              <w:t>(As Restated)</w:t>
            </w:r>
          </w:p>
        </w:tc>
        <w:tc>
          <w:tcPr>
            <w:tcW w:w="20" w:type="dxa"/>
            <w:vAlign w:val="bottom"/>
            <w:tcBorders>
              <w:top w:val="single" w:sz="8" w:color="auto"/>
              <w:bottom w:val="single" w:sz="8" w:color="auto"/>
            </w:tcBorders>
          </w:tcPr>
          <w:p>
            <w:pPr>
              <w:spacing w:after="0"/>
              <w:rPr>
                <w:sz w:val="17"/>
                <w:szCs w:val="17"/>
                <w:color w:val="auto"/>
              </w:rPr>
            </w:pPr>
          </w:p>
        </w:tc>
      </w:tr>
      <w:tr>
        <w:trPr>
          <w:trHeight w:val="209"/>
        </w:trPr>
        <w:tc>
          <w:tcPr>
            <w:tcW w:w="7580" w:type="dxa"/>
            <w:vAlign w:val="bottom"/>
            <w:gridSpan w:val="2"/>
          </w:tcPr>
          <w:p>
            <w:pPr>
              <w:spacing w:after="0"/>
              <w:rPr>
                <w:sz w:val="20"/>
                <w:szCs w:val="20"/>
                <w:color w:val="auto"/>
              </w:rPr>
            </w:pPr>
            <w:r>
              <w:rPr>
                <w:rFonts w:ascii="Arial" w:cs="Arial" w:eastAsia="Arial" w:hAnsi="Arial"/>
                <w:sz w:val="16"/>
                <w:szCs w:val="16"/>
                <w:color w:val="auto"/>
              </w:rPr>
              <w:t>United States Federal Statutory Rate</w:t>
            </w:r>
          </w:p>
        </w:tc>
        <w:tc>
          <w:tcPr>
            <w:tcW w:w="640" w:type="dxa"/>
            <w:vAlign w:val="bottom"/>
          </w:tcPr>
          <w:p>
            <w:pPr>
              <w:jc w:val="right"/>
              <w:spacing w:after="0"/>
              <w:rPr>
                <w:sz w:val="20"/>
                <w:szCs w:val="20"/>
                <w:color w:val="auto"/>
              </w:rPr>
            </w:pPr>
            <w:r>
              <w:rPr>
                <w:rFonts w:ascii="Arial" w:cs="Arial" w:eastAsia="Arial" w:hAnsi="Arial"/>
                <w:sz w:val="16"/>
                <w:szCs w:val="16"/>
                <w:color w:val="auto"/>
              </w:rPr>
              <w:t>21.0 %</w:t>
            </w:r>
          </w:p>
        </w:tc>
        <w:tc>
          <w:tcPr>
            <w:tcW w:w="140" w:type="dxa"/>
            <w:vAlign w:val="bottom"/>
            <w:gridSpan w:val="2"/>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21.0 %</w:t>
            </w:r>
          </w:p>
        </w:tc>
        <w:tc>
          <w:tcPr>
            <w:tcW w:w="20" w:type="dxa"/>
            <w:vAlign w:val="bottom"/>
          </w:tcPr>
          <w:p>
            <w:pPr>
              <w:spacing w:after="0"/>
              <w:rPr>
                <w:sz w:val="18"/>
                <w:szCs w:val="18"/>
                <w:color w:val="auto"/>
              </w:rPr>
            </w:pPr>
          </w:p>
        </w:tc>
      </w:tr>
      <w:tr>
        <w:trPr>
          <w:trHeight w:val="217"/>
        </w:trPr>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State income taxes (net of Federal benefits)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8"/>
                <w:szCs w:val="18"/>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8"/>
                <w:szCs w:val="18"/>
                <w:color w:val="auto"/>
              </w:rPr>
            </w:pPr>
          </w:p>
        </w:tc>
      </w:tr>
      <w:tr>
        <w:trPr>
          <w:trHeight w:val="195"/>
        </w:trPr>
        <w:tc>
          <w:tcPr>
            <w:tcW w:w="7580" w:type="dxa"/>
            <w:vAlign w:val="bottom"/>
            <w:gridSpan w:val="2"/>
          </w:tcPr>
          <w:p>
            <w:pPr>
              <w:spacing w:after="0"/>
              <w:rPr>
                <w:sz w:val="20"/>
                <w:szCs w:val="20"/>
                <w:color w:val="auto"/>
              </w:rPr>
            </w:pPr>
            <w:r>
              <w:rPr>
                <w:rFonts w:ascii="Arial" w:cs="Arial" w:eastAsia="Arial" w:hAnsi="Arial"/>
                <w:sz w:val="16"/>
                <w:szCs w:val="16"/>
                <w:color w:val="auto"/>
              </w:rPr>
              <w:t>Foreign income taxes</w:t>
            </w: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r>
      <w:tr>
        <w:trPr>
          <w:trHeight w:val="217"/>
        </w:trPr>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Impact of subsidiary employee stock options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8"/>
                <w:szCs w:val="18"/>
                <w:color w:val="auto"/>
              </w:rPr>
            </w:pPr>
          </w:p>
        </w:tc>
      </w:tr>
      <w:tr>
        <w:trPr>
          <w:trHeight w:val="195"/>
        </w:trPr>
        <w:tc>
          <w:tcPr>
            <w:tcW w:w="7580" w:type="dxa"/>
            <w:vAlign w:val="bottom"/>
            <w:gridSpan w:val="2"/>
          </w:tcPr>
          <w:p>
            <w:pPr>
              <w:spacing w:after="0"/>
              <w:rPr>
                <w:sz w:val="20"/>
                <w:szCs w:val="20"/>
                <w:color w:val="auto"/>
              </w:rPr>
            </w:pPr>
            <w:r>
              <w:rPr>
                <w:rFonts w:ascii="Arial" w:cs="Arial" w:eastAsia="Arial" w:hAnsi="Arial"/>
                <w:sz w:val="16"/>
                <w:szCs w:val="16"/>
                <w:color w:val="auto"/>
              </w:rPr>
              <w:t>Non-deductible acquisition costs</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6"/>
                <w:szCs w:val="16"/>
                <w:color w:val="auto"/>
              </w:rPr>
            </w:pPr>
          </w:p>
        </w:tc>
      </w:tr>
      <w:tr>
        <w:trPr>
          <w:trHeight w:val="217"/>
        </w:trPr>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Utilization of tax credits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shd w:val="clear" w:color="auto" w:fill="CCEEFF"/>
          </w:tcPr>
          <w:p>
            <w:pPr>
              <w:spacing w:after="0"/>
              <w:rPr>
                <w:sz w:val="18"/>
                <w:szCs w:val="18"/>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shd w:val="clear" w:color="auto" w:fill="CCEEFF"/>
          </w:tcPr>
          <w:p>
            <w:pPr>
              <w:spacing w:after="0"/>
              <w:rPr>
                <w:sz w:val="18"/>
                <w:szCs w:val="18"/>
                <w:color w:val="auto"/>
              </w:rPr>
            </w:pPr>
          </w:p>
        </w:tc>
      </w:tr>
      <w:tr>
        <w:trPr>
          <w:trHeight w:val="195"/>
        </w:trPr>
        <w:tc>
          <w:tcPr>
            <w:tcW w:w="7580" w:type="dxa"/>
            <w:vAlign w:val="bottom"/>
            <w:gridSpan w:val="2"/>
          </w:tcPr>
          <w:p>
            <w:pPr>
              <w:spacing w:after="0"/>
              <w:rPr>
                <w:sz w:val="20"/>
                <w:szCs w:val="20"/>
                <w:color w:val="auto"/>
              </w:rPr>
            </w:pPr>
            <w:r>
              <w:rPr>
                <w:rFonts w:ascii="Arial" w:cs="Arial" w:eastAsia="Arial" w:hAnsi="Arial"/>
                <w:sz w:val="16"/>
                <w:szCs w:val="16"/>
                <w:color w:val="auto"/>
              </w:rPr>
              <w:t>Non-recognition of various carryforwards at subsidiaries</w:t>
            </w:r>
          </w:p>
        </w:tc>
        <w:tc>
          <w:tcPr>
            <w:tcW w:w="640" w:type="dxa"/>
            <w:vAlign w:val="bottom"/>
          </w:tcPr>
          <w:p>
            <w:pPr>
              <w:jc w:val="right"/>
              <w:spacing w:after="0"/>
              <w:rPr>
                <w:sz w:val="20"/>
                <w:szCs w:val="20"/>
                <w:color w:val="auto"/>
              </w:rPr>
            </w:pPr>
            <w:r>
              <w:rPr>
                <w:rFonts w:ascii="Arial" w:cs="Arial" w:eastAsia="Arial" w:hAnsi="Arial"/>
                <w:sz w:val="16"/>
                <w:szCs w:val="16"/>
                <w:color w:val="auto"/>
              </w:rPr>
              <w:t>(38.2)</w:t>
            </w:r>
          </w:p>
        </w:tc>
        <w:tc>
          <w:tcPr>
            <w:tcW w:w="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16"/>
                <w:szCs w:val="16"/>
                <w:color w:val="auto"/>
              </w:rPr>
            </w:pPr>
          </w:p>
        </w:tc>
      </w:tr>
      <w:tr>
        <w:trPr>
          <w:trHeight w:val="217"/>
        </w:trPr>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United States tax on foreign income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18"/>
                <w:szCs w:val="18"/>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18"/>
                <w:szCs w:val="18"/>
                <w:color w:val="auto"/>
              </w:rPr>
            </w:pPr>
          </w:p>
        </w:tc>
      </w:tr>
      <w:tr>
        <w:trPr>
          <w:trHeight w:val="195"/>
        </w:trPr>
        <w:tc>
          <w:tcPr>
            <w:tcW w:w="7580" w:type="dxa"/>
            <w:vAlign w:val="bottom"/>
            <w:gridSpan w:val="2"/>
          </w:tcPr>
          <w:p>
            <w:pPr>
              <w:spacing w:after="0"/>
              <w:rPr>
                <w:sz w:val="20"/>
                <w:szCs w:val="20"/>
                <w:color w:val="auto"/>
              </w:rPr>
            </w:pPr>
            <w:r>
              <w:rPr>
                <w:rFonts w:ascii="Arial" w:cs="Arial" w:eastAsia="Arial" w:hAnsi="Arial"/>
                <w:sz w:val="16"/>
                <w:szCs w:val="16"/>
                <w:color w:val="auto"/>
              </w:rPr>
              <w:t>Impairment expense</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6"/>
                <w:szCs w:val="16"/>
                <w:color w:val="auto"/>
              </w:rPr>
            </w:pPr>
          </w:p>
        </w:tc>
      </w:tr>
      <w:tr>
        <w:trPr>
          <w:trHeight w:val="217"/>
        </w:trPr>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Tax effect - loss on sale of Crosman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18"/>
                <w:szCs w:val="18"/>
                <w:color w:val="auto"/>
              </w:rPr>
            </w:pPr>
          </w:p>
        </w:tc>
      </w:tr>
      <w:tr>
        <w:trPr>
          <w:trHeight w:val="195"/>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0" w:type="dxa"/>
            <w:vAlign w:val="bottom"/>
            <w:tcBorders>
              <w:bottom w:val="single" w:sz="8" w:color="auto"/>
            </w:tcBorders>
          </w:tcPr>
          <w:p>
            <w:pPr>
              <w:spacing w:after="0"/>
              <w:rPr>
                <w:sz w:val="16"/>
                <w:szCs w:val="16"/>
                <w:color w:val="auto"/>
              </w:rPr>
            </w:pPr>
          </w:p>
        </w:tc>
      </w:tr>
      <w:tr>
        <w:trPr>
          <w:trHeight w:val="230"/>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Effective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shd w:val="clear" w:color="auto" w:fill="CCEEFF"/>
          </w:tcPr>
          <w:p>
            <w:pPr>
              <w:spacing w:after="0"/>
              <w:rPr>
                <w:sz w:val="20"/>
                <w:szCs w:val="20"/>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-1688465</wp:posOffset>
            </wp:positionV>
            <wp:extent cx="1714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Defined Benefit Plan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unfunded liability of $3.2 million is recognized in the consolidated balance sheet as a component of other non-current liabilities at September 30, 2025. Net periodic benefit cost consists of the following for the three and nine months ended September 30, 2025 and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102870</wp:posOffset>
            </wp:positionV>
            <wp:extent cx="42691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p>
      <w:pPr>
        <w:spacing w:after="0" w:line="170" w:lineRule="exact"/>
        <w:rPr>
          <w:sz w:val="20"/>
          <w:szCs w:val="20"/>
          <w:color w:val="auto"/>
        </w:rPr>
      </w:pPr>
    </w:p>
    <w:p>
      <w:pPr>
        <w:jc w:val="center"/>
        <w:ind w:left="4480"/>
        <w:spacing w:after="0"/>
        <w:rPr>
          <w:sz w:val="20"/>
          <w:szCs w:val="20"/>
          <w:color w:val="auto"/>
        </w:rPr>
      </w:pPr>
      <w:r>
        <w:rPr>
          <w:rFonts w:ascii="Arial" w:cs="Arial" w:eastAsia="Arial" w:hAnsi="Arial"/>
          <w:sz w:val="15"/>
          <w:szCs w:val="15"/>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22860</wp:posOffset>
            </wp:positionV>
            <wp:extent cx="2108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4" w:lineRule="exact"/>
        <w:rPr>
          <w:sz w:val="20"/>
          <w:szCs w:val="20"/>
          <w:color w:val="auto"/>
        </w:rPr>
      </w:pPr>
    </w:p>
    <w:p>
      <w:pPr>
        <w:ind w:left="4900"/>
        <w:spacing w:after="0"/>
        <w:tabs>
          <w:tab w:leader="none" w:pos="6600" w:val="left"/>
        </w:tabs>
        <w:rPr>
          <w:sz w:val="20"/>
          <w:szCs w:val="20"/>
          <w:color w:val="auto"/>
        </w:rPr>
      </w:pPr>
      <w:r>
        <w:rPr>
          <w:rFonts w:ascii="Arial" w:cs="Arial" w:eastAsia="Arial" w:hAnsi="Arial"/>
          <w:sz w:val="15"/>
          <w:szCs w:val="15"/>
          <w:b w:val="1"/>
          <w:bCs w:val="1"/>
          <w:color w:val="auto"/>
        </w:rPr>
        <w:t>2025</w:t>
      </w:r>
      <w:r>
        <w:rPr>
          <w:sz w:val="20"/>
          <w:szCs w:val="20"/>
          <w:color w:val="auto"/>
        </w:rPr>
        <w:tab/>
      </w:r>
      <w:r>
        <w:rPr>
          <w:rFonts w:ascii="Arial" w:cs="Arial" w:eastAsia="Arial" w:hAnsi="Arial"/>
          <w:sz w:val="15"/>
          <w:szCs w:val="15"/>
          <w:b w:val="1"/>
          <w:bCs w:val="1"/>
          <w:color w:val="auto"/>
        </w:rPr>
        <w:t>2024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620"/>
        <w:spacing w:after="0"/>
        <w:rPr>
          <w:sz w:val="20"/>
          <w:szCs w:val="20"/>
          <w:color w:val="auto"/>
        </w:rPr>
      </w:pPr>
      <w:r>
        <w:rPr>
          <w:rFonts w:ascii="Arial" w:cs="Arial" w:eastAsia="Arial" w:hAnsi="Arial"/>
          <w:sz w:val="15"/>
          <w:szCs w:val="15"/>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22860</wp:posOffset>
            </wp:positionV>
            <wp:extent cx="20745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4" w:lineRule="exact"/>
        <w:rPr>
          <w:sz w:val="20"/>
          <w:szCs w:val="20"/>
          <w:color w:val="auto"/>
        </w:rPr>
      </w:pPr>
    </w:p>
    <w:p>
      <w:pPr>
        <w:ind w:left="240"/>
        <w:spacing w:after="0"/>
        <w:tabs>
          <w:tab w:leader="none" w:pos="1900" w:val="left"/>
        </w:tabs>
        <w:rPr>
          <w:sz w:val="20"/>
          <w:szCs w:val="20"/>
          <w:color w:val="auto"/>
        </w:rPr>
      </w:pPr>
      <w:r>
        <w:rPr>
          <w:rFonts w:ascii="Arial" w:cs="Arial" w:eastAsia="Arial" w:hAnsi="Arial"/>
          <w:sz w:val="15"/>
          <w:szCs w:val="15"/>
          <w:b w:val="1"/>
          <w:bCs w:val="1"/>
          <w:color w:val="auto"/>
        </w:rPr>
        <w:t>2025</w:t>
      </w:r>
      <w:r>
        <w:rPr>
          <w:sz w:val="20"/>
          <w:szCs w:val="20"/>
          <w:color w:val="auto"/>
        </w:rPr>
        <w:tab/>
      </w:r>
      <w:r>
        <w:rPr>
          <w:rFonts w:ascii="Arial" w:cs="Arial" w:eastAsia="Arial" w:hAnsi="Arial"/>
          <w:sz w:val="15"/>
          <w:szCs w:val="15"/>
          <w:b w:val="1"/>
          <w:bCs w:val="1"/>
          <w:color w:val="auto"/>
        </w:rPr>
        <w:t>2024</w:t>
      </w:r>
    </w:p>
    <w:p>
      <w:pPr>
        <w:spacing w:after="0" w:line="36" w:lineRule="exact"/>
        <w:rPr>
          <w:sz w:val="20"/>
          <w:szCs w:val="20"/>
          <w:color w:val="auto"/>
        </w:rPr>
      </w:pPr>
    </w:p>
    <w:p>
      <w:pPr>
        <w:sectPr>
          <w:pgSz w:w="11900" w:h="16838" w:orient="portrait"/>
          <w:cols w:equalWidth="0" w:num="2">
            <w:col w:w="7400" w:space="720"/>
            <w:col w:w="3120"/>
          </w:cols>
          <w:pgMar w:left="320" w:top="1052" w:right="339" w:bottom="1440" w:gutter="0" w:footer="0" w:header="0"/>
          <w:type w:val="continuous"/>
        </w:sectPr>
      </w:pPr>
    </w:p>
    <w:tbl>
      <w:tblPr>
        <w:tblLayout w:type="fixed"/>
        <w:tblInd w:w="260" w:type="dxa"/>
        <w:tblCellMar>
          <w:top w:w="0" w:type="dxa"/>
          <w:left w:w="0" w:type="dxa"/>
          <w:bottom w:w="0" w:type="dxa"/>
          <w:right w:w="0" w:type="dxa"/>
        </w:tblCellMar>
      </w:tblP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Service cost</w:t>
            </w: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15"/>
        </w:trPr>
        <w:tc>
          <w:tcPr>
            <w:tcW w:w="4020" w:type="dxa"/>
            <w:vAlign w:val="bottom"/>
          </w:tcPr>
          <w:p>
            <w:pPr>
              <w:spacing w:after="0"/>
              <w:rPr>
                <w:sz w:val="20"/>
                <w:szCs w:val="20"/>
                <w:color w:val="auto"/>
              </w:rPr>
            </w:pPr>
            <w:r>
              <w:rPr>
                <w:rFonts w:ascii="Arial" w:cs="Arial" w:eastAsia="Arial" w:hAnsi="Arial"/>
                <w:sz w:val="16"/>
                <w:szCs w:val="16"/>
                <w:color w:val="auto"/>
              </w:rPr>
              <w:t>Interest cost</w:t>
            </w: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7"/>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5"/>
        </w:trPr>
        <w:tc>
          <w:tcPr>
            <w:tcW w:w="4020" w:type="dxa"/>
            <w:vAlign w:val="bottom"/>
          </w:tcPr>
          <w:p>
            <w:pPr>
              <w:spacing w:after="0"/>
              <w:rPr>
                <w:sz w:val="20"/>
                <w:szCs w:val="20"/>
                <w:color w:val="auto"/>
              </w:rPr>
            </w:pPr>
            <w:r>
              <w:rPr>
                <w:rFonts w:ascii="Arial" w:cs="Arial" w:eastAsia="Arial" w:hAnsi="Arial"/>
                <w:sz w:val="16"/>
                <w:szCs w:val="16"/>
                <w:color w:val="auto"/>
              </w:rPr>
              <w:t>Amortization of prior service cost</w:t>
            </w: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unrecognized loss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settlement</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35"/>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periodic benefit cost</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During the nine months ended September 30,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per the terms of the pension agreement, Arnold contributed approximately $0.5 million to the plan. For the remainder of 2025, the expected contribution to the plan will be approximately $0.1 million.</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September 30, 2025 were considered Level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Matters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and its subsidiaries are subject to legal proceedings and claims that arise in the ordinary course of business. A liability for a loss contingency is accrued when it is both probable that a liability has been incurred and the amount of the loss can be reasonably estimated. For all other material loss contingencies, including those where the loss is reasonably possible or where the amount cannot be reasonably estimated, the Company discloses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41" w:name="page42"/>
    <w:bookmarkEnd w:id="41"/>
    <w:p>
      <w:pPr>
        <w:jc w:val="both"/>
        <w:spacing w:after="0" w:line="268" w:lineRule="auto"/>
        <w:rPr>
          <w:sz w:val="20"/>
          <w:szCs w:val="20"/>
          <w:color w:val="auto"/>
        </w:rPr>
      </w:pPr>
      <w:r>
        <w:rPr>
          <w:rFonts w:ascii="Arial" w:cs="Arial" w:eastAsia="Arial" w:hAnsi="Arial"/>
          <w:sz w:val="18"/>
          <w:szCs w:val="18"/>
          <w:color w:val="auto"/>
        </w:rPr>
        <w:t>nature of the contingency. The Lugano Investigation and the restatement of our previously issued consolidated financial statements for the periods ended at December 31, 2024, 2023 and 2022, may result in additional stockholder litigation, regulatory investigations and additional liabilities in future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Court Action Naming Lugano and the Company as Defendants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24, 2025, a complaint was filed against the Company and others in Superior Court of the State of California, Orange County, styled Champion Force Industrial Limited v. Lugano Diamonds &amp; Jewelry Inc., et al., Case Number 30–2025–01499613– CU–BC–CJC–ROA. Plaintiff alleges it is a vendor of diamonds and finished jewelry to Lugano and seeks in excess of $56 million in damages, principally for unpaid goods. Champion asserts claims for breach of contract, goods had and received, conversion, fraud, promissory estoppel, unjust enrichment, and fraudulent conveyance. On September 12, 2025, CODI filed a motion to quash due to lack of personal jurisdiction. That motion currently is set to be heard in January 2026. On January 12, 2026, plaintiff filed a stipulation and proposed order substituting Royal T Diamonds Group Ltd. aka Royal T. Diamonds Ltd., assignee of Champion Force’s claims, as plaintiff in place of Champion Force. The foregoing matter is in the early stages and the Company is currently unable to determine the likelihood of an unfavorable outcome.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below under the heading Impact of Lugano Chapter 11 Filing on Lugano Claims and Litigation this matter is subject to an automatic stay that prohibits, among other things, the continuation of this action against Lugano, as debtor, outside of the bankruptcy process. If Lugano is determined to be a necessary party to this litigation, it is possible that the litigation may also be stayed as against the Company. Presently, the Company currently remains a defendant in this case but believes that it can avail itself of certain defenses to these claims and intends to vigorously defend itself.</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an accrual of $ 52.7 million as of September 30, 2025 related to certain current contractual obligations to Lugano’s vendors, including Champion Force, in accordance with applicable accounting standards. The Company intends to avail itself of all available defenses in the Champion litigation. The Company is unable to reasonably estimate any additional loss or range of possible loss, if any, that may result from the Champion litigation or whether such loss or range of possible loss would be less than, equal or exceed the amounts accrued in respect of Lugano’s contract with Champion Force.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Lugano-Specific Claims and Threatened Claims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from approximately April 1, 2025 to November 21, 2025, litigation has been threatened and initiated by counterparties to transactions that appear to have been overseen by Lugano’s former CEO, Moti Ferder, who resigned effective May 7, 2025. The vast majority involve purported investment arrangements whereby the claimant delivered a specified dollar amount to Lugano in exchange for either (a) a profits interest in the future sale of a specified diamond(s), or (b) a guaranteed interest rate (collectively, “Diamond Financing Arrangements”).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Diamond Financing Arrangements are the subject of current litigation, primarily in California State court, and the majority of the plaintiffs in these cases have presented similar fact patterns and are primarily seeking damages for alleged losses of principal amounts invested (“Diamond Financing Litigation”). The total damages being sought by all plaintiffs in Diamond Financing Litigation, is approximately $32.2 million, plus interest and penalties, in most cases. The Diamond Financing Litigation is in the early stages and the Company is currently unable to determine the likelihood of an unfavorable outcome for any or all of these cases. At this time, management has determined that a loss is reasonably possible; however, management cannot currently reasonably estimate such loss or range of potential loss associated with the Diamond Financing Litigation.</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below under the heading Impact of Lugano Chapter 11 Filing on Lugano Claims and Litigation, the Diamond Financing Litigation is subject to an automatic stay that prohibits, among other things, the continuation of these actions against Lugano, as debtor, outside of the bankruptcy process. The Company was named as a co-defendant in one Diamond Financing Litigation matter for which the plaintiff is seeking approximately $1.4 million in damages, plus interest and penalties. If Lugano is determined to be a necessary party to this litigation, it is possible that the litigation may also be stayed as against the Company. Nonetheless, the Company believes that it can avail itself of certain defenses to this claim and intends to vigorously defend itself.</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not the subject of active litigation, claims have been asserted against Lugano and legal action has been threatened by parties to alleged Diamond Financing Arrangements (the “Diamond Financing Arrangement Claims”). At this time, management has determined that a loss resulting from the Diamond Financing Arrangement Claims is reasonably possible; however, management cannot currently reasonably estimate such loss or range of potential loss.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The Company has recorded an accrual of $174.2 million as of September 30, 2025 of estimated principal as short-term debt and accrued interest expense in its condensed consolidated financial statements related to previously undisclosed financing arrangements at Lugano, in accordance with applicable accounting standards, although such financing arrangements are subject to dispute. The Company intends to avail itself of all available defenses in the Diamond Financing Litigation (or any Diamond Financing Arrangement Claim or other Diamond Financing Arrangements for which claims may arise). The Company is unable to reasonably estimate any additional loss or range of possible loss, if any, that may result from the Diamond Financing Litigation (or any Diamond Financing Arrangement Claim or other Diamond Financing Arrangements for which claims may arise) or whether such loss or range of possible loss would be less than, equal to or exceed the amounts accrued in respect of the previously undisclosed financing arrangements at Lugano.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Lugano Chapter 11 Filing on Lugano Claims and Litigation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16, 2025, Lugano Holding, Inc. and certain of its subsidiaries, filed voluntary Chapter 11 petitions under the United States Bankruptcy Code in the United States Bankruptcy Court for the District of Delaware. Upon the filing of a bankruptcy petition, Section 362 of the Bankruptcy Code imposes an automatic stay that prohibits, among other things, the commencement or continuation of numerous actions against the debtor entity (in this case, Lugano), which include all lawsuits and collection efforts. The stay goes into effect immediately upon the bankruptcy filing without any further action by the debtor entity or any other party. The automatic stay remains in place until resolution of the bankruptcy case, or until otherwise waived by the debtor. The automatic stay generally protects only the debtor and does not usually extend to non-debtor parties who may be the subject of claims or litigation, including co-defendants named in litigation where Lugano is also defendant. In certain circumstances, a court may extend the stay to non-debtors if the debtor entity is a necessary party to the action. Thus, upon the filing of its bankruptcy petition, the automatic stay will immediately go into effect and prohibit further litigation against Lugano in courts outside of the Bankruptcy Court but will not necessarily prohibit continuation of actions against the Company in Lugano-related matters.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Class Actions Involving the Company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Between May 9, 2025, and June 25, 2025, three putative class actions were commenced against the Company and certain of the Company’s officers and directors in the United States District Court for the Central District of California, asserting claims under Sections 10(b) and 20(a) of the Securities Exchange Act of 1934 (the “Exchange Act”), and SEC Rule 10b-5 promulgated thereunder. On August 22, 2025, the three cases in the Central District of California were consolidated under the caption In re: Compass Securities Litigation, 8:25-cv-00981, before Judge Monica Ramirez Almadani. In the same order consolidating the cases, the Court also appointed the Eastern Atlantic States Carpenters Benefit Funds (“EAS Carpenters”) as the Lead Plaintiff in the consolidated action, pursuant to provisions of the Private Securities Litigation Reform Act (the “PSLRA”). The law firm of Cohen Milstein Sellers &amp; Toll PLLC (“Cohen Milstein”) was appointed as Lead Counsel pursuant to the PSLRA. On December 10, 2025, with the Court’s approval, Lead Plaintiff voluntarily dismissed this consolidated action so that it could pursue its claims in the District of Connecticut.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2025, a putative class action was commenced against the Company and certain of its officers and directors in the United States District Court for the District of Connecticut, captioned Moreno v. Compass Diversified Holdings LLC, et al., No. 3:25-cv-00758-AWT (the “Moreno Action”). The plaintiff asserted claims under Sections 10(b) and 20(a) of the Exchange Act, and S.E.C. Rule 10b-5 promulgated thereunder. By order dated July 21, 2025, EAS Carpenters was appointed Lead Plaintiff and Cohen Milstein was appointed Lead Counsel under the PSLRA. Lead Plaintiff must file its amended complaint on or before February 6, 2026.</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foregoing matters are in the early stages and the Company is currently unable to determine the likelihood of an unfavorable outcome. At this time, management has determined that a loss is reasonably possible but cannot reasonably estimate a range of potential loss. The Company believes it has strong defenses available to it and intends to vigorously defend itself.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Actions Involving the Company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5, 2025, a Company shareholder commenced a shareholder derivative action in the United States District Court for the Central District of California, captioned Jones v. Sabo, et al., Case No. 25-cv-05098 (the “Jones Action”). The shareholder purports to assert claims on behalf of the Company against Defendants Elias Sabo, Larry Enterline, Alexander Bhathal, James Bottiglieri, Gordon Burns, Harold Edwards, Heidi Locke Simon, Nancy Mahon, Teri Shaffer, Stephen Keller, Ryan Faulkingham, and former Company officers and directors who were named as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defendants. The plaintiff asserts causes of action for breach of fiduciary duty and violations of Section 14(a) of the Exchange Act.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17, 2025, a Company shareholder commenced a second shareholder derivative action in the United States District Court for the Central District of California, captioned Kelly v. Sabo, et al., Case No. 25-cv-05098 (the “Kelly Action”). The plaintiff in the Kelly Action asserts the same causes of action, against the same defendants, as in the Jones Action.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6, 2025, the parties to the Jones Action and the Kelly Action filed a stipulation and proposed order to consolidate the two actions and to stay the actions, pending certain future events (including resolution of any motions to dismiss in the federal securities class actions). The stipulation has been filed in the Jones case, before Judge Ewusi-Mensah Frimpong, but has not yet been signed by the Court.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11, 2025, a shareholder of the Company filed a shareholder derivative action in the United States District Court for the District of Connecticut captioned Kamp v. Sabo, et al., Case No. 3:25-cv-01505 (the “Kamp Action”). The shareholder purports to assert claims on behalf of CODI against Defendants Elias Sabo, Ryan Faulkingham, Stephen Keller, Patrick Maciariello, Alexander Bhathal, James Bottiglieri, Gordon Burns, Harold Edwards, Larry Enterline, Nancy Mahon, Teri R. Shaffer and Heidi Locke Simon. Plaintiff asserts causes of action for inter alia, violations of the Securities Exchange Act of 1934 and breaches of fiduciary duty.</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7, 2025, another shareholder of the Company commenced a shareholder derivative action in the United States District Court for the District of Connecticut captioned Sulger v. Sabo, et al., Case No. 3:25-cv-01689 (the “Sulger Action”). The plaintiff in the Sulger Action asserts materially identical claims against the same defendants as in the Kamp Action.</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October 9, 2025, a shareholder of CODI commenced a shareholder derivative action in the United State District Court for the District of Connecticut captioned Moore v. Sabo, et al., Case No. 3:25-cv-01707 (the “Moore Action”). The shareholder asserts similar claims against the same defendants as in the Kamp and Sulger actions.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8, 2025, the Court consolidated these three cases, which now will be referred to as In re Compass Diversified Holdings Derivative Litigation, Case No. 3:25-cv-01505-AWT. This case is pending before District Court Judge Alvin Thompson, who is also presiding over the federal securities class action. On January 12, 2026, the parties filed a stipulation and proposed order to stay the action pending further developments in the federal securities class action. The Court entered that order on January 13, 2026</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foregoing matters are in the early stages and the Company is currently unable to determine the likelihood of an unfavorable outcome. At this time, management has determined that a loss is reasonably possible but cannot reasonably estimate a range of potential loss. The Company believes it has strong defenses available to it and intends to vigorously defend itself.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External Investigations and Reviews Involving the Company and Lugano</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Company’s withdrawal of reliance on its 2024, 2023, and 2022 financial statements, its failure to timely file its financial statements for the quarters ended at March 31, 2025 and June 30, 2025, and the underlying conduct at the Company’s Lugano subsidiary, there are ongoing investigations initiated by the United States Securities Exchange Commission (“SEC”) and Department of Justice (“DOJ”). The regulatory investigative process is inherently uncertain the foregoing investigations are in the early stages. Additionally, the Financial Industry Regulatory Authority (“FINRA”) initiated a routine review of trading activity in the Company’s securities following the public announcement of the restatement. On November 17, 2025, the Company received notification from FINRA that its review had been completed and had referred the matter to the SEC for whatever actions the SEC deems appropriate, if any. The Company and Lugano have cooperated and continue to cooperate fully with each investigation and review.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lease office and manufacturing facilities, computer equipment and software under various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certain operating metrics. The variable lease expense was not a material component of our total lease expense for the three and nine months ended September 30, 2025 and 2024. The Company recognized $13.6 million and $39.9 million in the three and nine months ended September 30, 2025, respectively and $ 18.3 million and $45.7 million in the three and nine months ended September 30, 2024, respectively, in expense related to operating leases in the condensed consolidated statements of operations. The Company entered into one finance lease in the fourth quarter of 2024. In the three and nine months ended September 30, 2025, the Company recognized $0.2 million and $0.5 million, respectively, in interest expense related to its finance lease.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September 30, 2025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9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Operating</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Finance</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43"/>
        </w:trPr>
        <w:tc>
          <w:tcPr>
            <w:tcW w:w="394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2025 (excluding the nine months ended September</w:t>
            </w:r>
          </w:p>
        </w:tc>
        <w:tc>
          <w:tcPr>
            <w:tcW w:w="1480" w:type="dxa"/>
            <w:vAlign w:val="bottom"/>
            <w:vMerge w:val="restart"/>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14,662</w:t>
            </w:r>
          </w:p>
        </w:tc>
        <w:tc>
          <w:tcPr>
            <w:tcW w:w="12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14,842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30, 2025)</w:t>
            </w:r>
          </w:p>
        </w:tc>
        <w:tc>
          <w:tcPr>
            <w:tcW w:w="14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2026</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57,426</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58,145</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49,628</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56,668</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2028</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39,202</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39,202</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29,717</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29,717</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92,142</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92,142</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1480" w:type="dxa"/>
            <w:vAlign w:val="bottom"/>
            <w:tcBorders>
              <w:top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282,777</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290,716</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62,705</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63,768</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220,072</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226,948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calculated amount of the right-of-use assets and lease liabilities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As the discount rate is rarely determinable, the Company utilizes the incremental borrowing rate of the subsidiary entering into the lease arrangement, on a collateralized basis, over a similar term as adjusted for any country specific risk.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w:t>
      </w:r>
    </w:p>
    <w:p>
      <w:pPr>
        <w:spacing w:after="0" w:line="237"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466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21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5"/>
                <w:szCs w:val="15"/>
                <w:b w:val="1"/>
                <w:bCs w:val="1"/>
                <w:color w:val="auto"/>
              </w:rPr>
              <w:t>September 30, 2025</w:t>
            </w:r>
          </w:p>
        </w:tc>
        <w:tc>
          <w:tcPr>
            <w:tcW w:w="120" w:type="dxa"/>
            <w:vAlign w:val="bottom"/>
          </w:tcPr>
          <w:p>
            <w:pPr>
              <w:spacing w:after="0"/>
              <w:rPr>
                <w:sz w:val="15"/>
                <w:szCs w:val="15"/>
                <w:color w:val="auto"/>
              </w:rPr>
            </w:pPr>
          </w:p>
        </w:tc>
        <w:tc>
          <w:tcPr>
            <w:tcW w:w="21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5"/>
                <w:szCs w:val="15"/>
                <w:b w:val="1"/>
                <w:bCs w:val="1"/>
                <w:color w:val="auto"/>
              </w:rPr>
              <w:t>September 30, 2024</w:t>
            </w:r>
          </w:p>
        </w:tc>
      </w:tr>
      <w:tr>
        <w:trPr>
          <w:trHeight w:val="20"/>
        </w:trPr>
        <w:tc>
          <w:tcPr>
            <w:tcW w:w="222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4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5"/>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Operating Leases</w:t>
            </w:r>
          </w:p>
        </w:tc>
        <w:tc>
          <w:tcPr>
            <w:tcW w:w="2160" w:type="dxa"/>
            <w:vAlign w:val="bottom"/>
            <w:gridSpan w:val="2"/>
          </w:tcPr>
          <w:p>
            <w:pPr>
              <w:jc w:val="right"/>
              <w:ind w:right="20"/>
              <w:spacing w:after="0"/>
              <w:rPr>
                <w:sz w:val="20"/>
                <w:szCs w:val="20"/>
                <w:color w:val="auto"/>
              </w:rPr>
            </w:pPr>
            <w:r>
              <w:rPr>
                <w:rFonts w:ascii="Arial" w:cs="Arial" w:eastAsia="Arial" w:hAnsi="Arial"/>
                <w:sz w:val="16"/>
                <w:szCs w:val="16"/>
                <w:color w:val="auto"/>
              </w:rPr>
              <w:t>6.22</w:t>
            </w:r>
          </w:p>
        </w:tc>
        <w:tc>
          <w:tcPr>
            <w:tcW w:w="2280" w:type="dxa"/>
            <w:vAlign w:val="bottom"/>
            <w:gridSpan w:val="3"/>
          </w:tcPr>
          <w:p>
            <w:pPr>
              <w:jc w:val="right"/>
              <w:ind w:right="20"/>
              <w:spacing w:after="0"/>
              <w:rPr>
                <w:sz w:val="20"/>
                <w:szCs w:val="20"/>
                <w:color w:val="auto"/>
              </w:rPr>
            </w:pPr>
            <w:r>
              <w:rPr>
                <w:rFonts w:ascii="Arial" w:cs="Arial" w:eastAsia="Arial" w:hAnsi="Arial"/>
                <w:sz w:val="16"/>
                <w:szCs w:val="16"/>
                <w:color w:val="auto"/>
              </w:rPr>
              <w:t>6.18</w:t>
            </w:r>
          </w:p>
        </w:tc>
      </w:tr>
      <w:tr>
        <w:trPr>
          <w:trHeight w:val="217"/>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n/a</w:t>
            </w:r>
          </w:p>
        </w:tc>
      </w:tr>
      <w:tr>
        <w:trPr>
          <w:trHeight w:val="215"/>
        </w:trPr>
        <w:tc>
          <w:tcPr>
            <w:tcW w:w="466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9.12 %</w:t>
            </w:r>
          </w:p>
        </w:tc>
        <w:tc>
          <w:tcPr>
            <w:tcW w:w="20" w:type="dxa"/>
            <w:vAlign w:val="bottom"/>
            <w:shd w:val="clear" w:color="auto" w:fill="CCEEFF"/>
          </w:tcPr>
          <w:p>
            <w:pPr>
              <w:spacing w:after="0"/>
              <w:rPr>
                <w:sz w:val="18"/>
                <w:szCs w:val="18"/>
                <w:color w:val="auto"/>
              </w:rPr>
            </w:pP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8.68 %</w:t>
            </w:r>
          </w:p>
        </w:tc>
        <w:tc>
          <w:tcPr>
            <w:tcW w:w="20" w:type="dxa"/>
            <w:vAlign w:val="bottom"/>
            <w:shd w:val="clear" w:color="auto" w:fill="CCEEFF"/>
          </w:tcPr>
          <w:p>
            <w:pPr>
              <w:spacing w:after="0"/>
              <w:rPr>
                <w:sz w:val="18"/>
                <w:szCs w:val="18"/>
                <w:color w:val="auto"/>
              </w:rPr>
            </w:pPr>
          </w:p>
        </w:tc>
      </w:tr>
      <w:tr>
        <w:trPr>
          <w:trHeight w:val="195"/>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Finance Leases</w:t>
            </w:r>
          </w:p>
        </w:tc>
        <w:tc>
          <w:tcPr>
            <w:tcW w:w="2140" w:type="dxa"/>
            <w:vAlign w:val="bottom"/>
          </w:tcPr>
          <w:p>
            <w:pPr>
              <w:jc w:val="right"/>
              <w:spacing w:after="0"/>
              <w:rPr>
                <w:sz w:val="20"/>
                <w:szCs w:val="20"/>
                <w:color w:val="auto"/>
              </w:rPr>
            </w:pPr>
            <w:r>
              <w:rPr>
                <w:rFonts w:ascii="Arial" w:cs="Arial" w:eastAsia="Arial" w:hAnsi="Arial"/>
                <w:sz w:val="16"/>
                <w:szCs w:val="16"/>
                <w:color w:val="auto"/>
              </w:rPr>
              <w:t>9.90 %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080" w:type="dxa"/>
            <w:vAlign w:val="bottom"/>
            <w:tcBorders>
              <w:top w:val="single" w:sz="8" w:color="auto"/>
            </w:tcBorders>
          </w:tcPr>
          <w:p>
            <w:pPr>
              <w:ind w:left="40"/>
              <w:spacing w:after="0" w:line="162" w:lineRule="exact"/>
              <w:rPr>
                <w:sz w:val="20"/>
                <w:szCs w:val="20"/>
                <w:color w:val="auto"/>
              </w:rPr>
            </w:pPr>
            <w:r>
              <w:rPr>
                <w:rFonts w:ascii="Arial" w:cs="Arial" w:eastAsia="Arial" w:hAnsi="Arial"/>
                <w:sz w:val="15"/>
                <w:szCs w:val="15"/>
                <w:b w:val="1"/>
                <w:bCs w:val="1"/>
                <w:color w:val="auto"/>
              </w:rPr>
              <w:t>Line Item in the Company’s Consolidated</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vMerge w:val="restart"/>
          </w:tcPr>
          <w:p>
            <w:pPr>
              <w:jc w:val="right"/>
              <w:ind w:right="240"/>
              <w:spacing w:after="0"/>
              <w:rPr>
                <w:sz w:val="20"/>
                <w:szCs w:val="20"/>
                <w:color w:val="auto"/>
              </w:rPr>
            </w:pPr>
            <w:r>
              <w:rPr>
                <w:rFonts w:ascii="Arial" w:cs="Arial" w:eastAsia="Arial" w:hAnsi="Arial"/>
                <w:sz w:val="15"/>
                <w:szCs w:val="15"/>
                <w:b w:val="1"/>
                <w:bCs w:val="1"/>
                <w:color w:val="auto"/>
              </w:rPr>
              <w:t>September 30, 2025</w:t>
            </w:r>
          </w:p>
        </w:tc>
        <w:tc>
          <w:tcPr>
            <w:tcW w:w="80" w:type="dxa"/>
            <w:vAlign w:val="bottom"/>
            <w:vMerge w:val="restart"/>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180" w:type="dxa"/>
            <w:vAlign w:val="bottom"/>
            <w:gridSpan w:val="2"/>
          </w:tcPr>
          <w:p>
            <w:pPr>
              <w:ind w:left="1020"/>
              <w:spacing w:after="0"/>
              <w:rPr>
                <w:sz w:val="20"/>
                <w:szCs w:val="20"/>
                <w:color w:val="auto"/>
              </w:rPr>
            </w:pPr>
            <w:r>
              <w:rPr>
                <w:rFonts w:ascii="Arial" w:cs="Arial" w:eastAsia="Arial" w:hAnsi="Arial"/>
                <w:sz w:val="15"/>
                <w:szCs w:val="15"/>
                <w:b w:val="1"/>
                <w:bCs w:val="1"/>
                <w:color w:val="auto"/>
              </w:rPr>
              <w:t>Balance Sheet</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30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Assets: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Operating lease right-of-use assets </w:t>
            </w:r>
            <w:r>
              <w:rPr>
                <w:rFonts w:ascii="Arial" w:cs="Arial" w:eastAsia="Arial" w:hAnsi="Arial"/>
                <w:sz w:val="21"/>
                <w:szCs w:val="21"/>
                <w:b w:val="1"/>
                <w:bCs w:val="1"/>
                <w:color w:val="auto"/>
                <w:vertAlign w:val="superscript"/>
              </w:rPr>
              <w:t>(1)</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193,179</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191,639</w:t>
            </w:r>
          </w:p>
        </w:tc>
        <w:tc>
          <w:tcPr>
            <w:tcW w:w="0" w:type="dxa"/>
            <w:vAlign w:val="bottom"/>
          </w:tcPr>
          <w:p>
            <w:pPr>
              <w:spacing w:after="0"/>
              <w:rPr>
                <w:sz w:val="1"/>
                <w:szCs w:val="1"/>
                <w:color w:val="auto"/>
              </w:rPr>
            </w:pPr>
          </w:p>
        </w:tc>
      </w:tr>
      <w:tr>
        <w:trPr>
          <w:trHeight w:val="215"/>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6,882</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200,060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198,521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3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Operating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42,667</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38,180</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178,577</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Finance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226,948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223,665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firstLine="8"/>
        <w:spacing w:after="0" w:line="247" w:lineRule="auto"/>
        <w:tabs>
          <w:tab w:leader="none" w:pos="193" w:val="left"/>
        </w:tabs>
        <w:numPr>
          <w:ilvl w:val="0"/>
          <w:numId w:val="19"/>
        </w:numPr>
        <w:rPr>
          <w:rFonts w:ascii="Arial" w:cs="Arial" w:eastAsia="Arial" w:hAnsi="Arial"/>
          <w:sz w:val="22"/>
          <w:szCs w:val="22"/>
          <w:b w:val="1"/>
          <w:bCs w:val="1"/>
          <w:color w:val="auto"/>
          <w:vertAlign w:val="superscript"/>
        </w:rPr>
      </w:pPr>
      <w:r>
        <w:rPr>
          <w:rFonts w:ascii="Arial" w:cs="Arial" w:eastAsia="Arial" w:hAnsi="Arial"/>
          <w:sz w:val="17"/>
          <w:szCs w:val="17"/>
          <w:color w:val="auto"/>
        </w:rPr>
        <w:t>During the second quarter of 2025, the Company recorded impairment of an operating lease right-of-use asset at Lugano. Refer to "</w:t>
      </w:r>
      <w:r>
        <w:rPr>
          <w:rFonts w:ascii="Arial" w:cs="Arial" w:eastAsia="Arial" w:hAnsi="Arial"/>
          <w:sz w:val="17"/>
          <w:szCs w:val="17"/>
          <w:u w:val="single" w:color="auto"/>
          <w:color w:val="0000FF"/>
        </w:rPr>
        <w:t>Note 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 Goodwill and Other Intangible Assets</w:t>
      </w:r>
      <w:r>
        <w:rPr>
          <w:rFonts w:ascii="Arial" w:cs="Arial" w:eastAsia="Arial" w:hAnsi="Arial"/>
          <w:sz w:val="17"/>
          <w:szCs w:val="17"/>
          <w:color w:val="000000"/>
        </w:rPr>
        <w:t>" for a description of the impairment.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128905</wp:posOffset>
            </wp:positionV>
            <wp:extent cx="28632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p>
      <w:pPr>
        <w:spacing w:after="0" w:line="203" w:lineRule="exact"/>
        <w:rPr>
          <w:sz w:val="20"/>
          <w:szCs w:val="20"/>
          <w:color w:val="auto"/>
        </w:rPr>
      </w:pPr>
    </w:p>
    <w:p>
      <w:pPr>
        <w:ind w:left="6960"/>
        <w:spacing w:after="0"/>
        <w:rPr>
          <w:sz w:val="20"/>
          <w:szCs w:val="20"/>
          <w:color w:val="auto"/>
        </w:rPr>
      </w:pPr>
      <w:r>
        <w:rPr>
          <w:rFonts w:ascii="Arial" w:cs="Arial" w:eastAsia="Arial" w:hAnsi="Arial"/>
          <w:sz w:val="15"/>
          <w:szCs w:val="15"/>
          <w:b w:val="1"/>
          <w:bCs w:val="1"/>
          <w:color w:val="auto"/>
        </w:rPr>
        <w:t>Nine months ended</w:t>
      </w:r>
    </w:p>
    <w:p>
      <w:pPr>
        <w:ind w:left="6940"/>
        <w:spacing w:after="0"/>
        <w:rPr>
          <w:sz w:val="20"/>
          <w:szCs w:val="20"/>
          <w:color w:val="auto"/>
        </w:rPr>
      </w:pPr>
      <w:r>
        <w:rPr>
          <w:rFonts w:ascii="Arial" w:cs="Arial" w:eastAsia="Arial" w:hAnsi="Arial"/>
          <w:sz w:val="15"/>
          <w:szCs w:val="15"/>
          <w:b w:val="1"/>
          <w:bCs w:val="1"/>
          <w:color w:val="auto"/>
        </w:rPr>
        <w:t>September 30, 2025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Nine months ended</w:t>
      </w:r>
    </w:p>
    <w:p>
      <w:pPr>
        <w:spacing w:after="0"/>
        <w:rPr>
          <w:sz w:val="20"/>
          <w:szCs w:val="20"/>
          <w:color w:val="auto"/>
        </w:rPr>
      </w:pPr>
      <w:r>
        <w:rPr>
          <w:rFonts w:ascii="Arial" w:cs="Arial" w:eastAsia="Arial" w:hAnsi="Arial"/>
          <w:sz w:val="15"/>
          <w:szCs w:val="15"/>
          <w:b w:val="1"/>
          <w:bCs w:val="1"/>
          <w:color w:val="auto"/>
        </w:rPr>
        <w:t>September 30, 2024</w:t>
      </w:r>
    </w:p>
    <w:p>
      <w:pPr>
        <w:spacing w:after="0" w:line="22" w:lineRule="exact"/>
        <w:rPr>
          <w:sz w:val="20"/>
          <w:szCs w:val="20"/>
          <w:color w:val="auto"/>
        </w:rPr>
      </w:pPr>
    </w:p>
    <w:p>
      <w:pPr>
        <w:sectPr>
          <w:pgSz w:w="11900" w:h="16838" w:orient="portrait"/>
          <w:cols w:equalWidth="0" w:num="2">
            <w:col w:w="8560" w:space="720"/>
            <w:col w:w="1960"/>
          </w:cols>
          <w:pgMar w:left="320" w:top="1106" w:right="339" w:bottom="1440" w:gutter="0" w:footer="0" w:header="0"/>
          <w:type w:val="continuous"/>
        </w:sectPr>
      </w:pPr>
    </w:p>
    <w:tbl>
      <w:tblPr>
        <w:tblLayout w:type="fixed"/>
        <w:tblInd w:w="160" w:type="dxa"/>
        <w:tblCellMar>
          <w:top w:w="0" w:type="dxa"/>
          <w:left w:w="0" w:type="dxa"/>
          <w:bottom w:w="0" w:type="dxa"/>
          <w:right w:w="0" w:type="dxa"/>
        </w:tblCellMar>
      </w:tblPr>
      <w:tr>
        <w:trPr>
          <w:trHeight w:val="208"/>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8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Operating cash flows from operating leases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41,932</w:t>
            </w:r>
          </w:p>
        </w:tc>
        <w:tc>
          <w:tcPr>
            <w:tcW w:w="14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34,113</w:t>
            </w:r>
          </w:p>
        </w:tc>
      </w:tr>
      <w:tr>
        <w:trPr>
          <w:trHeight w:val="217"/>
        </w:trPr>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cash flows from finance leases</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Financing cash flows from finance leases</w:t>
            </w:r>
          </w:p>
        </w:tc>
        <w:tc>
          <w:tcPr>
            <w:tcW w:w="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Operating leases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20,430</w:t>
            </w:r>
          </w:p>
        </w:tc>
        <w:tc>
          <w:tcPr>
            <w:tcW w:w="14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9,986</w:t>
            </w:r>
          </w:p>
        </w:tc>
      </w:tr>
      <w:tr>
        <w:trPr>
          <w:trHeight w:val="217"/>
        </w:trPr>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Finance leases</w:t>
            </w:r>
          </w:p>
        </w:tc>
        <w:tc>
          <w:tcPr>
            <w:tcW w:w="8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Altor</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Subsequent to the acquisition of Lifoam in October 2024, Altor determined that they would shut down four of their facilities that had geographic overlap with Lifoam facilities. During the nine months ended September 30, 2025, Altor recorded approximately $4.6 million in exit costs related to the plant closures in selling general and administrative expense. The plant closures are expected to be finalized in the fourth quarter of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Arnold</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2024, Arnold relocated two of its facilities located in Marengo, Illinois into one combined facility in Woodstock, Illinois. Arnold recorded $9.9 million in exit costs related to the move of which $9.3 million was recorded in selling, general and administrative expense and $0.6 million is recorded in costs of revenues in the consolidated statement of operations in the year ended December 31, 2024. An additional $3.4 million in expense was incurred related to the move to the new facility that were not classified as exit costs, for total expense of approximately $13.0 million in the year ended December 31, 2024. Arnold recorded an additional $1.2 million in costs in the nine months ended September 30, 2025 related to the relocation of the two facilities. The exit from the Marengo facility is now substantially complete.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O — Related 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LLC entered into the Management Services Agreement ("MSA") with CGM effective May 16, 2006, as amended. Our Chief Executive Officer is a partner of CGM. The MSA provides for, among other things, CGM to perform services for the LLC in exchange for a management fee paid quarterly.</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2025, the LLC and the Manager amended the Sixth Amended and Restated Management Services Agreement dated as of September 30, 2014 and originally effective as of May 16, 2006 (the “Existing Agreement”), by entering into a Seventh Amended and Restated Management Services Agreement (the “MSA Amendment”), which restructures the management fee under the Existing Agreement to consist of a base management fee and an incentive management fee. Pursuant to the MSA Amendment, the base management fee will be</w:t>
      </w:r>
    </w:p>
    <w:p>
      <w:pPr>
        <w:spacing w:after="0" w:line="2" w:lineRule="exact"/>
        <w:rPr>
          <w:sz w:val="20"/>
          <w:szCs w:val="20"/>
          <w:color w:val="auto"/>
        </w:rPr>
      </w:pPr>
    </w:p>
    <w:p>
      <w:pPr>
        <w:jc w:val="both"/>
        <w:ind w:firstLine="8"/>
        <w:spacing w:after="0" w:line="252"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2% the Company’s adjusted net assets when the adjusted net assets are less than or equal to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of directors. The MSA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Restatement on Management Fees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restatement of the consolidated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currently estimates the aggregate amount of overpaid management fees as of March 31, 2025 at approximately $42.7 million, which amount will reduce future payments on a dollar-for-dollar basis. The Company's board of directors intends to direct the Company to pursue its right to recover all such excess management fees paid to the Manager as soon as is reasonably practicable in light of the facts and circumstances.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quarter ended September 30, 2025 and June 30, 2025, the total management fee incurred was $16.2 million and $19.0 million, respectively. The Company is not permitted under the MSA to adjust the amount owed to the Manager until the time when the restated financial information was available, which occurred upon the filing of the Company's 10-K/A on December 8, 2025. Therefore the expense recorded in the quarter ended September 30, 2025 (and June 30, 2025) reflects the amount that would have been due to the Manager at the time calculated, prior to the restatement of the Company's financial statements. The calculation of the adjusted management fee incurred as of September 30, 2025 resulted in a total amount of $13.8 million that should have been due to the Manager.</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entry into the Forbearance Agreement and Second Amendment to Credit Agreement (the “First Forbearance Agreement”) on May 22, 2025, the Credit Agreement was modified to (i) limit the management fees that may be paid by the LLC to Compass Group Management LLC (the "Manager") to no more than $10.5 million per fiscal quarter (with the amount of such management fees that could not be paid due to this limitation being available to offset any potential future reduction in management fees as a result of any adjustments for deemed overpayments) and (ii) limit the management fees that could be paid by the LLC’s subsidiaries to the Manager to no more than $ 2.0 million per fiscal quarter. Due to the restrictions imposed by the First Forbearance Agreement, the total amount paid to the Manager for the quarter ended June 30, 2025 was $12.2 million. The difference between the amount of the adjusted management fee due to the Manager of $14.0 million and the actual amount paid of $ 12.2 million is an underpayment of $1.8 million in the second quarter of 2025. This amount will offset the reduction of future payments to the Manager.</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entry into the Second Forbearance Agreement and Third Amendment to Credit Agreement (the “Third Amendment”) on July 25, 2025, the Credit Agreement was further modified to (i) limit the management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fees that were able to be paid by the LLC to the "Manager to no more than $5.0 million per fiscal quarter (with the amount of such management fees that could not be paid due to this limitation being available to offset any potential future reduction in management fees as a result of any adjustments for deemed overpayments) and (ii) limit the management fees that may be paid by the LLC’s subsidiaries to the Manager to no more than $2.0 million per fiscal quarter. Due to the restrictions imposed by the Third Amendment, the total amount paid to the Manager for the quarter ended September 30, 2025 was $ 6.6 million. The difference between the amount of the adjusted management fee due to the Manager of $13.8 million and the actual amount paid of $6.6 million is an underpayment of $7.2 million in the third quarter of 2025. This amount will offset the reduction of future payments to the Manager as a result of the restated financial statements for the years ending December 31, 2024, 2023 and 2022, and the revisions made in the quarter ended March 31,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LLC Agreement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LLC agreement gives Holders the right to distributions pursuant to a profit allocation formula upon the occurrence of a Sale Event or a Holding Event. The Holders are entitled to receive and as such can elect to receive, if due pursuant to the profit allocation formula, an allocation payment upon the sale of a business (a "Sale Event") and upon election of the Holders during the 30-day period following the fifth anniversary of the date upon which we acquired a controlling interest in a business (a "Holding Event"). Holders received $48.9 million in distributions in the first quarter of 2024 related to a Sale Event that occurred during 2023. Refer to "</w:t>
      </w:r>
      <w:r>
        <w:rPr>
          <w:rFonts w:ascii="Arial" w:cs="Arial" w:eastAsia="Arial" w:hAnsi="Arial"/>
          <w:sz w:val="18"/>
          <w:szCs w:val="18"/>
          <w:u w:val="single" w:color="auto"/>
          <w:color w:val="0000FF"/>
        </w:rPr>
        <w:t>Note I - Stockholders' Equity</w:t>
      </w:r>
      <w:r>
        <w:rPr>
          <w:rFonts w:ascii="Arial" w:cs="Arial" w:eastAsia="Arial" w:hAnsi="Arial"/>
          <w:sz w:val="18"/>
          <w:szCs w:val="18"/>
          <w:color w:val="auto"/>
        </w:rPr>
        <w:t>" for a description of the profit allocation payments.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Lugano bankruptcy will be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 as described in the 2024 Form 10-K/A.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Integration service fees are included in selling, general and administrative expense on the subsidiaries' statement of operations in the period in which they are incurred. Under the Integration Services Agreement ("ISA"),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The amendment to the Management Service Agreement entered into in January 2025 eliminated the payment of integration services for future acquisitions.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which was acquired in January 2024, entered into an ISA with CGM whereby The Honey Pot Co. will pay CGM a total integration services fee of $3.5 million, payable quarterly over a twelve-month period beginning June 30, 2024. THP paid CGM $0.9 million in integration service fees in each of the quarters ended June 30, 2024, September 30, 2024, December 31, 2024 and March 31, 2025.</w:t>
      </w:r>
    </w:p>
    <w:p>
      <w:pPr>
        <w:spacing w:after="0" w:line="173" w:lineRule="exact"/>
        <w:rPr>
          <w:sz w:val="20"/>
          <w:szCs w:val="20"/>
          <w:color w:val="auto"/>
        </w:rPr>
      </w:pPr>
    </w:p>
    <w:p>
      <w:pPr>
        <w:ind w:right="3560"/>
        <w:spacing w:after="0" w:line="374" w:lineRule="auto"/>
        <w:rPr>
          <w:sz w:val="20"/>
          <w:szCs w:val="20"/>
          <w:color w:val="auto"/>
        </w:rPr>
      </w:pPr>
      <w:r>
        <w:rPr>
          <w:rFonts w:ascii="Arial" w:cs="Arial" w:eastAsia="Arial" w:hAnsi="Arial"/>
          <w:sz w:val="18"/>
          <w:szCs w:val="18"/>
          <w:b w:val="1"/>
          <w:bCs w:val="1"/>
          <w:i w:val="1"/>
          <w:iCs w:val="1"/>
          <w:color w:val="auto"/>
        </w:rPr>
        <w:t xml:space="preserve">The Company and its businesses have the following significant related party transactions </w:t>
      </w:r>
      <w:r>
        <w:rPr>
          <w:rFonts w:ascii="Arial" w:cs="Arial" w:eastAsia="Arial" w:hAnsi="Arial"/>
          <w:sz w:val="18"/>
          <w:szCs w:val="18"/>
          <w:i w:val="1"/>
          <w:iCs w:val="1"/>
          <w:u w:val="single" w:color="auto"/>
          <w:color w:val="auto"/>
        </w:rPr>
        <w:t>5.11</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5.11 purchased approximately $0.3 million and $ 0.8 million during the three and nine months ended September 30, 2025, respectively and approximately $0.4 million and $1.0 million during the three and nine months ended September 30, 2024, respectively in inventory from the vendor.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purchased approximately $10.1 million and $33.2 million from this supplier during the three and nine months ended September 30, 2025, respectively and approximately $11.7 million and $35.9 million from this supplier during the three and nine months ended September 30, 2024,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Lugano</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Related Party Transaction - </w:t>
      </w:r>
      <w:r>
        <w:rPr>
          <w:rFonts w:ascii="Arial" w:cs="Arial" w:eastAsia="Arial" w:hAnsi="Arial"/>
          <w:sz w:val="18"/>
          <w:szCs w:val="18"/>
          <w:color w:val="auto"/>
        </w:rPr>
        <w:t>In the first quarter of 2025, the former Chief Executive Officer of Lugano represented that he had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Lugano purchases inventory from a vendor who is a related party to Lugano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Lugano. The related party relationship commenced in the second quarter of 2024 and ended in the fourth quarter of 2025. Lugano had approximately $18.0 thousand and $ 0.3 million in net purchases during the three and nine months ended September 30, 2025, respectively and approximately $ 1.2 million and $5.2 million in net purchases during the three and nine months ended September 30, 2024, respectively in inventory from the vendor.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Operating Segment Data</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September 30, 2025, the Company had nine reportable operating segments. Each operating segment represents a platform acquisition. The Company’s operating segments are strategic business units that offer different products and services. While each is actively managed by the Company, they are managed separately because each business requires different technology and marketing strategies. A description of each of the reportable segments and the types of products from which each segment derives its revenues is as follows:</w:t>
      </w:r>
    </w:p>
    <w:p>
      <w:pPr>
        <w:spacing w:after="0" w:line="122" w:lineRule="exact"/>
        <w:rPr>
          <w:sz w:val="20"/>
          <w:szCs w:val="20"/>
          <w:color w:val="auto"/>
        </w:rPr>
      </w:pPr>
    </w:p>
    <w:p>
      <w:pPr>
        <w:jc w:val="both"/>
        <w:ind w:left="420" w:hanging="331"/>
        <w:spacing w:after="0" w:line="257" w:lineRule="auto"/>
        <w:tabs>
          <w:tab w:leader="none" w:pos="41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Costa Mesa, California, 5.11 operates sales offices and distribution centers globally, and 5.11 products are widely distributed in uniform stores, military exchanges, outdoor retail stores, its own retail stores and on 511tactical.com.</w:t>
      </w:r>
    </w:p>
    <w:p>
      <w:pPr>
        <w:spacing w:after="0" w:line="128" w:lineRule="exact"/>
        <w:rPr>
          <w:rFonts w:ascii="Arial" w:cs="Arial" w:eastAsia="Arial" w:hAnsi="Arial"/>
          <w:sz w:val="18"/>
          <w:szCs w:val="18"/>
          <w:color w:val="auto"/>
        </w:rPr>
      </w:pPr>
    </w:p>
    <w:p>
      <w:pPr>
        <w:jc w:val="both"/>
        <w:ind w:left="420" w:hanging="331"/>
        <w:spacing w:after="0" w:line="256" w:lineRule="auto"/>
        <w:tabs>
          <w:tab w:leader="none" w:pos="41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revolutionary,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offices in Austria, Greater China, South Korea, and Japan.</w:t>
      </w:r>
    </w:p>
    <w:p>
      <w:pPr>
        <w:spacing w:after="0" w:line="128" w:lineRule="exact"/>
        <w:rPr>
          <w:rFonts w:ascii="Arial" w:cs="Arial" w:eastAsia="Arial" w:hAnsi="Arial"/>
          <w:sz w:val="18"/>
          <w:szCs w:val="18"/>
          <w:color w:val="auto"/>
        </w:rPr>
      </w:pPr>
    </w:p>
    <w:p>
      <w:pPr>
        <w:jc w:val="both"/>
        <w:ind w:left="420" w:hanging="331"/>
        <w:spacing w:after="0" w:line="268" w:lineRule="auto"/>
        <w:tabs>
          <w:tab w:leader="none" w:pos="41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Lugano</w:t>
      </w:r>
      <w:r>
        <w:rPr>
          <w:rFonts w:ascii="Arial" w:cs="Arial" w:eastAsia="Arial" w:hAnsi="Arial"/>
          <w:sz w:val="18"/>
          <w:szCs w:val="18"/>
          <w:color w:val="auto"/>
        </w:rPr>
        <w:t xml:space="preserve"> is a designer, manufacturer, and retailer of high-end jewelry. Lugano conducts sales via its own retail salons as well as pop-up showrooms at Lugano-hosted or sponsored events in partnership with organizations in the equestrian, art, and philanthropic communities. Lugano is headquartered in Newport Beach, California.</w:t>
      </w:r>
    </w:p>
    <w:p>
      <w:pPr>
        <w:spacing w:after="0" w:line="116" w:lineRule="exact"/>
        <w:rPr>
          <w:rFonts w:ascii="Arial" w:cs="Arial" w:eastAsia="Arial" w:hAnsi="Arial"/>
          <w:sz w:val="18"/>
          <w:szCs w:val="18"/>
          <w:color w:val="auto"/>
        </w:rPr>
      </w:pPr>
    </w:p>
    <w:p>
      <w:pPr>
        <w:jc w:val="both"/>
        <w:ind w:left="420" w:hanging="331"/>
        <w:spacing w:after="0" w:line="259" w:lineRule="auto"/>
        <w:tabs>
          <w:tab w:leader="none" w:pos="41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PrimaLoft</w:t>
      </w:r>
      <w:r>
        <w:rPr>
          <w:rFonts w:ascii="Arial" w:cs="Arial" w:eastAsia="Arial" w:hAnsi="Arial"/>
          <w:sz w:val="18"/>
          <w:szCs w:val="18"/>
          <w:color w:val="auto"/>
        </w:rPr>
        <w:t xml:space="preserve">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spacing w:after="0" w:line="125" w:lineRule="exact"/>
        <w:rPr>
          <w:rFonts w:ascii="Arial" w:cs="Arial" w:eastAsia="Arial" w:hAnsi="Arial"/>
          <w:sz w:val="18"/>
          <w:szCs w:val="18"/>
          <w:color w:val="auto"/>
        </w:rPr>
      </w:pPr>
    </w:p>
    <w:p>
      <w:pPr>
        <w:jc w:val="both"/>
        <w:ind w:left="420" w:hanging="331"/>
        <w:spacing w:after="0" w:line="259" w:lineRule="auto"/>
        <w:tabs>
          <w:tab w:leader="none" w:pos="415"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The Honey Pot Co.</w:t>
      </w:r>
      <w:r>
        <w:rPr>
          <w:rFonts w:ascii="Arial" w:cs="Arial" w:eastAsia="Arial" w:hAnsi="Arial"/>
          <w:sz w:val="18"/>
          <w:szCs w:val="18"/>
          <w:color w:val="auto"/>
        </w:rPr>
        <w:t xml:space="preserve"> 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-2000250</wp:posOffset>
            </wp:positionV>
            <wp:extent cx="24828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8285" cy="1289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49" w:name="page50"/>
    <w:bookmarkEnd w:id="49"/>
    <w:p>
      <w:pPr>
        <w:ind w:left="420"/>
        <w:spacing w:after="0" w:line="287" w:lineRule="auto"/>
        <w:rPr>
          <w:sz w:val="20"/>
          <w:szCs w:val="20"/>
          <w:color w:val="auto"/>
        </w:rPr>
      </w:pPr>
      <w:r>
        <w:rPr>
          <w:rFonts w:ascii="Arial" w:cs="Arial" w:eastAsia="Arial" w:hAnsi="Arial"/>
          <w:sz w:val="18"/>
          <w:szCs w:val="18"/>
          <w:color w:val="auto"/>
        </w:rPr>
        <w:t>wellness. Its products can be found in more than 33,000 stores across the U.S. through mass merchants, drug and grocery retail chains, and online. The Honey Pot Co. is headquartered in Atlanta, Georgia.</w:t>
      </w:r>
    </w:p>
    <w:p>
      <w:pPr>
        <w:spacing w:after="0" w:line="99" w:lineRule="exact"/>
        <w:rPr>
          <w:sz w:val="20"/>
          <w:szCs w:val="20"/>
          <w:color w:val="auto"/>
        </w:rPr>
      </w:pPr>
    </w:p>
    <w:p>
      <w:pPr>
        <w:jc w:val="both"/>
        <w:ind w:left="420" w:hanging="331"/>
        <w:spacing w:after="0" w:line="257" w:lineRule="auto"/>
        <w:tabs>
          <w:tab w:leader="none" w:pos="41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 Rochester, New York. On April 30, 2024, Velocity Outdoor sold the Crosman airgun product division. The results of operation for Crosman are included in the accompanying financial statements through the date of sale.</w:t>
      </w:r>
    </w:p>
    <w:p>
      <w:pPr>
        <w:spacing w:after="0" w:line="128" w:lineRule="exact"/>
        <w:rPr>
          <w:rFonts w:ascii="Arial" w:cs="Arial" w:eastAsia="Arial" w:hAnsi="Arial"/>
          <w:sz w:val="18"/>
          <w:szCs w:val="18"/>
          <w:color w:val="auto"/>
        </w:rPr>
      </w:pPr>
    </w:p>
    <w:p>
      <w:pPr>
        <w:jc w:val="both"/>
        <w:ind w:left="420" w:hanging="331"/>
        <w:spacing w:after="0" w:line="262" w:lineRule="auto"/>
        <w:tabs>
          <w:tab w:leader="none" w:pos="41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operates 20 molding and fabricating facilities across North America.</w:t>
      </w:r>
    </w:p>
    <w:p>
      <w:pPr>
        <w:spacing w:after="0" w:line="122" w:lineRule="exact"/>
        <w:rPr>
          <w:rFonts w:ascii="Arial" w:cs="Arial" w:eastAsia="Arial" w:hAnsi="Arial"/>
          <w:sz w:val="18"/>
          <w:szCs w:val="18"/>
          <w:color w:val="auto"/>
        </w:rPr>
      </w:pPr>
    </w:p>
    <w:p>
      <w:pPr>
        <w:jc w:val="both"/>
        <w:ind w:left="420" w:hanging="331"/>
        <w:spacing w:after="0" w:line="255" w:lineRule="auto"/>
        <w:tabs>
          <w:tab w:leader="none" w:pos="41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solutions provider and manufacturer of engineered solutions for a wide range of specialty applications and end-markets, including aerospace and defense, general industrial, motorsport/transportation, oil and gas, medical, energy, semiconductor and advertising specialties. Arnold engineers solutions for and produces high performance permanent magnets (PMAG), stators, rotors and full electric motors ("Ramco"),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headquartered in Rochester, New York.</w:t>
      </w:r>
    </w:p>
    <w:p>
      <w:pPr>
        <w:spacing w:after="0" w:line="130" w:lineRule="exact"/>
        <w:rPr>
          <w:rFonts w:ascii="Arial" w:cs="Arial" w:eastAsia="Arial" w:hAnsi="Arial"/>
          <w:sz w:val="18"/>
          <w:szCs w:val="18"/>
          <w:color w:val="auto"/>
        </w:rPr>
      </w:pPr>
    </w:p>
    <w:p>
      <w:pPr>
        <w:jc w:val="both"/>
        <w:ind w:left="420" w:hanging="331"/>
        <w:spacing w:after="0" w:line="259" w:lineRule="auto"/>
        <w:tabs>
          <w:tab w:leader="none" w:pos="415"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Sterno is headquartered in Texarkana, Texas.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function of chief operating decision-maker (“CODM”) is performed collectively by our Chief Executive Officer, the Chief Operating Officer and the partners of the Company’s Manager, CGM. The CODM evaluates financial results by segment, utilizing segment operating income to assess performance and allocate resources. The allocation of resources to operating segments may include, but is not limited to, debt financing through the Company's intercompany credit agreements with its operating segments to fund working capital needs, purchases of capital equipment and add-on acquisitions. The primary resource allocation process occurs predominantly in the annual budget and forecasting process. The CODM then reviews and considers budget-to-actual variances on a monthly basis for segment operating income in order to determine whether to make any adjustments to capital allocations.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0" w:name="page51"/>
    <w:bookmarkEnd w:id="50"/>
    <w:p>
      <w:pPr>
        <w:jc w:val="both"/>
        <w:spacing w:after="0"/>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operations of each of the operating segments are included in consolidated operating results as of their date of acquisition. Segment profit is determined based on internal performance measures used by the CODM to assess the performance of each business. The significant expense categories and amounts align with the segment-level information that is regularly provided to the CODM. In comparison to the Consolidated Statement of Operations, selling, general and administrative expense is exclusive of stock-based compensation and acquisition costs, which are categorized to Other. Corporate consists of corporate overhead and management fees to CGM that are not allocated to the Company's reportable segments. There were no significant inter-segment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0548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Three Months Ended September 30,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5.11</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BOA</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Lugano</w:t>
            </w:r>
          </w:p>
        </w:tc>
        <w:tc>
          <w:tcPr>
            <w:tcW w:w="9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5"/>
                <w:szCs w:val="15"/>
                <w:b w:val="1"/>
                <w:bCs w:val="1"/>
                <w:color w:val="auto"/>
              </w:rPr>
              <w:t>PrimaLoft</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THP</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Velocity</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Altor</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Arnold</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Sterno</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6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8"/>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5"/>
                <w:szCs w:val="15"/>
                <w:b w:val="1"/>
                <w:bCs w:val="1"/>
                <w:color w:val="auto"/>
              </w:rPr>
              <w:t>Outdoor</w:t>
            </w: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143,240</w:t>
            </w: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43,941</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17,350</w:t>
            </w: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13,294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34,727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29,040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79,824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37,686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73,460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472,562</w:t>
            </w:r>
          </w:p>
        </w:tc>
        <w:tc>
          <w:tcPr>
            <w:tcW w:w="0" w:type="dxa"/>
            <w:vAlign w:val="bottom"/>
          </w:tcPr>
          <w:p>
            <w:pPr>
              <w:spacing w:after="0"/>
              <w:rPr>
                <w:sz w:val="1"/>
                <w:szCs w:val="1"/>
                <w:color w:val="auto"/>
              </w:rPr>
            </w:pPr>
          </w:p>
        </w:tc>
      </w:tr>
      <w:tr>
        <w:trPr>
          <w:trHeight w:val="201"/>
        </w:trPr>
        <w:tc>
          <w:tcPr>
            <w:tcW w:w="20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65,993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15,654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4,058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15,530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19,747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59,646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28,234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51,133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264,847</w:t>
            </w: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Selling, general and</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administrative expense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23,433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142,628</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9"/>
                <w:szCs w:val="9"/>
                <w:b w:val="1"/>
                <w:bCs w:val="1"/>
                <w:color w:val="auto"/>
              </w:rPr>
              <w:t>(1)</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646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1,315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3,886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28,888</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segment operating</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(loss)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36,199</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Corporate</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(47,266)</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consolidated</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loss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(11,067)</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Arial" w:cs="Arial" w:eastAsia="Arial" w:hAnsi="Arial"/>
                <w:sz w:val="15"/>
                <w:szCs w:val="15"/>
                <w:color w:val="auto"/>
              </w:rPr>
              <w:t>Interest expense, net</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(66,721)</w:t>
            </w: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Amortization of debt issuance</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net</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(2,343)</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consolidated loss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80" w:type="dxa"/>
            <w:vAlign w:val="bottom"/>
            <w:shd w:val="clear" w:color="auto" w:fill="CCEEFF"/>
          </w:tcPr>
          <w:p>
            <w:pPr>
              <w:ind w:left="360"/>
              <w:spacing w:after="0" w:line="153" w:lineRule="exact"/>
              <w:rPr>
                <w:sz w:val="20"/>
                <w:szCs w:val="20"/>
                <w:color w:val="auto"/>
              </w:rPr>
            </w:pPr>
            <w:r>
              <w:rPr>
                <w:rFonts w:ascii="Arial" w:cs="Arial" w:eastAsia="Arial" w:hAnsi="Arial"/>
                <w:sz w:val="15"/>
                <w:szCs w:val="15"/>
                <w:color w:val="auto"/>
              </w:rPr>
              <w:t>from continuing</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360"/>
              <w:spacing w:after="0" w:line="149" w:lineRule="exact"/>
              <w:rPr>
                <w:sz w:val="20"/>
                <w:szCs w:val="20"/>
                <w:color w:val="auto"/>
              </w:rPr>
            </w:pPr>
            <w:r>
              <w:rPr>
                <w:rFonts w:ascii="Arial" w:cs="Arial" w:eastAsia="Arial" w:hAnsi="Arial"/>
                <w:sz w:val="15"/>
                <w:szCs w:val="15"/>
                <w:color w:val="auto"/>
              </w:rPr>
              <w:t>operations before</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(80,957)</w:t>
            </w:r>
          </w:p>
        </w:tc>
        <w:tc>
          <w:tcPr>
            <w:tcW w:w="0" w:type="dxa"/>
            <w:vAlign w:val="bottom"/>
          </w:tcPr>
          <w:p>
            <w:pPr>
              <w:spacing w:after="0"/>
              <w:rPr>
                <w:sz w:val="1"/>
                <w:szCs w:val="1"/>
                <w:color w:val="auto"/>
              </w:rPr>
            </w:pPr>
          </w:p>
        </w:tc>
      </w:tr>
      <w:tr>
        <w:trPr>
          <w:trHeight w:val="195"/>
        </w:trPr>
        <w:tc>
          <w:tcPr>
            <w:tcW w:w="2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540" w:right="1220" w:hanging="5532"/>
        <w:spacing w:after="0"/>
        <w:tabs>
          <w:tab w:leader="none" w:pos="210" w:val="left"/>
        </w:tabs>
        <w:numPr>
          <w:ilvl w:val="0"/>
          <w:numId w:val="23"/>
        </w:numPr>
        <w:rPr>
          <w:rFonts w:ascii="Arial" w:cs="Arial" w:eastAsia="Arial" w:hAnsi="Arial"/>
          <w:sz w:val="24"/>
          <w:szCs w:val="24"/>
          <w:b w:val="1"/>
          <w:bCs w:val="1"/>
          <w:color w:val="auto"/>
          <w:vertAlign w:val="superscript"/>
        </w:rPr>
      </w:pPr>
      <w:r>
        <w:rPr>
          <w:rFonts w:ascii="Arial" w:cs="Arial" w:eastAsia="Arial" w:hAnsi="Arial"/>
          <w:sz w:val="16"/>
          <w:szCs w:val="16"/>
          <w:color w:val="auto"/>
        </w:rPr>
        <w:t xml:space="preserve">Other consists of segment allocated management fees, amortization expense of intangible assets and stock-based compensation. </w:t>
      </w: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089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9140" cy="8255"/>
                    </a:xfrm>
                    <a:prstGeom prst="rect">
                      <a:avLst/>
                    </a:prstGeom>
                    <a:noFill/>
                  </pic:spPr>
                </pic:pic>
              </a:graphicData>
            </a:graphic>
          </wp:anchor>
        </w:drawing>
        <w:t>Three Months Ended September 30,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b w:val="1"/>
                <w:bCs w:val="1"/>
                <w:color w:val="auto"/>
              </w:rPr>
              <w:t>5.11</w:t>
            </w:r>
          </w:p>
        </w:tc>
        <w:tc>
          <w:tcPr>
            <w:tcW w:w="860" w:type="dxa"/>
            <w:vAlign w:val="bottom"/>
            <w:tcBorders>
              <w:top w:val="single" w:sz="8" w:color="auto"/>
            </w:tcBorders>
            <w:vMerge w:val="restart"/>
          </w:tcPr>
          <w:p>
            <w:pPr>
              <w:jc w:val="right"/>
              <w:ind w:right="164"/>
              <w:spacing w:after="0"/>
              <w:rPr>
                <w:sz w:val="20"/>
                <w:szCs w:val="20"/>
                <w:color w:val="auto"/>
              </w:rPr>
            </w:pPr>
            <w:r>
              <w:rPr>
                <w:rFonts w:ascii="Arial" w:cs="Arial" w:eastAsia="Arial" w:hAnsi="Arial"/>
                <w:sz w:val="15"/>
                <w:szCs w:val="15"/>
                <w:b w:val="1"/>
                <w:bCs w:val="1"/>
                <w:color w:val="auto"/>
              </w:rPr>
              <w:t>BOA</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center"/>
              <w:ind w:right="65"/>
              <w:spacing w:after="0"/>
              <w:rPr>
                <w:sz w:val="20"/>
                <w:szCs w:val="20"/>
                <w:color w:val="auto"/>
              </w:rPr>
            </w:pPr>
            <w:r>
              <w:rPr>
                <w:rFonts w:ascii="Arial" w:cs="Arial" w:eastAsia="Arial" w:hAnsi="Arial"/>
                <w:sz w:val="15"/>
                <w:szCs w:val="15"/>
                <w:b w:val="1"/>
                <w:bCs w:val="1"/>
                <w:color w:val="auto"/>
              </w:rPr>
              <w:t>Lugano</w:t>
            </w:r>
          </w:p>
        </w:tc>
        <w:tc>
          <w:tcPr>
            <w:tcW w:w="9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5"/>
                <w:szCs w:val="15"/>
                <w:b w:val="1"/>
                <w:bCs w:val="1"/>
                <w:color w:val="auto"/>
              </w:rPr>
              <w:t>PrimaLoft</w:t>
            </w:r>
          </w:p>
        </w:tc>
        <w:tc>
          <w:tcPr>
            <w:tcW w:w="84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5"/>
                <w:szCs w:val="15"/>
                <w:b w:val="1"/>
                <w:bCs w:val="1"/>
                <w:color w:val="auto"/>
              </w:rPr>
              <w:t>THP</w:t>
            </w:r>
          </w:p>
        </w:tc>
        <w:tc>
          <w:tcPr>
            <w:tcW w:w="9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5"/>
                <w:szCs w:val="15"/>
                <w:b w:val="1"/>
                <w:bCs w:val="1"/>
                <w:color w:val="auto"/>
              </w:rPr>
              <w:t>Velocity</w:t>
            </w:r>
          </w:p>
        </w:tc>
        <w:tc>
          <w:tcPr>
            <w:tcW w:w="8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5"/>
                <w:szCs w:val="15"/>
                <w:b w:val="1"/>
                <w:bCs w:val="1"/>
                <w:color w:val="auto"/>
              </w:rPr>
              <w:t>Altor</w:t>
            </w:r>
          </w:p>
        </w:tc>
        <w:tc>
          <w:tcPr>
            <w:tcW w:w="9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Arnold</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Sterno</w:t>
            </w: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8"/>
        </w:trPr>
        <w:tc>
          <w:tcPr>
            <w:tcW w:w="21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5"/>
                <w:szCs w:val="15"/>
                <w:b w:val="1"/>
                <w:bCs w:val="1"/>
                <w:color w:val="auto"/>
              </w:rPr>
              <w:t>Outdoor</w:t>
            </w: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65"/>
              <w:spacing w:after="0" w:line="151" w:lineRule="exact"/>
              <w:rPr>
                <w:sz w:val="20"/>
                <w:szCs w:val="20"/>
                <w:color w:val="auto"/>
              </w:rPr>
            </w:pPr>
            <w:r>
              <w:rPr>
                <w:rFonts w:ascii="Arial" w:cs="Arial" w:eastAsia="Arial" w:hAnsi="Arial"/>
                <w:sz w:val="14"/>
                <w:szCs w:val="14"/>
                <w:b w:val="1"/>
                <w:bCs w:val="1"/>
                <w:color w:val="auto"/>
              </w:rPr>
              <w:t>(As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85"/>
        </w:trPr>
        <w:tc>
          <w:tcPr>
            <w:tcW w:w="2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Restated)</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$ 139,218</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45,607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14,269</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13,686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31,545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28,809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52,129</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46,103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85,187</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   456,553</w:t>
            </w: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64,493</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16,941</w:t>
            </w:r>
          </w:p>
        </w:tc>
        <w:tc>
          <w:tcPr>
            <w:tcW w:w="20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6,333</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5,041</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14,648</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19,950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36,051</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32,400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64,063</w:t>
            </w:r>
          </w:p>
        </w:tc>
        <w:tc>
          <w:tcPr>
            <w:tcW w:w="8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259,920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944" w:right="399" w:bottom="1440" w:gutter="0" w:footer="0" w:header="0"/>
        </w:sectPr>
      </w:pPr>
    </w:p>
    <w:p>
      <w:pPr>
        <w:ind w:left="20" w:right="48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b w:val="1"/>
          <w:bCs w:val="1"/>
          <w:color w:val="auto"/>
          <w:vertAlign w:val="superscript"/>
        </w:rPr>
        <w:t>(1)</w:t>
      </w:r>
    </w:p>
    <w:p>
      <w:pPr>
        <w:ind w:left="360" w:right="10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Corporate</w:t>
      </w:r>
    </w:p>
    <w:p>
      <w:pPr>
        <w:spacing w:after="0" w:line="30" w:lineRule="exact"/>
        <w:rPr>
          <w:sz w:val="20"/>
          <w:szCs w:val="20"/>
          <w:color w:val="auto"/>
        </w:rPr>
      </w:pPr>
    </w:p>
    <w:p>
      <w:pPr>
        <w:ind w:left="360" w:right="500"/>
        <w:spacing w:after="0" w:line="245" w:lineRule="auto"/>
        <w:rPr>
          <w:sz w:val="20"/>
          <w:szCs w:val="20"/>
          <w:color w:val="auto"/>
        </w:rPr>
      </w:pPr>
      <w:r>
        <w:rPr>
          <w:rFonts w:ascii="Arial" w:cs="Arial" w:eastAsia="Arial" w:hAnsi="Arial"/>
          <w:sz w:val="15"/>
          <w:szCs w:val="15"/>
          <w:color w:val="auto"/>
        </w:rPr>
        <w:t>Total consolidated operating income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30" w:lineRule="exact"/>
        <w:rPr>
          <w:sz w:val="20"/>
          <w:szCs w:val="20"/>
          <w:color w:val="auto"/>
        </w:rPr>
      </w:pPr>
    </w:p>
    <w:p>
      <w:pPr>
        <w:ind w:left="20" w:right="40"/>
        <w:spacing w:after="0" w:line="245" w:lineRule="auto"/>
        <w:rPr>
          <w:sz w:val="20"/>
          <w:szCs w:val="20"/>
          <w:color w:val="auto"/>
        </w:rPr>
      </w:pPr>
      <w:r>
        <w:rPr>
          <w:rFonts w:ascii="Arial" w:cs="Arial" w:eastAsia="Arial" w:hAnsi="Arial"/>
          <w:sz w:val="15"/>
          <w:szCs w:val="15"/>
          <w:color w:val="auto"/>
        </w:rPr>
        <w:t>Amortization of debt issuance costs</w:t>
      </w:r>
    </w:p>
    <w:p>
      <w:pPr>
        <w:spacing w:after="0" w:line="12" w:lineRule="exact"/>
        <w:rPr>
          <w:sz w:val="20"/>
          <w:szCs w:val="20"/>
          <w:color w:val="auto"/>
        </w:rPr>
      </w:pPr>
    </w:p>
    <w:p>
      <w:pPr>
        <w:ind w:left="20" w:right="360"/>
        <w:spacing w:after="0" w:line="281" w:lineRule="auto"/>
        <w:rPr>
          <w:sz w:val="20"/>
          <w:szCs w:val="20"/>
          <w:color w:val="auto"/>
        </w:rPr>
      </w:pPr>
      <w:r>
        <w:rPr>
          <w:rFonts w:ascii="Arial" w:cs="Arial" w:eastAsia="Arial" w:hAnsi="Arial"/>
          <w:sz w:val="15"/>
          <w:szCs w:val="15"/>
          <w:color w:val="auto"/>
        </w:rPr>
        <w:t>Loss on sale of Crosman Other (expense), net</w:t>
      </w:r>
    </w:p>
    <w:p>
      <w:pPr>
        <w:spacing w:after="0" w:line="1" w:lineRule="exact"/>
        <w:rPr>
          <w:sz w:val="20"/>
          <w:szCs w:val="20"/>
          <w:color w:val="auto"/>
        </w:rPr>
      </w:pPr>
    </w:p>
    <w:p>
      <w:pPr>
        <w:ind w:left="360" w:right="200"/>
        <w:spacing w:after="0" w:line="225" w:lineRule="auto"/>
        <w:rPr>
          <w:sz w:val="20"/>
          <w:szCs w:val="20"/>
          <w:color w:val="auto"/>
        </w:rPr>
      </w:pPr>
      <w:r>
        <w:rPr>
          <w:rFonts w:ascii="Arial" w:cs="Arial" w:eastAsia="Arial" w:hAnsi="Arial"/>
          <w:sz w:val="15"/>
          <w:szCs w:val="15"/>
          <w:color w:val="auto"/>
        </w:rPr>
        <w:t>Total consolidated loss from continuing</w:t>
      </w:r>
    </w:p>
    <w:p>
      <w:pPr>
        <w:spacing w:after="0" w:line="1" w:lineRule="exact"/>
        <w:rPr>
          <w:sz w:val="20"/>
          <w:szCs w:val="20"/>
          <w:color w:val="auto"/>
        </w:rPr>
      </w:pPr>
    </w:p>
    <w:p>
      <w:pPr>
        <w:ind w:left="360"/>
        <w:spacing w:after="0" w:line="233" w:lineRule="auto"/>
        <w:rPr>
          <w:sz w:val="20"/>
          <w:szCs w:val="20"/>
          <w:color w:val="auto"/>
        </w:rPr>
      </w:pPr>
      <w:r>
        <w:rPr>
          <w:rFonts w:ascii="Arial" w:cs="Arial" w:eastAsia="Arial" w:hAnsi="Arial"/>
          <w:sz w:val="15"/>
          <w:szCs w:val="15"/>
          <w:color w:val="auto"/>
        </w:rPr>
        <w:t>operations before income 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20" w:type="dxa"/>
            <w:vAlign w:val="bottom"/>
          </w:tcPr>
          <w:p>
            <w:pPr>
              <w:jc w:val="right"/>
              <w:ind w:right="4"/>
              <w:spacing w:after="0"/>
              <w:rPr>
                <w:sz w:val="20"/>
                <w:szCs w:val="20"/>
                <w:color w:val="auto"/>
              </w:rPr>
            </w:pPr>
            <w:r>
              <w:rPr>
                <w:rFonts w:ascii="Arial" w:cs="Arial" w:eastAsia="Arial" w:hAnsi="Arial"/>
                <w:sz w:val="15"/>
                <w:szCs w:val="15"/>
                <w:color w:val="auto"/>
              </w:rPr>
              <w:t>56,822</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12,616</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22,129</w:t>
            </w:r>
          </w:p>
        </w:tc>
        <w:tc>
          <w:tcPr>
            <w:tcW w:w="80" w:type="dxa"/>
            <w:vAlign w:val="bottom"/>
          </w:tcPr>
          <w:p>
            <w:pPr>
              <w:spacing w:after="0"/>
              <w:rPr>
                <w:sz w:val="17"/>
                <w:szCs w:val="17"/>
                <w:color w:val="auto"/>
              </w:rPr>
            </w:pPr>
          </w:p>
        </w:tc>
        <w:tc>
          <w:tcPr>
            <w:tcW w:w="840" w:type="dxa"/>
            <w:vAlign w:val="bottom"/>
          </w:tcPr>
          <w:p>
            <w:pPr>
              <w:jc w:val="center"/>
              <w:ind w:left="224"/>
              <w:spacing w:after="0"/>
              <w:rPr>
                <w:sz w:val="20"/>
                <w:szCs w:val="20"/>
                <w:color w:val="auto"/>
              </w:rPr>
            </w:pPr>
            <w:r>
              <w:rPr>
                <w:rFonts w:ascii="Arial" w:cs="Arial" w:eastAsia="Arial" w:hAnsi="Arial"/>
                <w:sz w:val="15"/>
                <w:szCs w:val="15"/>
                <w:color w:val="auto"/>
              </w:rPr>
              <w:t>4,403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9,273</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5,876</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7,246</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7,525</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9,680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135,570</w:t>
            </w:r>
          </w:p>
        </w:tc>
      </w:tr>
      <w:tr>
        <w:trPr>
          <w:trHeight w:val="205"/>
        </w:trPr>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2,966</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5,686</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716</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center"/>
              <w:ind w:left="224"/>
              <w:spacing w:after="0"/>
              <w:rPr>
                <w:sz w:val="20"/>
                <w:szCs w:val="20"/>
                <w:color w:val="auto"/>
              </w:rPr>
            </w:pPr>
            <w:r>
              <w:rPr>
                <w:rFonts w:ascii="Arial" w:cs="Arial" w:eastAsia="Arial" w:hAnsi="Arial"/>
                <w:sz w:val="15"/>
                <w:szCs w:val="15"/>
                <w:color w:val="auto"/>
              </w:rPr>
              <w:t>6,281</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4,806</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1,497</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2,829</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753</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30,007</w:t>
            </w:r>
          </w:p>
        </w:tc>
      </w:tr>
      <w:tr>
        <w:trPr>
          <w:trHeight w:val="342"/>
        </w:trPr>
        <w:tc>
          <w:tcPr>
            <w:tcW w:w="820" w:type="dxa"/>
            <w:vAlign w:val="bottom"/>
          </w:tcPr>
          <w:p>
            <w:pPr>
              <w:jc w:val="right"/>
              <w:ind w:right="4"/>
              <w:spacing w:after="0"/>
              <w:rPr>
                <w:sz w:val="20"/>
                <w:szCs w:val="20"/>
                <w:color w:val="auto"/>
              </w:rPr>
            </w:pPr>
            <w:r>
              <w:rPr>
                <w:rFonts w:ascii="Arial" w:cs="Arial" w:eastAsia="Arial" w:hAnsi="Arial"/>
                <w:sz w:val="15"/>
                <w:szCs w:val="15"/>
                <w:color w:val="auto"/>
              </w:rPr>
              <w:t>14,937</w:t>
            </w:r>
          </w:p>
        </w:tc>
        <w:tc>
          <w:tcPr>
            <w:tcW w:w="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10,364</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(14,909)</w:t>
            </w:r>
          </w:p>
        </w:tc>
        <w:tc>
          <w:tcPr>
            <w:tcW w:w="80" w:type="dxa"/>
            <w:vAlign w:val="bottom"/>
          </w:tcPr>
          <w:p>
            <w:pPr>
              <w:spacing w:after="0"/>
              <w:rPr>
                <w:sz w:val="24"/>
                <w:szCs w:val="24"/>
                <w:color w:val="auto"/>
              </w:rPr>
            </w:pPr>
          </w:p>
        </w:tc>
        <w:tc>
          <w:tcPr>
            <w:tcW w:w="840" w:type="dxa"/>
            <w:vAlign w:val="bottom"/>
          </w:tcPr>
          <w:p>
            <w:pPr>
              <w:jc w:val="center"/>
              <w:ind w:left="204"/>
              <w:spacing w:after="0"/>
              <w:rPr>
                <w:sz w:val="20"/>
                <w:szCs w:val="20"/>
                <w:color w:val="auto"/>
              </w:rPr>
            </w:pPr>
            <w:r>
              <w:rPr>
                <w:rFonts w:ascii="Arial" w:cs="Arial" w:eastAsia="Arial" w:hAnsi="Arial"/>
                <w:sz w:val="15"/>
                <w:szCs w:val="15"/>
                <w:color w:val="auto"/>
              </w:rPr>
              <w:t>(2,039)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2,818</w:t>
            </w:r>
          </w:p>
        </w:tc>
        <w:tc>
          <w:tcPr>
            <w:tcW w:w="8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1,486</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6,003</w:t>
            </w:r>
          </w:p>
        </w:tc>
        <w:tc>
          <w:tcPr>
            <w:tcW w:w="8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5,425</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6,971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31,056</w:t>
            </w:r>
          </w:p>
        </w:tc>
      </w:tr>
      <w:tr>
        <w:trPr>
          <w:trHeight w:val="206"/>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(22,736)</w:t>
            </w:r>
          </w:p>
        </w:tc>
      </w:tr>
      <w:tr>
        <w:trPr>
          <w:trHeight w:val="344"/>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8,320</w:t>
            </w:r>
          </w:p>
        </w:tc>
      </w:tr>
      <w:tr>
        <w:trPr>
          <w:trHeight w:val="197"/>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(31,620)</w:t>
            </w:r>
          </w:p>
        </w:tc>
      </w:tr>
      <w:tr>
        <w:trPr>
          <w:trHeight w:val="361"/>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(1,005)</w:t>
            </w:r>
          </w:p>
        </w:tc>
      </w:tr>
      <w:tr>
        <w:trPr>
          <w:trHeight w:val="203"/>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388</w:t>
            </w:r>
          </w:p>
        </w:tc>
      </w:tr>
      <w:tr>
        <w:trPr>
          <w:trHeight w:val="206"/>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(37,769)</w:t>
            </w:r>
          </w:p>
        </w:tc>
      </w:tr>
      <w:tr>
        <w:trPr>
          <w:trHeight w:val="614"/>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(61,686)</w:t>
            </w:r>
          </w:p>
        </w:tc>
      </w:tr>
      <w:tr>
        <w:trPr>
          <w:trHeight w:val="23"/>
        </w:trPr>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-2014220</wp:posOffset>
            </wp:positionV>
            <wp:extent cx="7089140" cy="231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9140" cy="23177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-1654175</wp:posOffset>
            </wp:positionV>
            <wp:extent cx="7089140" cy="231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89140" cy="23177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-1293495</wp:posOffset>
            </wp:positionV>
            <wp:extent cx="7089140" cy="2311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89140" cy="23114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-925195</wp:posOffset>
            </wp:positionV>
            <wp:extent cx="7089140" cy="231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89140" cy="23177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-565150</wp:posOffset>
            </wp:positionV>
            <wp:extent cx="708914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8914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40"/>
            <w:col w:w="9060"/>
          </w:cols>
          <w:pgMar w:left="320" w:top="944" w:right="399" w:bottom="1440" w:gutter="0" w:footer="0" w:header="0"/>
          <w:type w:val="continuous"/>
        </w:sectPr>
      </w:pPr>
    </w:p>
    <w:p>
      <w:pPr>
        <w:spacing w:after="0" w:line="87"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22"/>
          <w:szCs w:val="22"/>
          <w:b w:val="1"/>
          <w:bCs w:val="1"/>
          <w:color w:val="auto"/>
          <w:vertAlign w:val="superscript"/>
        </w:rPr>
      </w:pPr>
      <w:r>
        <w:rPr>
          <w:rFonts w:ascii="Arial" w:cs="Arial" w:eastAsia="Arial" w:hAnsi="Arial"/>
          <w:sz w:val="15"/>
          <w:szCs w:val="15"/>
          <w:color w:val="auto"/>
        </w:rPr>
        <w:t>Other consists of segment allocated management fees, amortization expense of intangible assets and stock-based compensation.</w:t>
      </w:r>
    </w:p>
    <w:p>
      <w:pPr>
        <w:spacing w:after="0" w:line="200" w:lineRule="exact"/>
        <w:rPr>
          <w:rFonts w:ascii="Arial" w:cs="Arial" w:eastAsia="Arial" w:hAnsi="Arial"/>
          <w:sz w:val="22"/>
          <w:szCs w:val="22"/>
          <w:b w:val="1"/>
          <w:bCs w:val="1"/>
          <w:color w:val="auto"/>
          <w:vertAlign w:val="superscript"/>
        </w:rPr>
      </w:pPr>
    </w:p>
    <w:p>
      <w:pPr>
        <w:spacing w:after="0" w:line="200" w:lineRule="exact"/>
        <w:rPr>
          <w:rFonts w:ascii="Arial" w:cs="Arial" w:eastAsia="Arial" w:hAnsi="Arial"/>
          <w:sz w:val="22"/>
          <w:szCs w:val="22"/>
          <w:b w:val="1"/>
          <w:bCs w:val="1"/>
          <w:color w:val="auto"/>
          <w:vertAlign w:val="superscript"/>
        </w:rPr>
      </w:pPr>
    </w:p>
    <w:p>
      <w:pPr>
        <w:spacing w:after="0" w:line="200" w:lineRule="exact"/>
        <w:rPr>
          <w:rFonts w:ascii="Arial" w:cs="Arial" w:eastAsia="Arial" w:hAnsi="Arial"/>
          <w:sz w:val="22"/>
          <w:szCs w:val="22"/>
          <w:b w:val="1"/>
          <w:bCs w:val="1"/>
          <w:color w:val="auto"/>
          <w:vertAlign w:val="superscript"/>
        </w:rPr>
      </w:pPr>
    </w:p>
    <w:p>
      <w:pPr>
        <w:spacing w:after="0" w:line="236" w:lineRule="exact"/>
        <w:rPr>
          <w:rFonts w:ascii="Arial" w:cs="Arial" w:eastAsia="Arial" w:hAnsi="Arial"/>
          <w:sz w:val="22"/>
          <w:szCs w:val="22"/>
          <w:b w:val="1"/>
          <w:bCs w:val="1"/>
          <w:color w:val="auto"/>
          <w:vertAlign w:val="superscript"/>
        </w:rPr>
      </w:pPr>
    </w:p>
    <w:p>
      <w:pPr>
        <w:ind w:left="5540"/>
        <w:spacing w:after="0"/>
        <w:rPr>
          <w:rFonts w:ascii="Arial" w:cs="Arial" w:eastAsia="Arial" w:hAnsi="Arial"/>
          <w:sz w:val="22"/>
          <w:szCs w:val="22"/>
          <w:b w:val="1"/>
          <w:bCs w:val="1"/>
          <w:color w:val="auto"/>
          <w:vertAlign w:val="superscript"/>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4" w:right="399" w:bottom="1440" w:gutter="0" w:footer="0" w:header="0"/>
          <w:type w:val="continuous"/>
        </w:sectPr>
      </w:pPr>
    </w:p>
    <w:bookmarkStart w:id="52" w:name="page53"/>
    <w:bookmarkEnd w:id="52"/>
    <w:p>
      <w:pPr>
        <w:jc w:val="center"/>
        <w:ind w:right="1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0548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54850" cy="8255"/>
                    </a:xfrm>
                    <a:prstGeom prst="rect">
                      <a:avLst/>
                    </a:prstGeom>
                    <a:noFill/>
                  </pic:spPr>
                </pic:pic>
              </a:graphicData>
            </a:graphic>
          </wp:anchor>
        </w:drawing>
        <w:t>Nine Months Ended September 30,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24"/>
              <w:spacing w:after="0"/>
              <w:rPr>
                <w:sz w:val="20"/>
                <w:szCs w:val="20"/>
                <w:color w:val="auto"/>
              </w:rPr>
            </w:pPr>
            <w:r>
              <w:rPr>
                <w:rFonts w:ascii="Arial" w:cs="Arial" w:eastAsia="Arial" w:hAnsi="Arial"/>
                <w:sz w:val="15"/>
                <w:szCs w:val="15"/>
                <w:b w:val="1"/>
                <w:bCs w:val="1"/>
                <w:color w:val="auto"/>
              </w:rPr>
              <w:t>5.11</w:t>
            </w:r>
          </w:p>
        </w:tc>
        <w:tc>
          <w:tcPr>
            <w:tcW w:w="92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BOA</w:t>
            </w:r>
          </w:p>
        </w:tc>
        <w:tc>
          <w:tcPr>
            <w:tcW w:w="88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5"/>
                <w:szCs w:val="15"/>
                <w:b w:val="1"/>
                <w:bCs w:val="1"/>
                <w:color w:val="auto"/>
              </w:rPr>
              <w:t>Lugano</w:t>
            </w:r>
          </w:p>
        </w:tc>
        <w:tc>
          <w:tcPr>
            <w:tcW w:w="100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5"/>
                <w:szCs w:val="15"/>
                <w:b w:val="1"/>
                <w:bCs w:val="1"/>
                <w:color w:val="auto"/>
              </w:rPr>
              <w:t>PrimaLoft</w:t>
            </w:r>
          </w:p>
        </w:tc>
        <w:tc>
          <w:tcPr>
            <w:tcW w:w="9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5"/>
                <w:szCs w:val="15"/>
                <w:b w:val="1"/>
                <w:bCs w:val="1"/>
                <w:color w:val="auto"/>
              </w:rPr>
              <w:t>THP</w:t>
            </w:r>
          </w:p>
        </w:tc>
        <w:tc>
          <w:tcPr>
            <w:tcW w:w="9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5"/>
                <w:szCs w:val="15"/>
                <w:b w:val="1"/>
                <w:bCs w:val="1"/>
                <w:color w:val="auto"/>
              </w:rPr>
              <w:t>Velocity</w:t>
            </w:r>
          </w:p>
        </w:tc>
        <w:tc>
          <w:tcPr>
            <w:tcW w:w="9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5"/>
                <w:szCs w:val="15"/>
                <w:b w:val="1"/>
                <w:bCs w:val="1"/>
                <w:color w:val="auto"/>
              </w:rPr>
              <w:t>Altor</w:t>
            </w:r>
          </w:p>
        </w:tc>
        <w:tc>
          <w:tcPr>
            <w:tcW w:w="9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5"/>
                <w:szCs w:val="15"/>
                <w:b w:val="1"/>
                <w:bCs w:val="1"/>
                <w:color w:val="auto"/>
              </w:rPr>
              <w:t>Arnold</w:t>
            </w:r>
          </w:p>
        </w:tc>
        <w:tc>
          <w:tcPr>
            <w:tcW w:w="9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5"/>
                <w:szCs w:val="15"/>
                <w:b w:val="1"/>
                <w:bCs w:val="1"/>
                <w:color w:val="auto"/>
              </w:rPr>
              <w:t>Sterno</w:t>
            </w:r>
          </w:p>
        </w:tc>
        <w:tc>
          <w:tcPr>
            <w:tcW w:w="86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b w:val="1"/>
                <w:bCs w:val="1"/>
                <w:color w:val="auto"/>
              </w:rPr>
              <w:t>Outdoor</w:t>
            </w:r>
          </w:p>
        </w:tc>
        <w:tc>
          <w:tcPr>
            <w:tcW w:w="9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404,052</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141,187</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70,966</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61,794</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103,716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57,454</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239,386</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110,126</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216,346</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$1,405,027</w:t>
            </w:r>
          </w:p>
        </w:tc>
        <w:tc>
          <w:tcPr>
            <w:tcW w:w="0" w:type="dxa"/>
            <w:vAlign w:val="bottom"/>
          </w:tcPr>
          <w:p>
            <w:pPr>
              <w:spacing w:after="0"/>
              <w:rPr>
                <w:sz w:val="1"/>
                <w:szCs w:val="1"/>
                <w:color w:val="auto"/>
              </w:rPr>
            </w:pPr>
          </w:p>
        </w:tc>
      </w:tr>
      <w:tr>
        <w:trPr>
          <w:trHeight w:val="200"/>
        </w:trPr>
        <w:tc>
          <w:tcPr>
            <w:tcW w:w="204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186,595</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50,677</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31,050</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22,317</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46,061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39,845</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177,457</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84,470</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154,267</w:t>
            </w:r>
          </w:p>
        </w:tc>
        <w:tc>
          <w:tcPr>
            <w:tcW w:w="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792,739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038" w:right="359" w:bottom="1440" w:gutter="0" w:footer="0" w:header="0"/>
        </w:sectPr>
      </w:pPr>
    </w:p>
    <w:p>
      <w:pPr>
        <w:ind w:left="20" w:right="38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b w:val="1"/>
          <w:bCs w:val="1"/>
          <w:color w:val="auto"/>
          <w:vertAlign w:val="superscript"/>
        </w:rPr>
        <w:t>(1)</w:t>
      </w:r>
    </w:p>
    <w:p>
      <w:pPr>
        <w:ind w:left="36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Corporate</w:t>
      </w:r>
    </w:p>
    <w:p>
      <w:pPr>
        <w:spacing w:after="0" w:line="30" w:lineRule="exact"/>
        <w:rPr>
          <w:sz w:val="20"/>
          <w:szCs w:val="20"/>
          <w:color w:val="auto"/>
        </w:rPr>
      </w:pPr>
    </w:p>
    <w:p>
      <w:pPr>
        <w:ind w:left="360" w:right="400"/>
        <w:spacing w:after="0" w:line="245" w:lineRule="auto"/>
        <w:rPr>
          <w:sz w:val="20"/>
          <w:szCs w:val="20"/>
          <w:color w:val="auto"/>
        </w:rPr>
      </w:pPr>
      <w:r>
        <w:rPr>
          <w:rFonts w:ascii="Arial" w:cs="Arial" w:eastAsia="Arial" w:hAnsi="Arial"/>
          <w:sz w:val="15"/>
          <w:szCs w:val="15"/>
          <w:color w:val="auto"/>
        </w:rPr>
        <w:t>Total consolidated operating loss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30" w:lineRule="exact"/>
        <w:rPr>
          <w:sz w:val="20"/>
          <w:szCs w:val="20"/>
          <w:color w:val="auto"/>
        </w:rPr>
      </w:pPr>
    </w:p>
    <w:p>
      <w:pPr>
        <w:ind w:left="20" w:right="600"/>
        <w:spacing w:after="0" w:line="245" w:lineRule="auto"/>
        <w:rPr>
          <w:sz w:val="20"/>
          <w:szCs w:val="20"/>
          <w:color w:val="auto"/>
        </w:rPr>
      </w:pPr>
      <w:r>
        <w:rPr>
          <w:rFonts w:ascii="Arial" w:cs="Arial" w:eastAsia="Arial" w:hAnsi="Arial"/>
          <w:sz w:val="15"/>
          <w:szCs w:val="15"/>
          <w:color w:val="auto"/>
        </w:rPr>
        <w:t>Amortization of debt issuance costs</w:t>
      </w:r>
    </w:p>
    <w:p>
      <w:pPr>
        <w:spacing w:after="0" w:line="12" w:lineRule="exact"/>
        <w:rPr>
          <w:sz w:val="20"/>
          <w:szCs w:val="20"/>
          <w:color w:val="auto"/>
        </w:rPr>
      </w:pPr>
    </w:p>
    <w:p>
      <w:pPr>
        <w:ind w:left="20" w:right="220"/>
        <w:spacing w:after="0" w:line="281" w:lineRule="auto"/>
        <w:rPr>
          <w:sz w:val="20"/>
          <w:szCs w:val="20"/>
          <w:color w:val="auto"/>
        </w:rPr>
      </w:pPr>
      <w:r>
        <w:rPr>
          <w:rFonts w:ascii="Arial" w:cs="Arial" w:eastAsia="Arial" w:hAnsi="Arial"/>
          <w:sz w:val="15"/>
          <w:szCs w:val="15"/>
          <w:color w:val="auto"/>
        </w:rPr>
        <w:t>Loss on debt modification Other income, net</w:t>
      </w:r>
    </w:p>
    <w:p>
      <w:pPr>
        <w:spacing w:after="0" w:line="1" w:lineRule="exact"/>
        <w:rPr>
          <w:sz w:val="20"/>
          <w:szCs w:val="20"/>
          <w:color w:val="auto"/>
        </w:rPr>
      </w:pPr>
    </w:p>
    <w:p>
      <w:pPr>
        <w:ind w:left="360" w:right="100"/>
        <w:spacing w:after="0" w:line="219" w:lineRule="auto"/>
        <w:rPr>
          <w:sz w:val="20"/>
          <w:szCs w:val="20"/>
          <w:color w:val="auto"/>
        </w:rPr>
      </w:pPr>
      <w:r>
        <w:rPr>
          <w:rFonts w:ascii="Arial" w:cs="Arial" w:eastAsia="Arial" w:hAnsi="Arial"/>
          <w:sz w:val="15"/>
          <w:szCs w:val="15"/>
          <w:color w:val="auto"/>
        </w:rPr>
        <w:t>Total consolidated loss from continuing operations before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income 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40" w:type="dxa"/>
            <w:vAlign w:val="bottom"/>
          </w:tcPr>
          <w:p>
            <w:pPr>
              <w:jc w:val="right"/>
              <w:spacing w:after="0"/>
              <w:rPr>
                <w:sz w:val="20"/>
                <w:szCs w:val="20"/>
                <w:color w:val="auto"/>
              </w:rPr>
            </w:pPr>
            <w:r>
              <w:rPr>
                <w:rFonts w:ascii="Arial" w:cs="Arial" w:eastAsia="Arial" w:hAnsi="Arial"/>
                <w:sz w:val="15"/>
                <w:szCs w:val="15"/>
                <w:color w:val="auto"/>
              </w:rPr>
              <w:t>173,860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35,273</w:t>
            </w:r>
          </w:p>
        </w:tc>
        <w:tc>
          <w:tcPr>
            <w:tcW w:w="80" w:type="dxa"/>
            <w:vAlign w:val="bottom"/>
          </w:tcPr>
          <w:p>
            <w:pPr>
              <w:spacing w:after="0"/>
              <w:rPr>
                <w:sz w:val="17"/>
                <w:szCs w:val="17"/>
                <w:color w:val="auto"/>
              </w:rPr>
            </w:pPr>
          </w:p>
        </w:tc>
        <w:tc>
          <w:tcPr>
            <w:tcW w:w="820" w:type="dxa"/>
            <w:vAlign w:val="bottom"/>
          </w:tcPr>
          <w:p>
            <w:pPr>
              <w:jc w:val="center"/>
              <w:ind w:left="124"/>
              <w:spacing w:after="0"/>
              <w:rPr>
                <w:sz w:val="20"/>
                <w:szCs w:val="20"/>
                <w:color w:val="auto"/>
              </w:rPr>
            </w:pPr>
            <w:r>
              <w:rPr>
                <w:rFonts w:ascii="Arial" w:cs="Arial" w:eastAsia="Arial" w:hAnsi="Arial"/>
                <w:sz w:val="15"/>
                <w:szCs w:val="15"/>
                <w:color w:val="auto"/>
              </w:rPr>
              <w:t>77,120</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14,174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32,837</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14,375</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32,836</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22,898</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25,776</w:t>
            </w:r>
          </w:p>
        </w:tc>
        <w:tc>
          <w:tcPr>
            <w:tcW w:w="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429,149</w:t>
            </w:r>
          </w:p>
        </w:tc>
      </w:tr>
      <w:tr>
        <w:trPr>
          <w:trHeight w:val="205"/>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9,002</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16,738</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center"/>
              <w:ind w:left="124"/>
              <w:spacing w:after="0"/>
              <w:rPr>
                <w:sz w:val="20"/>
                <w:szCs w:val="20"/>
                <w:color w:val="auto"/>
              </w:rPr>
            </w:pPr>
            <w:r>
              <w:rPr>
                <w:rFonts w:ascii="Arial" w:cs="Arial" w:eastAsia="Arial" w:hAnsi="Arial"/>
                <w:sz w:val="15"/>
                <w:szCs w:val="15"/>
                <w:color w:val="auto"/>
              </w:rPr>
              <w:t>34,024</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18,113</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13,622</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4,058</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11,674</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2,261</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9,019</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118,511</w:t>
            </w:r>
          </w:p>
        </w:tc>
      </w:tr>
      <w:tr>
        <w:trPr>
          <w:trHeight w:val="342"/>
        </w:trPr>
        <w:tc>
          <w:tcPr>
            <w:tcW w:w="840" w:type="dxa"/>
            <w:vAlign w:val="bottom"/>
          </w:tcPr>
          <w:p>
            <w:pPr>
              <w:jc w:val="right"/>
              <w:spacing w:after="0"/>
              <w:rPr>
                <w:sz w:val="20"/>
                <w:szCs w:val="20"/>
                <w:color w:val="auto"/>
              </w:rPr>
            </w:pPr>
            <w:r>
              <w:rPr>
                <w:rFonts w:ascii="Arial" w:cs="Arial" w:eastAsia="Arial" w:hAnsi="Arial"/>
                <w:sz w:val="15"/>
                <w:szCs w:val="15"/>
                <w:color w:val="auto"/>
              </w:rPr>
              <w:t>34,595</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38,499</w:t>
            </w:r>
          </w:p>
        </w:tc>
        <w:tc>
          <w:tcPr>
            <w:tcW w:w="80" w:type="dxa"/>
            <w:vAlign w:val="bottom"/>
          </w:tcPr>
          <w:p>
            <w:pPr>
              <w:spacing w:after="0"/>
              <w:rPr>
                <w:sz w:val="24"/>
                <w:szCs w:val="24"/>
                <w:color w:val="auto"/>
              </w:rPr>
            </w:pPr>
          </w:p>
        </w:tc>
        <w:tc>
          <w:tcPr>
            <w:tcW w:w="820" w:type="dxa"/>
            <w:vAlign w:val="bottom"/>
          </w:tcPr>
          <w:p>
            <w:pPr>
              <w:jc w:val="center"/>
              <w:ind w:left="104"/>
              <w:spacing w:after="0"/>
              <w:rPr>
                <w:sz w:val="20"/>
                <w:szCs w:val="20"/>
                <w:color w:val="auto"/>
              </w:rPr>
            </w:pPr>
            <w:r>
              <w:rPr>
                <w:rFonts w:ascii="Arial" w:cs="Arial" w:eastAsia="Arial" w:hAnsi="Arial"/>
                <w:sz w:val="15"/>
                <w:szCs w:val="15"/>
                <w:color w:val="auto"/>
              </w:rPr>
              <w:t>(71,228)</w:t>
            </w:r>
          </w:p>
        </w:tc>
        <w:tc>
          <w:tcPr>
            <w:tcW w:w="8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7,190</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11,196</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(824)</w:t>
            </w:r>
          </w:p>
        </w:tc>
        <w:tc>
          <w:tcPr>
            <w:tcW w:w="8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17,419</w:t>
            </w:r>
          </w:p>
        </w:tc>
        <w:tc>
          <w:tcPr>
            <w:tcW w:w="8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497</w:t>
            </w:r>
          </w:p>
        </w:tc>
        <w:tc>
          <w:tcPr>
            <w:tcW w:w="8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27,284</w:t>
            </w:r>
          </w:p>
        </w:tc>
        <w:tc>
          <w:tcPr>
            <w:tcW w:w="8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64,628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-587375</wp:posOffset>
            </wp:positionV>
            <wp:extent cx="7054850" cy="231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54850" cy="2311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-227330</wp:posOffset>
            </wp:positionV>
            <wp:extent cx="7054850" cy="2311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54850" cy="23114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5"/>
          <w:szCs w:val="15"/>
          <w:color w:val="auto"/>
        </w:rPr>
        <w:t>(99,492)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21590</wp:posOffset>
            </wp:positionV>
            <wp:extent cx="7054850" cy="231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54850" cy="231775"/>
                    </a:xfrm>
                    <a:prstGeom prst="rect">
                      <a:avLst/>
                    </a:prstGeom>
                    <a:noFill/>
                  </pic:spPr>
                </pic:pic>
              </a:graphicData>
            </a:graphic>
          </wp:anchor>
        </w:drawing>
      </w:r>
    </w:p>
    <w:p>
      <w:pPr>
        <w:spacing w:after="0" w:line="172"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(34,864)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5215890</wp:posOffset>
            </wp:positionH>
            <wp:positionV relativeFrom="paragraph">
              <wp:posOffset>21590</wp:posOffset>
            </wp:positionV>
            <wp:extent cx="5486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(136,668)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21590</wp:posOffset>
            </wp:positionV>
            <wp:extent cx="7054850" cy="2311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54850" cy="231140"/>
                    </a:xfrm>
                    <a:prstGeom prst="rect">
                      <a:avLst/>
                    </a:prstGeom>
                    <a:noFill/>
                  </pic:spPr>
                </pic:pic>
              </a:graphicData>
            </a:graphic>
          </wp:anchor>
        </w:drawing>
      </w:r>
    </w:p>
    <w:p>
      <w:pPr>
        <w:spacing w:after="0" w:line="172"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(2,922)</w:t>
      </w:r>
    </w:p>
    <w:p>
      <w:pPr>
        <w:spacing w:after="0" w:line="30"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(2,827)</w:t>
      </w:r>
    </w:p>
    <w:p>
      <w:pPr>
        <w:spacing w:after="0" w:line="30"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(14,311)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-106680</wp:posOffset>
            </wp:positionV>
            <wp:extent cx="705485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8240"/>
        <w:spacing w:after="0"/>
        <w:rPr>
          <w:sz w:val="20"/>
          <w:szCs w:val="20"/>
          <w:color w:val="auto"/>
        </w:rPr>
      </w:pPr>
      <w:r>
        <w:rPr>
          <w:rFonts w:ascii="Arial" w:cs="Arial" w:eastAsia="Arial" w:hAnsi="Arial"/>
          <w:sz w:val="15"/>
          <w:szCs w:val="15"/>
          <w:color w:val="auto"/>
        </w:rPr>
        <w:t>$ (191,592)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5215890</wp:posOffset>
            </wp:positionH>
            <wp:positionV relativeFrom="paragraph">
              <wp:posOffset>21590</wp:posOffset>
            </wp:positionV>
            <wp:extent cx="5486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46990</wp:posOffset>
            </wp:positionV>
            <wp:extent cx="5486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1980" w:space="60"/>
            <w:col w:w="9180"/>
          </w:cols>
          <w:pgMar w:left="320" w:top="1038" w:right="359" w:bottom="1440" w:gutter="0" w:footer="0" w:header="0"/>
          <w:type w:val="continuous"/>
        </w:sectPr>
      </w:pPr>
    </w:p>
    <w:p>
      <w:pPr>
        <w:spacing w:after="0" w:line="243" w:lineRule="exact"/>
        <w:rPr>
          <w:sz w:val="20"/>
          <w:szCs w:val="20"/>
          <w:color w:val="auto"/>
        </w:rPr>
      </w:pPr>
    </w:p>
    <w:p>
      <w:pPr>
        <w:ind w:firstLine="8"/>
        <w:spacing w:after="0" w:line="222" w:lineRule="auto"/>
        <w:tabs>
          <w:tab w:leader="none" w:pos="209" w:val="left"/>
        </w:tabs>
        <w:numPr>
          <w:ilvl w:val="0"/>
          <w:numId w:val="25"/>
        </w:numPr>
        <w:rPr>
          <w:rFonts w:ascii="Arial" w:cs="Arial" w:eastAsia="Arial" w:hAnsi="Arial"/>
          <w:sz w:val="24"/>
          <w:szCs w:val="24"/>
          <w:b w:val="1"/>
          <w:bCs w:val="1"/>
          <w:color w:val="auto"/>
          <w:vertAlign w:val="superscript"/>
        </w:rPr>
      </w:pPr>
      <w:r>
        <w:rPr>
          <w:rFonts w:ascii="Arial" w:cs="Arial" w:eastAsia="Arial" w:hAnsi="Arial"/>
          <w:sz w:val="16"/>
          <w:szCs w:val="16"/>
          <w:color w:val="auto"/>
        </w:rPr>
        <w:t>Other consists of segment allocated management fees, amortization expense of intangible assets, stock-based compensation and impairment expense at Lugano of $31.5 million.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8" w:right="359" w:bottom="1440" w:gutter="0" w:footer="0" w:header="0"/>
          <w:type w:val="continuous"/>
        </w:sectPr>
      </w:pPr>
    </w:p>
    <w:bookmarkStart w:id="53" w:name="page54"/>
    <w:bookmarkEnd w:id="53"/>
    <w:p>
      <w:pPr>
        <w:jc w:val="center"/>
        <w:ind w:right="2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6951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51980" cy="8255"/>
                    </a:xfrm>
                    <a:prstGeom prst="rect">
                      <a:avLst/>
                    </a:prstGeom>
                    <a:noFill/>
                  </pic:spPr>
                </pic:pic>
              </a:graphicData>
            </a:graphic>
          </wp:anchor>
        </w:drawing>
        <w:t>Nine Months Ended September 30,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b w:val="1"/>
                <w:bCs w:val="1"/>
                <w:color w:val="auto"/>
              </w:rPr>
              <w:t>5.11</w:t>
            </w:r>
          </w:p>
        </w:tc>
        <w:tc>
          <w:tcPr>
            <w:tcW w:w="860" w:type="dxa"/>
            <w:vAlign w:val="bottom"/>
            <w:tcBorders>
              <w:top w:val="single" w:sz="8" w:color="auto"/>
            </w:tcBorders>
            <w:vMerge w:val="restart"/>
          </w:tcPr>
          <w:p>
            <w:pPr>
              <w:jc w:val="right"/>
              <w:ind w:right="164"/>
              <w:spacing w:after="0"/>
              <w:rPr>
                <w:sz w:val="20"/>
                <w:szCs w:val="20"/>
                <w:color w:val="auto"/>
              </w:rPr>
            </w:pPr>
            <w:r>
              <w:rPr>
                <w:rFonts w:ascii="Arial" w:cs="Arial" w:eastAsia="Arial" w:hAnsi="Arial"/>
                <w:sz w:val="15"/>
                <w:szCs w:val="15"/>
                <w:b w:val="1"/>
                <w:bCs w:val="1"/>
                <w:color w:val="auto"/>
              </w:rPr>
              <w:t>BOA</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center"/>
              <w:ind w:right="65"/>
              <w:spacing w:after="0"/>
              <w:rPr>
                <w:sz w:val="20"/>
                <w:szCs w:val="20"/>
                <w:color w:val="auto"/>
              </w:rPr>
            </w:pPr>
            <w:r>
              <w:rPr>
                <w:rFonts w:ascii="Arial" w:cs="Arial" w:eastAsia="Arial" w:hAnsi="Arial"/>
                <w:sz w:val="15"/>
                <w:szCs w:val="15"/>
                <w:b w:val="1"/>
                <w:bCs w:val="1"/>
                <w:color w:val="auto"/>
              </w:rPr>
              <w:t>Lugano</w:t>
            </w:r>
          </w:p>
        </w:tc>
        <w:tc>
          <w:tcPr>
            <w:tcW w:w="9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5"/>
                <w:szCs w:val="15"/>
                <w:b w:val="1"/>
                <w:bCs w:val="1"/>
                <w:color w:val="auto"/>
              </w:rPr>
              <w:t>PrimaLoft</w:t>
            </w:r>
          </w:p>
        </w:tc>
        <w:tc>
          <w:tcPr>
            <w:tcW w:w="86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5"/>
                <w:szCs w:val="15"/>
                <w:b w:val="1"/>
                <w:bCs w:val="1"/>
                <w:color w:val="auto"/>
              </w:rPr>
              <w:t>THP</w:t>
            </w:r>
          </w:p>
        </w:tc>
        <w:tc>
          <w:tcPr>
            <w:tcW w:w="8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5"/>
                <w:szCs w:val="15"/>
                <w:b w:val="1"/>
                <w:bCs w:val="1"/>
                <w:color w:val="auto"/>
              </w:rPr>
              <w:t>Velocity</w:t>
            </w:r>
          </w:p>
        </w:tc>
        <w:tc>
          <w:tcPr>
            <w:tcW w:w="8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5"/>
                <w:szCs w:val="15"/>
                <w:b w:val="1"/>
                <w:bCs w:val="1"/>
                <w:color w:val="auto"/>
              </w:rPr>
              <w:t>Altor</w:t>
            </w:r>
          </w:p>
        </w:tc>
        <w:tc>
          <w:tcPr>
            <w:tcW w:w="8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Arnold</w:t>
            </w:r>
          </w:p>
        </w:tc>
        <w:tc>
          <w:tcPr>
            <w:tcW w:w="8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Sterno</w:t>
            </w: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5"/>
                <w:szCs w:val="15"/>
                <w:b w:val="1"/>
                <w:bCs w:val="1"/>
                <w:color w:val="auto"/>
              </w:rPr>
              <w:t>Outdoor</w:t>
            </w: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65"/>
              <w:spacing w:after="0" w:line="147" w:lineRule="exact"/>
              <w:rPr>
                <w:sz w:val="20"/>
                <w:szCs w:val="20"/>
                <w:color w:val="auto"/>
              </w:rPr>
            </w:pPr>
            <w:r>
              <w:rPr>
                <w:rFonts w:ascii="Arial" w:cs="Arial" w:eastAsia="Arial" w:hAnsi="Arial"/>
                <w:sz w:val="14"/>
                <w:szCs w:val="14"/>
                <w:b w:val="1"/>
                <w:bCs w:val="1"/>
                <w:color w:val="auto"/>
              </w:rPr>
              <w:t>(As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89"/>
        </w:trPr>
        <w:tc>
          <w:tcPr>
            <w:tcW w:w="20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Restated)</w:t>
            </w: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$ 387,393</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$ 142,670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37,087</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61,518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75,892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77,419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$ 157,746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$ 130,545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$ 223,814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  1,294,084</w:t>
            </w:r>
          </w:p>
        </w:tc>
        <w:tc>
          <w:tcPr>
            <w:tcW w:w="0" w:type="dxa"/>
            <w:vAlign w:val="bottom"/>
          </w:tcPr>
          <w:p>
            <w:pPr>
              <w:spacing w:after="0"/>
              <w:rPr>
                <w:sz w:val="1"/>
                <w:szCs w:val="1"/>
                <w:color w:val="auto"/>
              </w:rPr>
            </w:pPr>
          </w:p>
        </w:tc>
      </w:tr>
      <w:tr>
        <w:trPr>
          <w:trHeight w:val="200"/>
        </w:trPr>
        <w:tc>
          <w:tcPr>
            <w:tcW w:w="202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20" w:type="dxa"/>
            <w:vAlign w:val="bottom"/>
          </w:tcPr>
          <w:p>
            <w:pPr>
              <w:jc w:val="right"/>
              <w:ind w:right="24"/>
              <w:spacing w:after="0"/>
              <w:rPr>
                <w:sz w:val="20"/>
                <w:szCs w:val="20"/>
                <w:color w:val="auto"/>
              </w:rPr>
            </w:pPr>
            <w:r>
              <w:rPr>
                <w:rFonts w:ascii="Arial" w:cs="Arial" w:eastAsia="Arial" w:hAnsi="Arial"/>
                <w:sz w:val="15"/>
                <w:szCs w:val="15"/>
                <w:color w:val="auto"/>
              </w:rPr>
              <w:t>179,256</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53,719</w:t>
            </w:r>
          </w:p>
        </w:tc>
        <w:tc>
          <w:tcPr>
            <w:tcW w:w="20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14,978</w:t>
            </w:r>
          </w:p>
        </w:tc>
        <w:tc>
          <w:tcPr>
            <w:tcW w:w="860" w:type="dxa"/>
            <w:vAlign w:val="bottom"/>
          </w:tcPr>
          <w:p>
            <w:pPr>
              <w:jc w:val="right"/>
              <w:spacing w:after="0"/>
              <w:rPr>
                <w:sz w:val="20"/>
                <w:szCs w:val="20"/>
                <w:color w:val="auto"/>
              </w:rPr>
            </w:pPr>
            <w:r>
              <w:rPr>
                <w:rFonts w:ascii="Arial" w:cs="Arial" w:eastAsia="Arial" w:hAnsi="Arial"/>
                <w:sz w:val="15"/>
                <w:szCs w:val="15"/>
                <w:color w:val="auto"/>
              </w:rPr>
              <w:t>22,781</w:t>
            </w:r>
          </w:p>
        </w:tc>
        <w:tc>
          <w:tcPr>
            <w:tcW w:w="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39,087</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56,435</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110,466</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92,591</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165,001</w:t>
            </w:r>
          </w:p>
        </w:tc>
        <w:tc>
          <w:tcPr>
            <w:tcW w:w="80" w:type="dxa"/>
            <w:vAlign w:val="bottom"/>
          </w:tcPr>
          <w:p>
            <w:pPr>
              <w:spacing w:after="0"/>
              <w:rPr>
                <w:sz w:val="17"/>
                <w:szCs w:val="17"/>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734,314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38" w:right="339" w:bottom="1440" w:gutter="0" w:footer="0" w:header="0"/>
        </w:sectPr>
      </w:pPr>
    </w:p>
    <w:p>
      <w:pPr>
        <w:ind w:left="20" w:right="38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b w:val="1"/>
          <w:bCs w:val="1"/>
          <w:color w:val="auto"/>
          <w:vertAlign w:val="superscript"/>
        </w:rPr>
        <w:t>(1)</w:t>
      </w:r>
    </w:p>
    <w:p>
      <w:pPr>
        <w:ind w:left="36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Corporate</w:t>
      </w:r>
    </w:p>
    <w:p>
      <w:pPr>
        <w:spacing w:after="0" w:line="30" w:lineRule="exact"/>
        <w:rPr>
          <w:sz w:val="20"/>
          <w:szCs w:val="20"/>
          <w:color w:val="auto"/>
        </w:rPr>
      </w:pPr>
    </w:p>
    <w:p>
      <w:pPr>
        <w:ind w:left="360" w:right="400"/>
        <w:spacing w:after="0" w:line="245" w:lineRule="auto"/>
        <w:rPr>
          <w:sz w:val="20"/>
          <w:szCs w:val="20"/>
          <w:color w:val="auto"/>
        </w:rPr>
      </w:pPr>
      <w:r>
        <w:rPr>
          <w:rFonts w:ascii="Arial" w:cs="Arial" w:eastAsia="Arial" w:hAnsi="Arial"/>
          <w:sz w:val="15"/>
          <w:szCs w:val="15"/>
          <w:color w:val="auto"/>
        </w:rPr>
        <w:t>Total consolidated operating loss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30" w:lineRule="exact"/>
        <w:rPr>
          <w:sz w:val="20"/>
          <w:szCs w:val="20"/>
          <w:color w:val="auto"/>
        </w:rPr>
      </w:pPr>
    </w:p>
    <w:p>
      <w:pPr>
        <w:ind w:left="20" w:right="600"/>
        <w:spacing w:after="0" w:line="245" w:lineRule="auto"/>
        <w:rPr>
          <w:sz w:val="20"/>
          <w:szCs w:val="20"/>
          <w:color w:val="auto"/>
        </w:rPr>
      </w:pPr>
      <w:r>
        <w:rPr>
          <w:rFonts w:ascii="Arial" w:cs="Arial" w:eastAsia="Arial" w:hAnsi="Arial"/>
          <w:sz w:val="15"/>
          <w:szCs w:val="15"/>
          <w:color w:val="auto"/>
        </w:rPr>
        <w:t>Amortization of debt issuance costs</w:t>
      </w:r>
    </w:p>
    <w:p>
      <w:pPr>
        <w:spacing w:after="0" w:line="12" w:lineRule="exact"/>
        <w:rPr>
          <w:sz w:val="20"/>
          <w:szCs w:val="20"/>
          <w:color w:val="auto"/>
        </w:rPr>
      </w:pPr>
    </w:p>
    <w:p>
      <w:pPr>
        <w:ind w:left="20" w:right="260"/>
        <w:spacing w:after="0" w:line="281" w:lineRule="auto"/>
        <w:rPr>
          <w:sz w:val="20"/>
          <w:szCs w:val="20"/>
          <w:color w:val="auto"/>
        </w:rPr>
      </w:pPr>
      <w:r>
        <w:rPr>
          <w:rFonts w:ascii="Arial" w:cs="Arial" w:eastAsia="Arial" w:hAnsi="Arial"/>
          <w:sz w:val="15"/>
          <w:szCs w:val="15"/>
          <w:color w:val="auto"/>
        </w:rPr>
        <w:t>Loss on sale of Crosman Other (expense), net</w:t>
      </w:r>
    </w:p>
    <w:p>
      <w:pPr>
        <w:spacing w:after="0" w:line="1" w:lineRule="exact"/>
        <w:rPr>
          <w:sz w:val="20"/>
          <w:szCs w:val="20"/>
          <w:color w:val="auto"/>
        </w:rPr>
      </w:pPr>
    </w:p>
    <w:p>
      <w:pPr>
        <w:ind w:left="360" w:right="100"/>
        <w:spacing w:after="0" w:line="219" w:lineRule="auto"/>
        <w:rPr>
          <w:sz w:val="20"/>
          <w:szCs w:val="20"/>
          <w:color w:val="auto"/>
        </w:rPr>
      </w:pPr>
      <w:r>
        <w:rPr>
          <w:rFonts w:ascii="Arial" w:cs="Arial" w:eastAsia="Arial" w:hAnsi="Arial"/>
          <w:sz w:val="15"/>
          <w:szCs w:val="15"/>
          <w:color w:val="auto"/>
        </w:rPr>
        <w:t>Total consolidated loss from continuing operations before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income 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00" w:type="dxa"/>
            <w:vAlign w:val="bottom"/>
          </w:tcPr>
          <w:p>
            <w:pPr>
              <w:jc w:val="right"/>
              <w:ind w:right="4"/>
              <w:spacing w:after="0"/>
              <w:rPr>
                <w:sz w:val="20"/>
                <w:szCs w:val="20"/>
                <w:color w:val="auto"/>
              </w:rPr>
            </w:pPr>
            <w:r>
              <w:rPr>
                <w:rFonts w:ascii="Arial" w:cs="Arial" w:eastAsia="Arial" w:hAnsi="Arial"/>
                <w:sz w:val="15"/>
                <w:szCs w:val="15"/>
                <w:color w:val="auto"/>
              </w:rPr>
              <w:t>165,440</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35,552</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65,182</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13,794</w:t>
            </w:r>
          </w:p>
        </w:tc>
        <w:tc>
          <w:tcPr>
            <w:tcW w:w="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23,323</w:t>
            </w:r>
          </w:p>
        </w:tc>
        <w:tc>
          <w:tcPr>
            <w:tcW w:w="80" w:type="dxa"/>
            <w:vAlign w:val="bottom"/>
          </w:tcPr>
          <w:p>
            <w:pPr>
              <w:spacing w:after="0"/>
              <w:rPr>
                <w:sz w:val="17"/>
                <w:szCs w:val="17"/>
                <w:color w:val="auto"/>
              </w:rPr>
            </w:pPr>
          </w:p>
        </w:tc>
        <w:tc>
          <w:tcPr>
            <w:tcW w:w="760" w:type="dxa"/>
            <w:vAlign w:val="bottom"/>
          </w:tcPr>
          <w:p>
            <w:pPr>
              <w:jc w:val="center"/>
              <w:ind w:left="84"/>
              <w:spacing w:after="0"/>
              <w:rPr>
                <w:sz w:val="20"/>
                <w:szCs w:val="20"/>
                <w:color w:val="auto"/>
              </w:rPr>
            </w:pPr>
            <w:r>
              <w:rPr>
                <w:rFonts w:ascii="Arial" w:cs="Arial" w:eastAsia="Arial" w:hAnsi="Arial"/>
                <w:sz w:val="15"/>
                <w:szCs w:val="15"/>
                <w:color w:val="auto"/>
              </w:rPr>
              <w:t>19,574</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20,971</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20,787</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26,121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390,744</w:t>
            </w:r>
          </w:p>
        </w:tc>
      </w:tr>
      <w:tr>
        <w:trPr>
          <w:trHeight w:val="206"/>
        </w:trPr>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8,894</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16,909</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2,303</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18,183</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15,844</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center"/>
              <w:ind w:left="84"/>
              <w:spacing w:after="0"/>
              <w:rPr>
                <w:sz w:val="20"/>
                <w:szCs w:val="20"/>
                <w:color w:val="auto"/>
              </w:rPr>
            </w:pPr>
            <w:r>
              <w:rPr>
                <w:rFonts w:ascii="Arial" w:cs="Arial" w:eastAsia="Arial" w:hAnsi="Arial"/>
                <w:sz w:val="15"/>
                <w:szCs w:val="15"/>
                <w:color w:val="auto"/>
              </w:rPr>
              <w:t>14,283</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8,522</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2,262</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13,066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100,266</w:t>
            </w:r>
          </w:p>
        </w:tc>
      </w:tr>
      <w:tr>
        <w:trPr>
          <w:trHeight w:val="342"/>
        </w:trPr>
        <w:tc>
          <w:tcPr>
            <w:tcW w:w="800" w:type="dxa"/>
            <w:vAlign w:val="bottom"/>
          </w:tcPr>
          <w:p>
            <w:pPr>
              <w:jc w:val="right"/>
              <w:ind w:right="4"/>
              <w:spacing w:after="0"/>
              <w:rPr>
                <w:sz w:val="20"/>
                <w:szCs w:val="20"/>
                <w:color w:val="auto"/>
              </w:rPr>
            </w:pPr>
            <w:r>
              <w:rPr>
                <w:rFonts w:ascii="Arial" w:cs="Arial" w:eastAsia="Arial" w:hAnsi="Arial"/>
                <w:sz w:val="15"/>
                <w:szCs w:val="15"/>
                <w:color w:val="auto"/>
              </w:rPr>
              <w:t>33,803</w:t>
            </w:r>
          </w:p>
        </w:tc>
        <w:tc>
          <w:tcPr>
            <w:tcW w:w="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36,490</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(45,376)</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6,760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(2,362)</w:t>
            </w:r>
          </w:p>
        </w:tc>
        <w:tc>
          <w:tcPr>
            <w:tcW w:w="80" w:type="dxa"/>
            <w:vAlign w:val="bottom"/>
          </w:tcPr>
          <w:p>
            <w:pPr>
              <w:spacing w:after="0"/>
              <w:rPr>
                <w:sz w:val="24"/>
                <w:szCs w:val="24"/>
                <w:color w:val="auto"/>
              </w:rPr>
            </w:pPr>
          </w:p>
        </w:tc>
        <w:tc>
          <w:tcPr>
            <w:tcW w:w="760" w:type="dxa"/>
            <w:vAlign w:val="bottom"/>
          </w:tcPr>
          <w:p>
            <w:pPr>
              <w:jc w:val="center"/>
              <w:ind w:left="64"/>
              <w:spacing w:after="0"/>
              <w:rPr>
                <w:sz w:val="20"/>
                <w:szCs w:val="20"/>
                <w:color w:val="auto"/>
              </w:rPr>
            </w:pPr>
            <w:r>
              <w:rPr>
                <w:rFonts w:ascii="Arial" w:cs="Arial" w:eastAsia="Arial" w:hAnsi="Arial"/>
                <w:sz w:val="15"/>
                <w:szCs w:val="15"/>
                <w:color w:val="auto"/>
              </w:rPr>
              <w:t>(12,873)</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17,787</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14,905</w:t>
            </w:r>
          </w:p>
        </w:tc>
        <w:tc>
          <w:tcPr>
            <w:tcW w:w="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19,626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68,760</w:t>
            </w:r>
          </w:p>
        </w:tc>
      </w:tr>
      <w:tr>
        <w:trPr>
          <w:trHeight w:val="205"/>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(65,067)</w:t>
            </w:r>
          </w:p>
        </w:tc>
      </w:tr>
      <w:tr>
        <w:trPr>
          <w:trHeight w:val="34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3,693</w:t>
            </w:r>
          </w:p>
        </w:tc>
      </w:tr>
      <w:tr>
        <w:trPr>
          <w:trHeight w:val="197"/>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(86,483)</w:t>
            </w:r>
          </w:p>
        </w:tc>
      </w:tr>
      <w:tr>
        <w:trPr>
          <w:trHeight w:val="36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(3,014)</w:t>
            </w:r>
          </w:p>
        </w:tc>
      </w:tr>
      <w:tr>
        <w:trPr>
          <w:trHeight w:val="203"/>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(24,218)</w:t>
            </w:r>
          </w:p>
        </w:tc>
      </w:tr>
      <w:tr>
        <w:trPr>
          <w:trHeight w:val="20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(125,853)</w:t>
            </w:r>
          </w:p>
        </w:tc>
      </w:tr>
      <w:tr>
        <w:trPr>
          <w:trHeight w:val="61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(235,875)</w:t>
            </w:r>
          </w:p>
        </w:tc>
      </w:tr>
      <w:tr>
        <w:trPr>
          <w:trHeight w:val="23"/>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-2013585</wp:posOffset>
            </wp:positionV>
            <wp:extent cx="6951980" cy="2311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51980" cy="231140"/>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-1653540</wp:posOffset>
            </wp:positionV>
            <wp:extent cx="6951980" cy="231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51980" cy="231140"/>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-1293495</wp:posOffset>
            </wp:positionV>
            <wp:extent cx="6951980" cy="231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51980" cy="231775"/>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-925195</wp:posOffset>
            </wp:positionV>
            <wp:extent cx="6951980" cy="2311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51980" cy="231140"/>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-565150</wp:posOffset>
            </wp:positionV>
            <wp:extent cx="695198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51980" cy="12890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1980" w:space="40"/>
            <w:col w:w="9220"/>
          </w:cols>
          <w:pgMar w:left="320" w:top="1038" w:right="339" w:bottom="1440" w:gutter="0" w:footer="0" w:header="0"/>
          <w:type w:val="continuous"/>
        </w:sectPr>
      </w:pPr>
    </w:p>
    <w:p>
      <w:pPr>
        <w:ind w:firstLine="8"/>
        <w:spacing w:after="0" w:line="242" w:lineRule="auto"/>
        <w:tabs>
          <w:tab w:leader="none" w:pos="196" w:val="left"/>
        </w:tabs>
        <w:numPr>
          <w:ilvl w:val="0"/>
          <w:numId w:val="26"/>
        </w:numPr>
        <w:rPr>
          <w:rFonts w:ascii="Arial" w:cs="Arial" w:eastAsia="Arial" w:hAnsi="Arial"/>
          <w:sz w:val="22"/>
          <w:szCs w:val="22"/>
          <w:b w:val="1"/>
          <w:bCs w:val="1"/>
          <w:color w:val="auto"/>
          <w:vertAlign w:val="superscript"/>
        </w:rPr>
      </w:pPr>
      <w:r>
        <w:rPr>
          <w:rFonts w:ascii="Arial" w:cs="Arial" w:eastAsia="Arial" w:hAnsi="Arial"/>
          <w:sz w:val="15"/>
          <w:szCs w:val="15"/>
          <w:color w:val="auto"/>
        </w:rPr>
        <w:t>Other consists of segment allocated management fees, amortization expense of intangible assets, stock-based compensation, acquisition costs at THP, and goodwill impairment expense of $8.2 million for Velocity.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type w:val="continuous"/>
        </w:sectPr>
      </w:pPr>
    </w:p>
    <w:bookmarkStart w:id="54" w:name="page55"/>
    <w:bookmarkEnd w:id="54"/>
    <w:tbl>
      <w:tblPr>
        <w:tblLayout w:type="fixed"/>
        <w:tblInd w:w="340" w:type="dxa"/>
        <w:tblCellMar>
          <w:top w:w="0" w:type="dxa"/>
          <w:left w:w="0" w:type="dxa"/>
          <w:bottom w:w="0" w:type="dxa"/>
          <w:right w:w="0" w:type="dxa"/>
        </w:tblCellMar>
      </w:tblP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Depreciation and Amortization Expense</w:t>
            </w:r>
          </w:p>
        </w:tc>
        <w:tc>
          <w:tcPr>
            <w:tcW w:w="12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Three months ended September 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476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2024</w:t>
            </w:r>
          </w:p>
        </w:tc>
      </w:tr>
      <w:tr>
        <w:trPr>
          <w:trHeight w:val="204"/>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20"/>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20"/>
              <w:spacing w:after="0"/>
              <w:rPr>
                <w:sz w:val="20"/>
                <w:szCs w:val="20"/>
                <w:color w:val="auto"/>
              </w:rPr>
            </w:pPr>
            <w:r>
              <w:rPr>
                <w:rFonts w:ascii="Arial" w:cs="Arial" w:eastAsia="Arial" w:hAnsi="Arial"/>
                <w:sz w:val="15"/>
                <w:szCs w:val="15"/>
                <w:b w:val="1"/>
                <w:bCs w:val="1"/>
                <w:color w:val="auto"/>
              </w:rPr>
              <w:t>(As Restated)</w:t>
            </w:r>
          </w:p>
        </w:tc>
      </w:tr>
      <w:tr>
        <w:trPr>
          <w:trHeight w:val="46"/>
        </w:trPr>
        <w:tc>
          <w:tcPr>
            <w:tcW w:w="4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16,977</w:t>
            </w:r>
          </w:p>
        </w:tc>
      </w:tr>
      <w:tr>
        <w:trPr>
          <w:trHeight w:val="215"/>
        </w:trPr>
        <w:tc>
          <w:tcPr>
            <w:tcW w:w="4760" w:type="dxa"/>
            <w:vAlign w:val="bottom"/>
          </w:tcPr>
          <w:p>
            <w:pPr>
              <w:spacing w:after="0"/>
              <w:rPr>
                <w:sz w:val="20"/>
                <w:szCs w:val="20"/>
                <w:color w:val="auto"/>
              </w:rPr>
            </w:pPr>
            <w:r>
              <w:rPr>
                <w:rFonts w:ascii="Arial" w:cs="Arial" w:eastAsia="Arial" w:hAnsi="Arial"/>
                <w:sz w:val="16"/>
                <w:szCs w:val="16"/>
                <w:color w:val="auto"/>
              </w:rPr>
              <w:t>BOA</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15,651</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Lugano</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5"/>
        </w:trPr>
        <w:tc>
          <w:tcPr>
            <w:tcW w:w="4760" w:type="dxa"/>
            <w:vAlign w:val="bottom"/>
          </w:tcPr>
          <w:p>
            <w:pPr>
              <w:spacing w:after="0"/>
              <w:rPr>
                <w:sz w:val="20"/>
                <w:szCs w:val="20"/>
                <w:color w:val="auto"/>
              </w:rPr>
            </w:pPr>
            <w:r>
              <w:rPr>
                <w:rFonts w:ascii="Arial" w:cs="Arial" w:eastAsia="Arial" w:hAnsi="Arial"/>
                <w:sz w:val="16"/>
                <w:szCs w:val="16"/>
                <w:color w:val="auto"/>
              </w:rPr>
              <w:t>PrimaLoft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15,751</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The Honey Pot Co.</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14,614</w:t>
            </w:r>
          </w:p>
        </w:tc>
      </w:tr>
      <w:tr>
        <w:trPr>
          <w:trHeight w:val="215"/>
        </w:trPr>
        <w:tc>
          <w:tcPr>
            <w:tcW w:w="4760" w:type="dxa"/>
            <w:vAlign w:val="bottom"/>
          </w:tcPr>
          <w:p>
            <w:pPr>
              <w:spacing w:after="0"/>
              <w:rPr>
                <w:sz w:val="20"/>
                <w:szCs w:val="20"/>
                <w:color w:val="auto"/>
              </w:rPr>
            </w:pPr>
            <w:r>
              <w:rPr>
                <w:rFonts w:ascii="Arial" w:cs="Arial" w:eastAsia="Arial" w:hAnsi="Arial"/>
                <w:sz w:val="16"/>
                <w:szCs w:val="16"/>
                <w:color w:val="auto"/>
              </w:rPr>
              <w:t>Velocity Outdoor</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6,665</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Altor Solutions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w:t>
            </w:r>
          </w:p>
        </w:tc>
      </w:tr>
      <w:tr>
        <w:trPr>
          <w:trHeight w:val="215"/>
        </w:trPr>
        <w:tc>
          <w:tcPr>
            <w:tcW w:w="4760" w:type="dxa"/>
            <w:vAlign w:val="bottom"/>
          </w:tcPr>
          <w:p>
            <w:pPr>
              <w:spacing w:after="0"/>
              <w:rPr>
                <w:sz w:val="20"/>
                <w:szCs w:val="20"/>
                <w:color w:val="auto"/>
              </w:rPr>
            </w:pPr>
            <w:r>
              <w:rPr>
                <w:rFonts w:ascii="Arial" w:cs="Arial" w:eastAsia="Arial" w:hAnsi="Arial"/>
                <w:sz w:val="16"/>
                <w:szCs w:val="16"/>
                <w:color w:val="auto"/>
              </w:rPr>
              <w:t>Arnold</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6,725</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14,807</w:t>
            </w:r>
          </w:p>
        </w:tc>
      </w:tr>
      <w:tr>
        <w:trPr>
          <w:trHeight w:val="209"/>
        </w:trPr>
        <w:tc>
          <w:tcPr>
            <w:tcW w:w="476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33,899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103,969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106,255</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w:t>
            </w:r>
          </w:p>
        </w:tc>
      </w:tr>
      <w:tr>
        <w:trPr>
          <w:trHeight w:val="235"/>
        </w:trPr>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Consolidated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109,269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4"/>
          </w:tcPr>
          <w:p>
            <w:pPr>
              <w:jc w:val="right"/>
              <w:ind w:right="680"/>
              <w:spacing w:after="0"/>
              <w:rPr>
                <w:sz w:val="20"/>
                <w:szCs w:val="20"/>
                <w:color w:val="auto"/>
              </w:rPr>
            </w:pPr>
            <w:r>
              <w:rPr>
                <w:rFonts w:ascii="Arial" w:cs="Arial" w:eastAsia="Arial" w:hAnsi="Arial"/>
                <w:sz w:val="15"/>
                <w:szCs w:val="15"/>
                <w:b w:val="1"/>
                <w:bCs w:val="1"/>
                <w:color w:val="auto"/>
              </w:rPr>
              <w:t>Accounts Receivable</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4"/>
          </w:tcPr>
          <w:p>
            <w:pPr>
              <w:jc w:val="right"/>
              <w:ind w:right="780"/>
              <w:spacing w:after="0"/>
              <w:rPr>
                <w:sz w:val="20"/>
                <w:szCs w:val="20"/>
                <w:color w:val="auto"/>
              </w:rPr>
            </w:pPr>
            <w:r>
              <w:rPr>
                <w:rFonts w:ascii="Arial" w:cs="Arial" w:eastAsia="Arial" w:hAnsi="Arial"/>
                <w:sz w:val="15"/>
                <w:szCs w:val="15"/>
                <w:b w:val="1"/>
                <w:bCs w:val="1"/>
                <w:color w:val="auto"/>
              </w:rPr>
              <w:t>Identifiable Assets</w:t>
            </w:r>
          </w:p>
        </w:tc>
      </w:tr>
      <w:tr>
        <w:trPr>
          <w:trHeight w:val="190"/>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6"/>
                <w:szCs w:val="16"/>
                <w:color w:val="auto"/>
              </w:rPr>
            </w:pPr>
          </w:p>
        </w:tc>
        <w:tc>
          <w:tcPr>
            <w:tcW w:w="1300" w:type="dxa"/>
            <w:vAlign w:val="bottom"/>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center"/>
              <w:ind w:right="100"/>
              <w:spacing w:after="0"/>
              <w:rPr>
                <w:sz w:val="20"/>
                <w:szCs w:val="20"/>
                <w:color w:val="auto"/>
              </w:rPr>
            </w:pPr>
            <w:r>
              <w:rPr>
                <w:rFonts w:ascii="Arial" w:cs="Arial" w:eastAsia="Arial" w:hAnsi="Arial"/>
                <w:sz w:val="15"/>
                <w:szCs w:val="15"/>
                <w:b w:val="1"/>
                <w:bCs w:val="1"/>
                <w:color w:val="auto"/>
              </w:rPr>
              <w:t>December 31,</w:t>
            </w:r>
          </w:p>
        </w:tc>
      </w:tr>
      <w:tr>
        <w:trPr>
          <w:trHeight w:val="208"/>
        </w:trPr>
        <w:tc>
          <w:tcPr>
            <w:tcW w:w="48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0"/>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20"/>
              <w:spacing w:after="0" w:line="208" w:lineRule="exact"/>
              <w:rPr>
                <w:sz w:val="20"/>
                <w:szCs w:val="20"/>
                <w:color w:val="auto"/>
              </w:rPr>
            </w:pPr>
            <w:r>
              <w:rPr>
                <w:rFonts w:ascii="Arial" w:cs="Arial" w:eastAsia="Arial" w:hAnsi="Arial"/>
                <w:sz w:val="15"/>
                <w:szCs w:val="15"/>
                <w:b w:val="1"/>
                <w:bCs w:val="1"/>
                <w:color w:val="auto"/>
              </w:rPr>
              <w:t xml:space="preserve">2025 </w:t>
            </w:r>
            <w:r>
              <w:rPr>
                <w:rFonts w:ascii="Arial" w:cs="Arial" w:eastAsia="Arial" w:hAnsi="Arial"/>
                <w:sz w:val="19"/>
                <w:szCs w:val="19"/>
                <w:b w:val="1"/>
                <w:bCs w:val="1"/>
                <w:color w:val="auto"/>
                <w:vertAlign w:val="superscript"/>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0"/>
              <w:spacing w:after="0" w:line="208" w:lineRule="exact"/>
              <w:rPr>
                <w:sz w:val="20"/>
                <w:szCs w:val="20"/>
                <w:color w:val="auto"/>
              </w:rPr>
            </w:pPr>
            <w:r>
              <w:rPr>
                <w:rFonts w:ascii="Arial" w:cs="Arial" w:eastAsia="Arial" w:hAnsi="Arial"/>
                <w:sz w:val="15"/>
                <w:szCs w:val="15"/>
                <w:b w:val="1"/>
                <w:bCs w:val="1"/>
                <w:color w:val="auto"/>
                <w:w w:val="94"/>
              </w:rPr>
              <w:t xml:space="preserve">2024 </w:t>
            </w:r>
            <w:r>
              <w:rPr>
                <w:rFonts w:ascii="Arial" w:cs="Arial" w:eastAsia="Arial" w:hAnsi="Arial"/>
                <w:sz w:val="19"/>
                <w:szCs w:val="19"/>
                <w:b w:val="1"/>
                <w:bCs w:val="1"/>
                <w:color w:val="auto"/>
                <w:w w:val="94"/>
                <w:vertAlign w:val="superscript"/>
              </w:rPr>
              <w:t>(1)</w:t>
            </w:r>
          </w:p>
        </w:tc>
      </w:tr>
      <w:tr>
        <w:trPr>
          <w:trHeight w:val="196"/>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20"/>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100"/>
              <w:spacing w:after="0"/>
              <w:rPr>
                <w:sz w:val="20"/>
                <w:szCs w:val="20"/>
                <w:color w:val="auto"/>
              </w:rPr>
            </w:pPr>
            <w:r>
              <w:rPr>
                <w:rFonts w:ascii="Arial" w:cs="Arial" w:eastAsia="Arial" w:hAnsi="Arial"/>
                <w:sz w:val="15"/>
                <w:szCs w:val="15"/>
                <w:b w:val="1"/>
                <w:bCs w:val="1"/>
                <w:color w:val="auto"/>
              </w:rPr>
              <w:t>(As Restated)</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413,831</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BOA</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215,250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219,283</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315,992</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PrimaLoft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268,527</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284,208</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90,736</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309,174</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23,502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126,035</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145,647</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Sales allowance accounts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2,118,917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2,173,433</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Reconciliation of segment to consolidated totals: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 identifiable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20,901</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224,689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207,172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2,127,059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2,194,334</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1"/>
          <w:szCs w:val="21"/>
          <w:b w:val="1"/>
          <w:bCs w:val="1"/>
          <w:color w:val="auto"/>
          <w:vertAlign w:val="superscript"/>
        </w:rPr>
      </w:pPr>
      <w:r>
        <w:rPr>
          <w:rFonts w:ascii="Arial" w:cs="Arial" w:eastAsia="Arial" w:hAnsi="Arial"/>
          <w:sz w:val="16"/>
          <w:szCs w:val="16"/>
          <w:color w:val="auto"/>
        </w:rPr>
        <w:t xml:space="preserve">Does not include accounts receivable balances per schedule above or goodwill balances - refer to </w:t>
      </w:r>
      <w:r>
        <w:rPr>
          <w:rFonts w:ascii="Arial" w:cs="Arial" w:eastAsia="Arial" w:hAnsi="Arial"/>
          <w:sz w:val="16"/>
          <w:szCs w:val="16"/>
          <w:u w:val="single" w:color="auto"/>
          <w:color w:val="0000FF"/>
        </w:rPr>
        <w:t>Note F - "Goodwill and Other Intangible Assets"</w:t>
      </w:r>
      <w:r>
        <w:rPr>
          <w:rFonts w:ascii="Arial" w:cs="Arial" w:eastAsia="Arial" w:hAnsi="Arial"/>
          <w:sz w:val="16"/>
          <w:szCs w:val="16"/>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Subsequent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Forbearance Agreement with Respect to Credit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10, 2025, the LLC entered into a Third Forbearance Agreement (the “Third Forbearance Agreement”) with the Consenting Lenders, pursuant to which the Consenting Lenders agreed on behalf of all lenders under the Credit Agreement to refrain from exercising rights and remedies available to them with respect to the Lugano Events of Default until the earliest of: (a) the occurrence of any event of default other than a Lugano Event of Default; (b) the breach by the LLC of any covenant or provision of the Third Forbearance Agreement; (c) a declaration by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8"/>
          <w:szCs w:val="18"/>
          <w:color w:val="auto"/>
        </w:rPr>
        <w:t>Trustee or any holders of the LLC’s 2029 Notes of any default or event of default under the 2029 Notes Indenture, which has was not cured and for which a forbearance agreement was not executed with the LLC within five business days after the date of such declaration; (d) the declaration by the Trustee or any holder of the 2032 Notes of any default or event of default under the 2032 Notes Indenture, which was not cured and for which a forbearance agreement was not executed with the LLC within five business days after the date of such declaration; and (e) 11:59 p.m. (Eastern Time) on November 24, 2025 (the period from October 10, 2025 through the earliest of events (a) through (e) above, the “Third Forbearance Period”). However, with respect to the foregoing clauses (c) and (d), if the Administrative Agent agreed to extend the date on which the restated financial statements were required to be delivered as discussed below, such five-business-day requirement would be extended to 10 days.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Third Forbearance Agreement becoming effective on October 10, 2025, the LLC was required to deliver, among other things, to the Administrative Agent, for distribution to the lenders, a budget of the LLC’s projected receipts and disbursements for the 13-week period following the such effective date (the “Forbearance Budget”) that was acceptable to the Administrative Agent and the lenders representing at least 50% of the total credit exposure of all lenders under the Credit Agreement, which Forbearance Budget could be updated as requested by the LLC if such update was acceptable to the Administrative Agent in its sole discretion. During the Third Forbearance Period, the LLC could not utilize the proceeds of collateral or loans for any purpose not contemplated under the Forbearance Budget and the LLC’s total cash disbursements in any calendar week (excluding disbursements for fees and costs of the Administrative Agent’s financial advisor and counsel) could not exceed the projected total cash disbursements set forth in the Forbearance Budget for such week by more than $1 million in the aggregate.</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Third Forbearance Agreement provided that the LLC may make Restricted Payments (as defined in the Credit Agreement) during the Third Forbearance Period to the extent such Restricted Payments were set forth in the Forbearance Budget and after giving effect thereto and the incurrence of any indebtedness in connection therewith the sum of (i) all cash of the LLC on deposit with the Administrative Agent or subject to a qualifying control account, plus (ii) unused borrowing availability, was not less than $10,000,000; provided, however, that the foregoing was not the exclusive method by which the LLC may make Restricted Payments. The Third Forbearance Agreement also required the LLC to deliver (i) the restated audited financials for the fiscal year ended December 31, 2024 and any other fiscal years for which restated financials were prepared, and (ii) the financials for the month ended June 30, 2025, both on or before October 24, 2025, which could be extended by the Administrative Agent for no more than 10 days.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21, 2025, the Company was advised that the Administrative Agent agreed to extend to November 3, 2025 the deadline for the delivery of certain restated financial statements as specified in the Third Forbearance Agreement Subsequently, on October 30, 2025, the Consenting Lenders agreed to extend to November 10, 2025 the deadline for delivery of such financial statements.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Forbearance Period, the lenders under the Credit Agreement, as amended by the Third Forbearance Agreement, were required to honor requests for credit extensions from the LLC for revolving loans composed of term SOFR loans with an applicable rate of 2.50% per annum plus the SOFR rate for an interest period of one month; provided, however, that such credit extensions could not cause the lenders’ revolving credit exposures (inclusive of letters of credit obligations) to exceed $60 million, without the additional capacity at the discretion of the lenders previously allowed under the Second Forbearance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Forbearance Agreement with Respect to Credit Agreement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7, 2025, the LLC entered into a Fourth Forbearance Agreement and Fourth Amendment to Credit Agreement (the “Fourth Forbearance Agreement”) with the Administrative Agent and the Consenting Lenders, which replaced the Third Forbearance Agreement. Pursuant to the Fourth Forbearance Agreement, the Consenting Lenders agreed on behalf of all lenders under the Credit Agreement to refrain from exercising rights and remedies available to them with respect to the Lugano Events of Default until the earliest of: (a) the occurrence of any event of default other than a Lugano Event of Default; (b) the breach by the LLC of any covenant or provision of the Fourth Forbearance Agreement; (c) the commencement of any remedies by the Trustee or any holders of either (i) the 2029 Notes based upon any default or event of default under the 2029 Notes Indenture or (ii) the 2032 Notes based upon any default or event of default under the 2032 Notes Indenture; (d) the failure by the LLC to timely deliver the restated audited financials that were required to be delivered to the New York Stock Exchange (“NYSE”) on or before November 19, 2025 (or such later deadline for delivery as determined by NYSE); and (e) 11:59 p.m. (Eastern Time) on November 24, 2025 (the period from November 7, 2025 through the earliest of events (a) through (e) above, the “Fourth Forbearance Period”).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In connection with the Fourth Forbearance Agreement becoming effective on November 7, 2025, the LLC delivered, among other things, to the Administrative Agent, for distribution to the lenders, an updated Forbearance Budget of the LLC’s projected receipts and disbursements for the 13-week period following the effective date of the Fourth Forbearance Agreement, which Forbearance Budget could be updated as requested by the LLC if such update were acceptable to the Administrative Agent in its sole discretion. During the Fourth Forbearance Period, the LLC could not utilize the proceeds of collateral or loans for any purpose not contemplated under the Forbearance Budget and the LLC’s total cash disbursements in any calendar week (excluding disbursements for fees and costs of the Administrative Agent’s financial advisor and counsel) could not exceed the projected total cash disbursements set forth in the Forbearance Budget for such week by more than $1 million in the aggregate.</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Fourth Forbearance Agreement provided that the LLC could make Restricted Payments (as defined in the Credit Agreement) during the Fourth Forbearance Period to the extent such Restricted Payments were set forth in the Forbearance Budget and after giving effect thereto and the incurrence of any indebtedness in connection therewith the sum of (i) all cash of the LLC on deposit with the Administrative Agent or subject to a qualifying control account, plus (ii) unused borrowing availability, was not less than $10,000,000; provided, however, that the foregoing was not the exclusive method by which the LLC could make Restricted Payments. The Fourth Forbearance Agreement also required the LLC to deliver (i) the restated audited financials for the fiscal year ended December 31, 2024 and any other fiscal years for which restated financials were prepared, and (ii) the financials for the months ended June 30, 2025, July 31, 2025, August 31, 2025 and September 30, 2025, all on or before November 24, 2025.</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Forbearance Period, the lenders under the Credit Agreement were required to honor requests for credit extensions from the LLC for revolving loans composed of term SOFR loans with an applicable rate of 2.50% per annum plus the SOFR rate for an interest period of one month; provided, however, that such credit extensions could not cause the lenders’ revolving credit exposures (inclusive of letters of credit obligations) to exceed $60 million.</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to the forbearance of the lenders described above, the Fourth Forbearance Agreement also amended the Credit Agreement to, among other modifications, provided the LLC with greater flexibility in connection with the disposition of Lugano assets and in making financing available to Lugano.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Lugano Chapter 11 Proceedings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November 16, 2025, Lugano and certain of its subsidiaries filed voluntary Chapter 11 petitions under the United States Bankruptcy Code in the United States Bankruptcy Court for the District of Delaware (the “Lugano Bankruptcy”). As a result of the Lugano Bankruptcy, effective November 16, 2025, Lugano and its subsidiaries were deconsolidated from the Company’s financial statements pursuant to ASC 810 -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Forbearance Agreement with Respect to Credit Agreement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24, 2025, the Company entered into a Fifth Forbearance Agreement (the “Fifth Forbearance Agreement”) with the Administrative Agent and the Consenting Lenders, pursuant to which the Consenting Lenders agreed on behalf of all lenders under the Credit Agreement to refrain from exercising rights and remedies available to them with respect to the Lugano Events of Default until the earliest of: (a) the occurrence of any event of default other than a Lugano Event of Default; (b) the breach by the Company of any covenant or provision of the Fifth Forbearance Agreement; (c) the commencement of any remedies by the trustee or any holders of either (i) the 2029 Notes based upon any default or event of default under the 2029 Notes Indenture, or (ii) the 2032 Notes based upon any default or event of default under the 2032 Notes Indenture; and (d) 11:59 p.m. (Eastern Time) on December 19, 2025 (the period from the Effective Date through the earliest of events (a) through (d) above, the “Fifth Forbearance Period”).</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Fifth Forbearance Agreement becoming effective, the Company delivered, among other things, to the Administrative Agent, for distribution to the lenders, an updated Forbearance Budget of the LLC’s projected receipts and disbursements for the 13-week period following the effective date of the Fifth Forbearance Agreement, which Forbearance Budget may be updated as requested by the Company if such update is acceptable to the Administrative Agent in its sole discretion. During the Fifth Forbearance Period, the Company was unable to utilize the proceeds of collateral or loans for any purpose not contemplated under the Forbearance Budget and the Company’s total cash disbursements in any calendar week (excluding disbursements for fees and costs of the Administrative Agent’s financial advisor and counsel) were not permitted to exceed the projected total cash disbursements set forth in the Forbearance Budget for such week by more than $1 million in the aggregate.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The Fifth Forbearance Agreement provided that the Company may make Restricted Payments (as defined in the Credit Agreement) during the Fifth Forbearance Period to the extent such Restricted Payments were set forth in the Forbearance Budget and after giving effect thereto and the incurrence of any indebtedness in connection therewith the sum of (i) all cash of the Company on deposit with the Administrative Agent or subject to a qualifying control account, plus (ii) unused borrowing availability, was not less than $10,000,000; provided, however, that the forgoing was not the exclusive method by which the Company was able to make Restricted Payments.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Fifth Forbearance Period, the lenders under the Credit Agreement agreed to honor requests for credit extensions from the Company for revolving loans composed of term SOFR loans with an applicable rate of 2.50% per annum plus the SOFR rate for an interest period of one month; provided, however, that such credit extensions could not cause the lenders’ revolving credit exposures (inclusive of letters of credit obligations) to exceed $60 million. In addition, the modification of certain documents in connection with the Lugano Bankruptcy required the prior written consent of the Administrative Agent or both the Administrative Agent and the Consenting Lenders.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Fifth Forbearance Agreement also required the Company to deliver the restated audited financials for the fiscal year ended December 31, 2024 and any other fiscal years for which restated financials were prepared, on or before December 5, 2025. Because the Company did not file its 2024 Form 10-K/A until December 8, 2025, the Fifth Forbearance Agreement initially expired on December 6, 2025. However, on December 9, 2025, subsequent to the filing of the 2024 Form 10-K/A, the Company was advised that the required lenders under the Credit Agreement (1) agreed to waive the requirement for the Company to deliver the restated financial statements by December 5, 2025 under the Fifth Forbearance Agreement and (2) further agreed that the financial statements and the report and opinion of the Company’s independent certified public accountant as they appear in the 2024 Form 10-K/A satisfied the requirements of the Credit Agreement and the Fifth Forbearance Agreement. The Fifth Forbearance Agreement continued in effect until December 19,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Amendment to the Credit Agreement</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19, 2025, the LLC entered into a Fifth Amendment to Credit Agreement and Limited Waiver Agreement (the “Fifth Amendment”) and a Fifth Amendment Transaction Letter (the “Transaction Letter”), each with the Administrative Agent and the Consenting Lenders. Pursuant to the Fifth Amendment, among other things, (i) the lenders waived certain events of default that had occurred and were continuing prior to the Fifth Amendment, which included the Lugano Events of Default, (ii) the aggregate revolving commitments under the Credit Agreement returned to $100,000,000, (iii) SOFR loans will bear interest at a rate per annum equal to the term SOFR, plus a margin ranging from 1.50% to 3.25% based on the Consolidated Total Leverage Ratio (as defined in the Credit Agreement), and base rate loans will bear interest at a rate per annum equal to the base rate, plus a margin ranging from 0.50% to 2.25% based on the Consolidated Total Leverage Ratio, (iv) the Company is required to repay 100% of the net cash proceeds received in respect of any Disposition (as defined in the Credit Agreement) or Deleveraging Transaction (as defined in the Transaction Letter), (v) the Company is required to deliver to the Administrative Agent a rolling 13 -week forecast of cash flows every two weeks, together with a report showing a comparison of actual cash flows with recent forecast and an explanation of certain variances exceeding 10%, (vi) the Company is required to deliver to the Administrative Agent an updated budget consisting of a minimum 13-week cash flow forecast of Lugano entities (the “Lugano DIP Budget”) and certain other documents relating to the Lugano Bankruptcy, (vii) the Company is permitted to make investments, incur indebtedness and make Dispositions relating to the Deleveraging Transaction so long as no default or event of default exists or would result therefrom, (viii) the Company is restricted from paying its manager management fees exceeding $15,000,000 in any fiscal quarter, (ix) the Company is restricted from making certain Restricted Payments (as defined in the Credit Agreement) in excess of $10,000,000 in any fiscal quarter unless the Consolidated Total Leverage Ratio is less than or equal to 4.50:1.00, (x) the Company’s financial covenants with respect to its Consolidated Total Leverage Ratio, Consolidated Senior Secured Leverage Ratio (as defined in the Credit Agreement) and Consolidated Fixed Charge Coverage Ratio (as defined in the Credit Agreement) are revised for the periods after the quarter ending March 31, 2025, and (xi) the modification of the Lugano DIP Budget and certain documents in connection with the Lugano Bankruptcy and the Company’s debtor-in-possession loan to Lugano will require the prior written consent of the Administrative Agent or both the Administrative Agent and the Consenting Lenders.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Transaction Letter, among other things, if the Consolidated Total Leverage Ratio of the Company is not less than 4.50:1.00 as of the last day of the fiscal quarters ending June 30, 2026, September 30, 2026, December 31, 2026 and March 31, 2027, respectively, the Company is required to pay to the Administrative Agent, for the ratable benefit of the lenders, the milestone fees in the amount of $5,000,000, $6,500,000, $8,000,000 and $9,500,000, respectively, subject to certain conditions.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NYSE Notice of Failure to Satisfy a Continued Listing Rule</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 2026, the Company received a letter from the New York Stock Exchange informing CODI that it is non-compliant with the corporate governance listing standards set forth in Section 302 of the New York Stock Exchange Listed Company Manual, which requires issuers to hold an annual meeting during each fiscal year. The Company was unable to hold an annual meeting during its 2025 fiscal year due to the need to complete the restatement of its financial statements as of and for the fiscal years ended December 31, 2024, 2023 and 2022, and the resulting delay in filing its amended Annual Report on Form 10-K for the fiscal year ended December 31, 2024. CODI filed its Amended Annual Report with the Securities and Exchange Commission on December 8, 2025, and intends to hold an annual meeting as soon as practicable in order to regain compliance under the Listed Company Manual. Until CODI regains compliance, CODI will be added to NYSE’s list of non-compliant issuers and a below compliance (“.BC”) indicator will be appended to CODI’s ticker symbols.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Waiver</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9, 2026, the LLC and the Manager entered into a waiver to limit the amount of the 2025 fourth quarter management fee payable to the Manager by the LLC to $5.0 million. The difference between the amount of the management fee due to the Manager from the LLC for the fourth quarter of 2025 and the amount to be paid under the waiver will offset the reduction of future payments to the Manager as a result of the restated financial statements for the years ending December 31, 2024, 2023 and 2022, and the revisions made in the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Amendment No. 1 to the Company's Annual Report on Form 10-K (“Form 10-K/A”) for the fiscal year ended December 31, 2024 and in the section entitled "Risk Factors" in Part II, Item 1A of this Quarterly Report on Form 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Part 1, Item 1., Note A to the Condensed Consolidated Financial Statements, the Company has restated its Condensed Consolidated Financial Statements as of September 30, 2024 and for the three and nine months ended September 30, 2024. As a result, the previously reported financial information as of September 30, 2024 and for the three and nine months ended September 30, 2024 in this Management's Discussion and Analysis ("MD&amp;A") have been updated to reflect the restatements. See Item 1. Note A - Presentation and principles of consolidation in the Consolidated Financial Statements for additional information related to these restatements, including descriptions of the adjustments and the impacts on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Please see the section titled “Going Concern” under the heading “Liquidity and Capital Resources” in this MD&amp;A for information concerning management’s determination that there is substantial doubt about the Company’s ability to continue as a going concern within one year after the date the consolidated financial statements set forth in this Form 10-Q are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Compass Diversified Holdings ("Holdings", or the "Trust") was incorporated in Delaware on November 18, 2005. Compass Group Diversified Holdings LLC (the "LLC") was also formed on November 18, 2005. Holdings and the LLC (collectively, the "Company") were formed to acquire and manage a group of small and middle-market businesses headquartered in North America. The LLC is a controlling owner of nine businesses, or operating segments, at September 30, 2025. The segments are as follows: 5.11 Acquisition Corp. ("5.11"), Boa Holdings Inc. ("BOA"), Lugano Holding, Inc. ("Lugano Diamonds" or "Lugano"), Relentless Topco, Inc. ("PrimaLoft"), THP Topco, Inc. ("The Honey Pot Co." or "THP"), CBCP Products, LLC ("Velocity Outdoor" or "Velocity"), AMTAC Holdings LLC ("Arnold"), FFI Compass, Inc. ("Altor Solutions" or "Altor"), and SternoCandleLamp Holdings, Inc. ("Sterno").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(operating segments) that we own at September 30, 2025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5"/>
                <w:szCs w:val="15"/>
                <w:b w:val="1"/>
                <w:bCs w:val="1"/>
                <w:color w:val="auto"/>
              </w:rPr>
              <w:t>Ownership Interest - September 30, 2025</w:t>
            </w:r>
          </w:p>
        </w:tc>
        <w:tc>
          <w:tcPr>
            <w:tcW w:w="1500" w:type="dxa"/>
            <w:vAlign w:val="bottom"/>
          </w:tcPr>
          <w:p>
            <w:pPr>
              <w:spacing w:after="0"/>
              <w:rPr>
                <w:sz w:val="18"/>
                <w:szCs w:val="18"/>
                <w:color w:val="auto"/>
              </w:rPr>
            </w:pPr>
          </w:p>
        </w:tc>
      </w:tr>
      <w:tr>
        <w:trPr>
          <w:trHeight w:val="196"/>
        </w:trPr>
        <w:tc>
          <w:tcPr>
            <w:tcW w:w="1520" w:type="dxa"/>
            <w:vAlign w:val="bottom"/>
          </w:tcPr>
          <w:p>
            <w:pPr>
              <w:spacing w:after="0"/>
              <w:rPr>
                <w:sz w:val="17"/>
                <w:szCs w:val="17"/>
                <w:color w:val="auto"/>
              </w:rPr>
            </w:pPr>
          </w:p>
        </w:tc>
        <w:tc>
          <w:tcPr>
            <w:tcW w:w="2340" w:type="dxa"/>
            <w:vAlign w:val="bottom"/>
            <w:gridSpan w:val="2"/>
          </w:tcPr>
          <w:p>
            <w:pPr>
              <w:ind w:left="780"/>
              <w:spacing w:after="0"/>
              <w:rPr>
                <w:sz w:val="20"/>
                <w:szCs w:val="20"/>
                <w:color w:val="auto"/>
              </w:rPr>
            </w:pPr>
            <w:r>
              <w:rPr>
                <w:rFonts w:ascii="Arial" w:cs="Arial" w:eastAsia="Arial" w:hAnsi="Arial"/>
                <w:sz w:val="15"/>
                <w:szCs w:val="15"/>
                <w:b w:val="1"/>
                <w:bCs w:val="1"/>
                <w:color w:val="auto"/>
              </w:rPr>
              <w:t>Business</w:t>
            </w:r>
          </w:p>
        </w:tc>
        <w:tc>
          <w:tcPr>
            <w:tcW w:w="2100" w:type="dxa"/>
            <w:vAlign w:val="bottom"/>
            <w:gridSpan w:val="2"/>
          </w:tcPr>
          <w:p>
            <w:pPr>
              <w:ind w:left="400"/>
              <w:spacing w:after="0"/>
              <w:rPr>
                <w:sz w:val="20"/>
                <w:szCs w:val="20"/>
                <w:color w:val="auto"/>
              </w:rPr>
            </w:pPr>
            <w:r>
              <w:rPr>
                <w:rFonts w:ascii="Arial" w:cs="Arial" w:eastAsia="Arial" w:hAnsi="Arial"/>
                <w:sz w:val="15"/>
                <w:szCs w:val="15"/>
                <w:b w:val="1"/>
                <w:bCs w:val="1"/>
                <w:color w:val="auto"/>
              </w:rPr>
              <w:t>Acquisition Date</w:t>
            </w:r>
          </w:p>
        </w:tc>
        <w:tc>
          <w:tcPr>
            <w:tcW w:w="19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Primary</w:t>
            </w:r>
          </w:p>
        </w:tc>
        <w:tc>
          <w:tcPr>
            <w:tcW w:w="1840" w:type="dxa"/>
            <w:vAlign w:val="bottom"/>
          </w:tcPr>
          <w:p>
            <w:pPr>
              <w:ind w:left="660"/>
              <w:spacing w:after="0"/>
              <w:rPr>
                <w:sz w:val="20"/>
                <w:szCs w:val="20"/>
                <w:color w:val="auto"/>
              </w:rPr>
            </w:pPr>
            <w:r>
              <w:rPr>
                <w:rFonts w:ascii="Arial" w:cs="Arial" w:eastAsia="Arial" w:hAnsi="Arial"/>
                <w:sz w:val="15"/>
                <w:szCs w:val="15"/>
                <w:b w:val="1"/>
                <w:bCs w:val="1"/>
                <w:color w:val="auto"/>
              </w:rPr>
              <w:t>Diluted</w:t>
            </w:r>
          </w:p>
        </w:tc>
        <w:tc>
          <w:tcPr>
            <w:tcW w:w="1500" w:type="dxa"/>
            <w:vAlign w:val="bottom"/>
          </w:tcPr>
          <w:p>
            <w:pPr>
              <w:spacing w:after="0"/>
              <w:rPr>
                <w:sz w:val="17"/>
                <w:szCs w:val="17"/>
                <w:color w:val="auto"/>
              </w:rPr>
            </w:pPr>
          </w:p>
        </w:tc>
      </w:tr>
      <w:tr>
        <w:trPr>
          <w:trHeight w:val="210"/>
        </w:trPr>
        <w:tc>
          <w:tcPr>
            <w:tcW w:w="15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March 5, 2012</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98.0%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82.9%</w:t>
            </w:r>
          </w:p>
        </w:tc>
        <w:tc>
          <w:tcPr>
            <w:tcW w:w="1500" w:type="dxa"/>
            <w:vAlign w:val="bottom"/>
          </w:tcPr>
          <w:p>
            <w:pPr>
              <w:spacing w:after="0"/>
              <w:rPr>
                <w:sz w:val="18"/>
                <w:szCs w:val="18"/>
                <w:color w:val="auto"/>
              </w:rPr>
            </w:pPr>
          </w:p>
        </w:tc>
      </w:tr>
      <w:tr>
        <w:trPr>
          <w:trHeight w:val="215"/>
        </w:trPr>
        <w:tc>
          <w:tcPr>
            <w:tcW w:w="1520" w:type="dxa"/>
            <w:vAlign w:val="bottom"/>
          </w:tcPr>
          <w:p>
            <w:pPr>
              <w:spacing w:after="0"/>
              <w:rPr>
                <w:sz w:val="18"/>
                <w:szCs w:val="18"/>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Sterno</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10, 2014</w:t>
            </w:r>
          </w:p>
        </w:tc>
        <w:tc>
          <w:tcPr>
            <w:tcW w:w="1840" w:type="dxa"/>
            <w:vAlign w:val="bottom"/>
          </w:tcPr>
          <w:p>
            <w:pPr>
              <w:jc w:val="center"/>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92.2%</w:t>
            </w:r>
          </w:p>
        </w:tc>
        <w:tc>
          <w:tcPr>
            <w:tcW w:w="1500" w:type="dxa"/>
            <w:vAlign w:val="bottom"/>
          </w:tcPr>
          <w:p>
            <w:pPr>
              <w:spacing w:after="0"/>
              <w:rPr>
                <w:sz w:val="18"/>
                <w:szCs w:val="18"/>
                <w:color w:val="auto"/>
              </w:rPr>
            </w:pPr>
          </w:p>
        </w:tc>
      </w:tr>
      <w:tr>
        <w:trPr>
          <w:trHeight w:val="217"/>
        </w:trPr>
        <w:tc>
          <w:tcPr>
            <w:tcW w:w="1520" w:type="dxa"/>
            <w:vAlign w:val="bottom"/>
          </w:tcPr>
          <w:p>
            <w:pPr>
              <w:spacing w:after="0"/>
              <w:rPr>
                <w:sz w:val="18"/>
                <w:szCs w:val="18"/>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August 31, 2016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87.3%</w:t>
            </w:r>
          </w:p>
        </w:tc>
        <w:tc>
          <w:tcPr>
            <w:tcW w:w="1500" w:type="dxa"/>
            <w:vAlign w:val="bottom"/>
          </w:tcPr>
          <w:p>
            <w:pPr>
              <w:spacing w:after="0"/>
              <w:rPr>
                <w:sz w:val="18"/>
                <w:szCs w:val="18"/>
                <w:color w:val="auto"/>
              </w:rPr>
            </w:pPr>
          </w:p>
        </w:tc>
      </w:tr>
      <w:tr>
        <w:trPr>
          <w:trHeight w:val="215"/>
        </w:trPr>
        <w:tc>
          <w:tcPr>
            <w:tcW w:w="1520" w:type="dxa"/>
            <w:vAlign w:val="bottom"/>
          </w:tcPr>
          <w:p>
            <w:pPr>
              <w:spacing w:after="0"/>
              <w:rPr>
                <w:sz w:val="18"/>
                <w:szCs w:val="18"/>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June 2, 2017</w:t>
            </w:r>
          </w:p>
        </w:tc>
        <w:tc>
          <w:tcPr>
            <w:tcW w:w="1840" w:type="dxa"/>
            <w:vAlign w:val="bottom"/>
          </w:tcPr>
          <w:p>
            <w:pPr>
              <w:jc w:val="center"/>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93.2%</w:t>
            </w:r>
          </w:p>
        </w:tc>
        <w:tc>
          <w:tcPr>
            <w:tcW w:w="1500" w:type="dxa"/>
            <w:vAlign w:val="bottom"/>
          </w:tcPr>
          <w:p>
            <w:pPr>
              <w:spacing w:after="0"/>
              <w:rPr>
                <w:sz w:val="18"/>
                <w:szCs w:val="18"/>
                <w:color w:val="auto"/>
              </w:rPr>
            </w:pPr>
          </w:p>
        </w:tc>
      </w:tr>
      <w:tr>
        <w:trPr>
          <w:trHeight w:val="217"/>
        </w:trPr>
        <w:tc>
          <w:tcPr>
            <w:tcW w:w="1520" w:type="dxa"/>
            <w:vAlign w:val="bottom"/>
          </w:tcPr>
          <w:p>
            <w:pPr>
              <w:spacing w:after="0"/>
              <w:rPr>
                <w:sz w:val="18"/>
                <w:szCs w:val="18"/>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15, 2018</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90.3%</w:t>
            </w:r>
          </w:p>
        </w:tc>
        <w:tc>
          <w:tcPr>
            <w:tcW w:w="1500" w:type="dxa"/>
            <w:vAlign w:val="bottom"/>
          </w:tcPr>
          <w:p>
            <w:pPr>
              <w:spacing w:after="0"/>
              <w:rPr>
                <w:sz w:val="18"/>
                <w:szCs w:val="18"/>
                <w:color w:val="auto"/>
              </w:rPr>
            </w:pPr>
          </w:p>
        </w:tc>
      </w:tr>
      <w:tr>
        <w:trPr>
          <w:trHeight w:val="215"/>
        </w:trPr>
        <w:tc>
          <w:tcPr>
            <w:tcW w:w="1520" w:type="dxa"/>
            <w:vAlign w:val="bottom"/>
          </w:tcPr>
          <w:p>
            <w:pPr>
              <w:spacing w:after="0"/>
              <w:rPr>
                <w:sz w:val="18"/>
                <w:szCs w:val="18"/>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16, 2020</w:t>
            </w:r>
          </w:p>
        </w:tc>
        <w:tc>
          <w:tcPr>
            <w:tcW w:w="1840" w:type="dxa"/>
            <w:vAlign w:val="bottom"/>
          </w:tcPr>
          <w:p>
            <w:pPr>
              <w:jc w:val="center"/>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82.8%</w:t>
            </w:r>
          </w:p>
        </w:tc>
        <w:tc>
          <w:tcPr>
            <w:tcW w:w="1500" w:type="dxa"/>
            <w:vAlign w:val="bottom"/>
          </w:tcPr>
          <w:p>
            <w:pPr>
              <w:spacing w:after="0"/>
              <w:rPr>
                <w:sz w:val="18"/>
                <w:szCs w:val="18"/>
                <w:color w:val="auto"/>
              </w:rPr>
            </w:pPr>
          </w:p>
        </w:tc>
      </w:tr>
      <w:tr>
        <w:trPr>
          <w:trHeight w:val="217"/>
        </w:trPr>
        <w:tc>
          <w:tcPr>
            <w:tcW w:w="1520" w:type="dxa"/>
            <w:vAlign w:val="bottom"/>
          </w:tcPr>
          <w:p>
            <w:pPr>
              <w:spacing w:after="0"/>
              <w:rPr>
                <w:sz w:val="18"/>
                <w:szCs w:val="18"/>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3, 2021</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55.1%</w:t>
            </w:r>
          </w:p>
        </w:tc>
        <w:tc>
          <w:tcPr>
            <w:tcW w:w="1500" w:type="dxa"/>
            <w:vAlign w:val="bottom"/>
          </w:tcPr>
          <w:p>
            <w:pPr>
              <w:spacing w:after="0"/>
              <w:rPr>
                <w:sz w:val="18"/>
                <w:szCs w:val="18"/>
                <w:color w:val="auto"/>
              </w:rPr>
            </w:pPr>
          </w:p>
        </w:tc>
      </w:tr>
      <w:tr>
        <w:trPr>
          <w:trHeight w:val="215"/>
        </w:trPr>
        <w:tc>
          <w:tcPr>
            <w:tcW w:w="1520" w:type="dxa"/>
            <w:vAlign w:val="bottom"/>
          </w:tcPr>
          <w:p>
            <w:pPr>
              <w:spacing w:after="0"/>
              <w:rPr>
                <w:sz w:val="18"/>
                <w:szCs w:val="18"/>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PrimaLoft</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July 12, 2022</w:t>
            </w:r>
          </w:p>
        </w:tc>
        <w:tc>
          <w:tcPr>
            <w:tcW w:w="1840" w:type="dxa"/>
            <w:vAlign w:val="bottom"/>
          </w:tcPr>
          <w:p>
            <w:pPr>
              <w:jc w:val="center"/>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84.7%</w:t>
            </w:r>
          </w:p>
        </w:tc>
        <w:tc>
          <w:tcPr>
            <w:tcW w:w="1500" w:type="dxa"/>
            <w:vAlign w:val="bottom"/>
          </w:tcPr>
          <w:p>
            <w:pPr>
              <w:spacing w:after="0"/>
              <w:rPr>
                <w:sz w:val="18"/>
                <w:szCs w:val="18"/>
                <w:color w:val="auto"/>
              </w:rPr>
            </w:pPr>
          </w:p>
        </w:tc>
      </w:tr>
      <w:tr>
        <w:trPr>
          <w:trHeight w:val="217"/>
        </w:trPr>
        <w:tc>
          <w:tcPr>
            <w:tcW w:w="1520" w:type="dxa"/>
            <w:vAlign w:val="bottom"/>
          </w:tcPr>
          <w:p>
            <w:pPr>
              <w:spacing w:after="0"/>
              <w:rPr>
                <w:sz w:val="18"/>
                <w:szCs w:val="18"/>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31, 2024</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77.1%</w:t>
            </w:r>
          </w:p>
        </w:tc>
        <w:tc>
          <w:tcPr>
            <w:tcW w:w="1500" w:type="dxa"/>
            <w:vAlign w:val="bottom"/>
          </w:tcPr>
          <w:p>
            <w:pPr>
              <w:spacing w:after="0"/>
              <w:rPr>
                <w:sz w:val="18"/>
                <w:szCs w:val="18"/>
                <w:color w:val="auto"/>
              </w:rPr>
            </w:pPr>
          </w:p>
        </w:tc>
      </w:tr>
      <w:tr>
        <w:trPr>
          <w:trHeight w:val="808"/>
        </w:trPr>
        <w:tc>
          <w:tcPr>
            <w:tcW w:w="1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1520" w:type="dxa"/>
            <w:vAlign w:val="bottom"/>
            <w:tcBorders>
              <w:bottom w:val="single" w:sz="8" w:color="9A9A9A"/>
            </w:tcBorders>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0" w:name="page61"/>
    <w:bookmarkEnd w:id="60"/>
    <w:p>
      <w:pPr>
        <w:jc w:val="both"/>
        <w:spacing w:after="0" w:line="256" w:lineRule="auto"/>
        <w:rPr>
          <w:sz w:val="20"/>
          <w:szCs w:val="20"/>
          <w:color w:val="auto"/>
        </w:rPr>
      </w:pPr>
      <w:r>
        <w:rPr>
          <w:rFonts w:ascii="Arial" w:cs="Arial" w:eastAsia="Arial" w:hAnsi="Arial"/>
          <w:sz w:val="18"/>
          <w:szCs w:val="18"/>
          <w:color w:val="auto"/>
        </w:rPr>
        <w:t>We categorize our subsidiary businesses into two separate groups of businesses: (i) branded consumer businesses, and (ii) industrial businesses. Branded consumer businesses are those businesses that we believe capitalize on a valuable brand name in their respective market sectors. We believe that our branded consumer businesses are leaders in their respective particular product categories. Industrial businesses are those businesses that focus on manufacturing and selling particular products and/ or industrial services within a specific market sector. We believe that our industrial businesses are leaders in their specific market sector. We previously announced our desire to acquire businesses in the healthcare sector, with a focus on outsourced pharma, medical manufacturing services and provider services. We have not yet acquired a business in the healthcare sector.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overview of each of our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5.11 products are widely distributed in uniform stores, military exchanges, outdoor retail stores, its own retail stores and on 511tactical.com.</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BOA </w:t>
      </w:r>
      <w:r>
        <w:rPr>
          <w:rFonts w:ascii="Arial" w:cs="Arial" w:eastAsia="Arial" w:hAnsi="Arial"/>
          <w:sz w:val="18"/>
          <w:szCs w:val="18"/>
          <w:color w:val="auto"/>
        </w:rPr>
        <w:t>- creator of the revolutionary, award-winning, patented BOA Fit System, partners with market-leading brands to make the best gear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Lugano </w:t>
      </w:r>
      <w:r>
        <w:rPr>
          <w:rFonts w:ascii="Arial" w:cs="Arial" w:eastAsia="Arial" w:hAnsi="Arial"/>
          <w:sz w:val="18"/>
          <w:szCs w:val="18"/>
          <w:color w:val="auto"/>
        </w:rPr>
        <w:t>- Lugano is a designer, manufacturer, and retailer of high-end jewelry. Lugano conducts sales via its own retail salons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pop-up showrooms at Lugano-hosted or sponsored events in partnership with organizations in the equestrian, art, and philanthropic communities. Lugano is headquartered in Newport Beach, California.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PrimaLoft - </w:t>
      </w:r>
      <w:r>
        <w:rPr>
          <w:rFonts w:ascii="Arial" w:cs="Arial" w:eastAsia="Arial" w:hAnsi="Arial"/>
          <w:sz w:val="18"/>
          <w:szCs w:val="18"/>
          <w:color w:val="auto"/>
        </w:rPr>
        <w:t>PrimaLoft is a leading provider of branded, high-performance synthetic insulation and materials used primarily in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Honey Pot Co</w:t>
      </w:r>
      <w:r>
        <w:rPr>
          <w:rFonts w:ascii="Arial" w:cs="Arial" w:eastAsia="Arial" w:hAnsi="Arial"/>
          <w:sz w:val="18"/>
          <w:szCs w:val="18"/>
          <w:color w:val="auto"/>
        </w:rPr>
        <w:t>.- The Honey Pot Co. is a leading “better-for-you” feminine care brand, powered by plant-derived ingredients and clinically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tested formulas.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stores across the U.S. through mass merchants, drug and grocery retail chains, and online.</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leading designer, manufacturer, and marketer of archery products, hunting apparel and related accessories.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Altor Solutions </w:t>
      </w:r>
      <w:r>
        <w:rPr>
          <w:rFonts w:ascii="Arial" w:cs="Arial" w:eastAsia="Arial" w:hAnsi="Arial"/>
          <w:sz w:val="18"/>
          <w:szCs w:val="18"/>
          <w:color w:val="auto"/>
        </w:rPr>
        <w:t>- Altor Solutions is a designer and manufacturer of custom molded protective foam solutions and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components made from expanded polystyrene and expanded polypropylene. Altor provides products to a variety of end markets, including appliances and electronics, pharmaceuticals, health and wellness, automotive, building and other products.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is a global solutions provider and manufacturer of engineered solutions for a wide range of specialty applications and end-markets, including aerospace and defense, general industrial, motorsport/transportation, oil and gas, medical, energy, semiconductor and advertising specialties. Arnold engineers solutions for and produces high performance permanent magnets (PMAG), stators, rotors and full electric motors ("Ramco"),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is a leading manufacturer and marketer of portable food warming systems, creative indoor and outdoor lighting, and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Strategy and Business Outlook</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strategy involves the proactive financial and operational management of the subsidiaries we own in order to increase cash flows and shareholder value. While our subsidiary businesses have different growth opportunities and potential rates of growth, we actively manage each of our subsidiary businesses to increase the value of, and cash generated by, each business through various initiatives, including making selective capital investments to expand geographic reach, increase capacity or reduce manufacturing costs of our subsidiary businesses; improving and expanding existing sales and marketing programs; and assisting in the acquisition and integration of complementary businesses.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Company's areas of focus for 2025, which were generally applicable to each of our businesses, included:</w:t>
      </w:r>
    </w:p>
    <w:p>
      <w:pPr>
        <w:spacing w:after="0" w:line="117" w:lineRule="exact"/>
        <w:rPr>
          <w:sz w:val="20"/>
          <w:szCs w:val="20"/>
          <w:color w:val="auto"/>
        </w:rPr>
      </w:pPr>
    </w:p>
    <w:p>
      <w:pPr>
        <w:ind w:left="660" w:hanging="328"/>
        <w:spacing w:after="0" w:line="28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Pursuing sales growth through a combination of new product development, increasing distribution, new customer acquisitions and selective international expansion;</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Driving free cash flow through increased net income and effective working capital management, enabling continued investment in our businesses;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Raising prices, when appropriate, on our goods due to rising input costs to preserve operating margins;</w:t>
      </w:r>
    </w:p>
    <w:p>
      <w:pPr>
        <w:spacing w:after="0" w:line="36"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Taking market share, where possible, in each of our niche market leading companies, generally at the expense of less focused or less well capitalized competitors;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Striving for excellence in supply chain management, manufacturing and technological capabilities;</w:t>
      </w:r>
    </w:p>
    <w:p>
      <w:pPr>
        <w:spacing w:after="0" w:line="4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pursue expense reduction and cost savings in lower margin business lines or in response to lower production volume; and</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grow through disciplined, strategic acquisitions and rigorous integration processes.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Forbearance Agreement and Third Amendment of Credit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25, 2025, the LLC entered into a Second Forbearance Agreement and Third Amendment to Credit Agreement (the “Third Amendment”) to its Credit Agreement. The Third Amendment was by and among the LLC, the lenders party thereto, and the Administrative Agent.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Third Amendment provided that the Administrative Agent and the Lenders would refrain from exercising rights and remedies available to them with respect to the Lugano Events of Default until the earliest of: (a) 11:59 p.m. (Eastern Time) on October 24, 2025; (b) the occurrence of any event of default other than a Lugano Event of Default; (c) the breach by the LLC of any covenant or provision of the Third Amendment;</w:t>
      </w:r>
    </w:p>
    <w:p>
      <w:pPr>
        <w:spacing w:after="0" w:line="1" w:lineRule="exact"/>
        <w:rPr>
          <w:sz w:val="20"/>
          <w:szCs w:val="20"/>
          <w:color w:val="auto"/>
        </w:rPr>
      </w:pPr>
    </w:p>
    <w:p>
      <w:pPr>
        <w:jc w:val="both"/>
        <w:ind w:firstLine="8"/>
        <w:spacing w:after="0" w:line="253" w:lineRule="auto"/>
        <w:tabs>
          <w:tab w:leader="none" w:pos="2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declaration by the trustee or any holders of the LLC’s 2029 Senior Unsecured Notes of any default or event of default under the Indenture dated as of March 23, 2021 between the LLC and U.S. Bank National Association, as trustee, for which a forbearance agreement was not executed with the LLC within five business days after the date of such declaration; and (e) the declaration by the trustee or any holder of the 2032 Senior Unsecured Notes of any default or event of default under the Indenture dated as of November 27, 2021 between the LLC and U.S. Bank National Association, as trustee, for which a forbearance agreement was not executed with the LLC within five business days after the date of such declaration (the period from July 25, 2025 through the earliest of events (a) through (e) above, the “Second Forbearance Period”).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2" w:name="page63"/>
    <w:bookmarkEnd w:id="62"/>
    <w:p>
      <w:pPr>
        <w:jc w:val="both"/>
        <w:spacing w:after="0" w:line="254" w:lineRule="auto"/>
        <w:rPr>
          <w:sz w:val="20"/>
          <w:szCs w:val="20"/>
          <w:color w:val="auto"/>
        </w:rPr>
      </w:pPr>
      <w:r>
        <w:rPr>
          <w:rFonts w:ascii="Arial" w:cs="Arial" w:eastAsia="Arial" w:hAnsi="Arial"/>
          <w:sz w:val="18"/>
          <w:szCs w:val="18"/>
          <w:color w:val="auto"/>
        </w:rPr>
        <w:t>During the Second Forbearance Period, the Lenders under the Credit Agreement would honor requests for credit extensions from the LLC for revolving loans composed of term SOFR loans with an applicable rate of 2.50% per annum and an interest period of one month; provided, however, that such credit extensions shall not cause the Lenders’ revolving credit exposures (inclusive of letters of credit obligations) to exceed $60 million. Lenders representing at least 50% of the total credit exposure of all Lenders under the Credit Agreement were able to, in their discretion, approve additional revolving borrowings by the LLC in an amount not to exceed an aggregate of $10 million. During the Second Forbearance Period, the LLC was able to make Restricted Payments (as defined in the Credit Agreement), including any dividend or other distribution with respect to equity interests, if, after giving effect to any indebtedness incurred in connection with such payment (a) all cash of the LLC on deposit with the Administrative Agent or subject to a qualifying control account, plus (b) unused borrowing availability, was not less than $10 million; provided, however, that the forgoing was not the exclusive method by which the LLC was able to make Restricted Payments.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forbearance of the Lenders described above, the Third Amendment also amended the Credit Agreement to (i) limit the management fees that were able to be paid by the LLC to CGM to no more than $5 million per fiscal quarter (with the amount of such management fees that could not be paid due to this limitation being available to offset any potential future reduction in management fees as a result of any adjustments for deemed overpayments) and (ii) limit the management fees that could be paid by the LLC’s subsidiaries to the Manager to no more than $2.0 million per fiscal quarter. The Third Amendment contained customary representations and warranties.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Credit Agreement included in the "Notes to the to the Condensed Consolidated Financial Statements" included in this Form 10-Q.</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Forbearance Agreement</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Lugano matters, the LLC has maintained regular communication with holders of the LLC’s Notes concerning the existence of the potential for default under the terms of the Indentures in respect of the Lugano matters. To provide the Company with adequate time to complete the restatement of its 2022, 2023, and 2024 financial statements and to file its quarterly reports for the first and second quarters of 2025, on August 29, 2025, the LLC entered into a Forbearance Agreement (the “Indenture Forbearance Agreement”) with certain holders of the Notes (collectively, the “Supporting Holders”) and, for certain limited purposes described therein, the Trustee, pursuant to which, during the Indenture Forbearance Period (as defined below), the Supporting Holders agreed to forbear, and to direct the Trustee to forbear, from exercising rights and remedies available to them with respect to (i) actual or potential defaults or events of default under the Indentures resulting from any breach of the Indentures’ requirement to provide certain financial within specified time periods, and (ii) any other default or event of default mutually agreed upon between the Supporting Holders and the LLC in writing and delivered to the Trustee (events (i) and (ii), collectively, the “Specified Defaults”) until the earliest of: (a) the occurrence or existence of any event of default under the Indentures, other than the Specified Defaults, that is not cured or waived within any applicable grace or cure period under the Indentures; (b) the failure of the LLC to timely comply with any term, condition, or covenant of the Indenture Forbearance Agreement; (c) the termination of the forbearance period provided under the Second Forbearance Agreement with respect to the Credit Agreement, such forbearance period having not been extended or replaced by another forbearance or similar agreement among the parties thereto within three (3) business days of such termination; (d) the cure of any Specified Default related to any breach of the requirement to provide certain financial information within specified time periods pursuant to Section 4.03 of the Indentures; (e) the LLC’s failure to cause the execution and the delivery of supplemental indentures in respect of each series of Notes substantially in the form provided in the Indenture Forbearance Agreement providing for the payment to the holders of the Notes of the fees specified in the Indenture Forbearance Agreement (or another form reasonably acceptable to the Supporting Holders providing for the payment of the same fees) (the “Supplemental Indentures”), or alternatively the LLC failed to make certain cash fee payment within fifteen business days of August 29, 2025, and (f) 11:59 p.m. ET on October 24, 2025 (the period from August 29, 2025 through the earliest of events (a) through (f) above, the “Indenture Forbearance Period”).</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Indenture Forbearance Period, the Supporting Holders also agreed (1) in the event that the Trustee or any holder or group of holders of the Notes declares the 2029 Notes and/or the 2032 Notes to be due and payable immediately solely as a result of any Specified Default (an “Acceleration”), the Supporting Holders would (a) deliver written notice and direction to the Trustee to rescind and not seek any remedy under the Indenture in connection with such Acceleration in accordance with the terms of the Indentures and (b) take all other action in the Supporting Holders’ power to cause such Acceleration to be rescinded and cancelled, to the extent permitted by the Indentures, and</w:t>
      </w:r>
    </w:p>
    <w:p>
      <w:pPr>
        <w:spacing w:after="0" w:line="3"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to transfer any right, title or interest in their respective Notes, unless (x) such transferee was a party to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3" w:name="page64"/>
    <w:bookmarkEnd w:id="63"/>
    <w:p>
      <w:pPr>
        <w:jc w:val="both"/>
        <w:spacing w:after="0" w:line="287" w:lineRule="auto"/>
        <w:rPr>
          <w:sz w:val="20"/>
          <w:szCs w:val="20"/>
          <w:color w:val="auto"/>
        </w:rPr>
      </w:pPr>
      <w:r>
        <w:rPr>
          <w:rFonts w:ascii="Arial" w:cs="Arial" w:eastAsia="Arial" w:hAnsi="Arial"/>
          <w:sz w:val="18"/>
          <w:szCs w:val="18"/>
          <w:color w:val="auto"/>
        </w:rPr>
        <w:t>the Indenture Forbearance Agreement or (y) the transferee executed a joinder agreeing to be bound by the terms of the Indenture Forbearance Agreement if such transferee was not already a party to the Indenture Forbearance Agreement.</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consideration for entering into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Indentures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9, 2025, the LLC entered into (a) a second supplemental indenture by and between the LLC and the Trustee amending and supplementing the 2029 Notes Indenture (the “2029 Second Supplemental Indenture”); and (b) a second supplemental indenture (the “2032 Second Supplemental Indenture” and, together with the 2029 Second Supplemental Indenture, the “Supplemental Indentures”) by and between the LLC and the Trustee, amending and supplementing the 2032 Notes Indenture.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Supplemental Indentures: (a) amended and restated Section 2.01(a) of each of the Indentures to (i) require all Notes to be in minimum denominations of $1.00 and integral multiples of $1.00 in excess thereof and (ii) authorize the payment of the PIK Payments (defined below), payable in kind as an increase in the principal amount of the Global Notes (as defined in the Indentures) held by Cede &amp; Co., as nominee for the Depositary (as defined in the Indentures); and (b) added a new Section 4.19 to each of the Indentures (i) requiring the LLC to make (A) a special one-time payment in kind (the “Fixed PIK Payment”) on September 17, 2025 (the “Fixed PIK Payment Date”) in an amount equal to $17.50 per $1,000 of the principal amount of the Notes outstanding to the holders of such Notes as of September 16, 2025; and (B) an additional interest payment on the Notes (the “Interest PIK Payment” and, together with the Fixed PIK Payment, the “PIK Payments”) at a rate of 5.00% per annum for each day during the period beginning on, and including, August 1, 2025 and ending on the earlier of (X) October 24, 2025 and (Y) the date of delivery to the Trustee of restated audited annual financials for fiscal years 2022, 2023, and 2024 and unaudited financials for the first quarter of fiscal year 2025.</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4.19(c), PIK Payments on the Notes were payable by increasing the principal amount of the outstanding Global Notes by an amount equal to the amount of the applicable PIK Payment (rounded down to the nearest whole dollar) as directed by the LLC. Such increased principal amount is fungible with the Notes issued prior to the applicable date of such PIK Payment and will bear interest from the most recent interest payment date on the Notes prior to the applicable date of such PIK Payment. The principal of all Notes resulting from a PIK Payment will mature on the maturity dates of the Notes.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27, 2025, the Trustee delivered a notice of default under the Indentures related to the Company’s failure to deliver to the Trustee the Company’s consolidated financial statements for the fiscal quarter ending March 31, 2025 within the time period required under the Indenture Forbearance Agreement. The Company completed the delivery of its consolidated financial statements for the fiscal quarter ending March 31, 2025 on December 19, 2025, within a sixty (60) day cure period provided under the Indentures to remedy such defaults.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results of operations contained in this report, which have been prepared and presented in accordance with accounting principles generally accepted in the United States of America ("U.S. GAAP" or "GAAP"), we have also included supplemental information concerning our results of operations on a non-GAAP basis.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“Reconciliation of Non-GAAP Financial Measures” for further discussion of our non-GAAP financial measures and related reconciliations.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and nine months ended September 30, 2025 and September 30, 2024, and components of the results of operations for each of our operating segments on a stand-alone basis.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following results of operations, we provide (i) our actual Consolidated Results of Operations for the three and nine months ended September 30, 2025 and 2024, which includes the historical results of operations of each of our businesses (operating segments) from the date of acquisition in accordance with US GAAP, and (ii) comparative historical components of the results of operations for each of our businesses on a stand-alone basis for the three and nine months ended September 30, 2025 and 2024, where all periods presented include relevant pro forma adjustments for pre-acquisition periods and explanations where applicable. For the acquisition of The Honey Pot Co. in January 2024, the pro forma results of operations for The Honey Pot Co. business segment has been prepared as if we purchased this business on January 1, 2024. We believe this is the most meaningful comparison for the operating results of acquired business segments. The following results of operations at each of our businesses are not necessarily indicative of the results to be expected for a full year.</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dollar amounts in the financial tables are presented in thousands. Certain amounts and percentages may not sum or recalculate due to the presentation of rounded numbers. Amounts discussed within the supporting narrative are calculated based on unrounded numbers and consequently the sum of the components may not agree to totals using the rounded numbers provided. References in the financial tables to percentage changes that are not meaningful are denoted by "NM."</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 Quarter-to-Date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2025 compared to three months ended September 30, 2024 (as restated)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periods indicated, in dollars and as a percentage of net revenues:</w:t>
      </w:r>
    </w:p>
    <w:p>
      <w:pPr>
        <w:spacing w:after="0" w:line="143"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6"/>
          </w:tcPr>
          <w:p>
            <w:pPr>
              <w:ind w:left="340"/>
              <w:spacing w:after="0"/>
              <w:rPr>
                <w:sz w:val="20"/>
                <w:szCs w:val="20"/>
                <w:color w:val="auto"/>
              </w:rPr>
            </w:pPr>
            <w:r>
              <w:rPr>
                <w:rFonts w:ascii="Arial" w:cs="Arial" w:eastAsia="Arial" w:hAnsi="Arial"/>
                <w:sz w:val="15"/>
                <w:szCs w:val="15"/>
                <w:b w:val="1"/>
                <w:bCs w:val="1"/>
                <w:color w:val="auto"/>
              </w:rPr>
              <w:t>Three months ended</w:t>
            </w:r>
          </w:p>
        </w:tc>
        <w:tc>
          <w:tcPr>
            <w:tcW w:w="5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r>
      <w:tr>
        <w:trPr>
          <w:trHeight w:val="196"/>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0"/>
              <w:spacing w:after="0"/>
              <w:rPr>
                <w:sz w:val="20"/>
                <w:szCs w:val="20"/>
                <w:color w:val="auto"/>
              </w:rPr>
            </w:pPr>
            <w:r>
              <w:rPr>
                <w:rFonts w:ascii="Arial" w:cs="Arial" w:eastAsia="Arial" w:hAnsi="Arial"/>
                <w:sz w:val="15"/>
                <w:szCs w:val="15"/>
                <w:b w:val="1"/>
                <w:bCs w:val="1"/>
                <w:color w:val="auto"/>
              </w:rPr>
              <w:t>September 30, 2024</w:t>
            </w: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5"/>
                <w:szCs w:val="15"/>
                <w:b w:val="1"/>
                <w:bCs w:val="1"/>
                <w:color w:val="auto"/>
              </w:rPr>
              <w:t>(As Restated)</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472,562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40" w:type="dxa"/>
            <w:vAlign w:val="bottom"/>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456,553</w:t>
            </w: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8"/>
              </w:rPr>
              <w:t>100.0 %</w:t>
            </w:r>
          </w:p>
        </w:tc>
        <w:tc>
          <w:tcPr>
            <w:tcW w:w="40" w:type="dxa"/>
            <w:vAlign w:val="bottom"/>
            <w:shd w:val="clear" w:color="auto" w:fill="CCEEFF"/>
          </w:tcPr>
          <w:p>
            <w:pPr>
              <w:spacing w:after="0"/>
              <w:rPr>
                <w:sz w:val="17"/>
                <w:szCs w:val="17"/>
                <w:color w:val="auto"/>
              </w:rPr>
            </w:pPr>
          </w:p>
        </w:tc>
      </w:tr>
      <w:tr>
        <w:trPr>
          <w:trHeight w:val="181"/>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264,847</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56.0 %</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259,920</w:t>
            </w:r>
          </w:p>
        </w:tc>
        <w:tc>
          <w:tcPr>
            <w:tcW w:w="4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56.9 %</w:t>
            </w:r>
          </w:p>
        </w:tc>
        <w:tc>
          <w:tcPr>
            <w:tcW w:w="40" w:type="dxa"/>
            <w:vAlign w:val="bottom"/>
            <w:tcBorders>
              <w:bottom w:val="single" w:sz="8" w:color="CCEEFF"/>
            </w:tcBorders>
          </w:tcPr>
          <w:p>
            <w:pPr>
              <w:spacing w:after="0"/>
              <w:rPr>
                <w:sz w:val="15"/>
                <w:szCs w:val="15"/>
                <w:color w:val="auto"/>
              </w:rPr>
            </w:pPr>
          </w:p>
        </w:tc>
      </w:tr>
      <w:tr>
        <w:trPr>
          <w:trHeight w:val="197"/>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3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207,715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44.0 %</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196,633</w:t>
            </w: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43.1 %</w:t>
            </w:r>
          </w:p>
        </w:tc>
        <w:tc>
          <w:tcPr>
            <w:tcW w:w="40" w:type="dxa"/>
            <w:vAlign w:val="bottom"/>
            <w:shd w:val="clear" w:color="auto" w:fill="CCEEFF"/>
          </w:tcPr>
          <w:p>
            <w:pPr>
              <w:spacing w:after="0"/>
              <w:rPr>
                <w:sz w:val="17"/>
                <w:szCs w:val="17"/>
                <w:color w:val="auto"/>
              </w:rPr>
            </w:pPr>
          </w:p>
        </w:tc>
      </w:tr>
      <w:tr>
        <w:trPr>
          <w:trHeight w:val="180"/>
        </w:trPr>
        <w:tc>
          <w:tcPr>
            <w:tcW w:w="434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34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179,315</w:t>
            </w:r>
          </w:p>
        </w:tc>
        <w:tc>
          <w:tcPr>
            <w:tcW w:w="980" w:type="dxa"/>
            <w:vAlign w:val="bottom"/>
          </w:tcPr>
          <w:p>
            <w:pPr>
              <w:jc w:val="right"/>
              <w:spacing w:after="0"/>
              <w:rPr>
                <w:sz w:val="20"/>
                <w:szCs w:val="20"/>
                <w:color w:val="auto"/>
              </w:rPr>
            </w:pPr>
            <w:r>
              <w:rPr>
                <w:rFonts w:ascii="Arial" w:cs="Arial" w:eastAsia="Arial" w:hAnsi="Arial"/>
                <w:sz w:val="15"/>
                <w:szCs w:val="15"/>
                <w:color w:val="auto"/>
              </w:rPr>
              <w:t>37.9 %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145,959</w:t>
            </w:r>
          </w:p>
        </w:tc>
        <w:tc>
          <w:tcPr>
            <w:tcW w:w="4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32.0 %</w:t>
            </w:r>
          </w:p>
        </w:tc>
        <w:tc>
          <w:tcPr>
            <w:tcW w:w="40" w:type="dxa"/>
            <w:vAlign w:val="bottom"/>
          </w:tcPr>
          <w:p>
            <w:pPr>
              <w:spacing w:after="0"/>
              <w:rPr>
                <w:sz w:val="15"/>
                <w:szCs w:val="15"/>
                <w:color w:val="auto"/>
              </w:rPr>
            </w:pPr>
          </w:p>
        </w:tc>
      </w:tr>
      <w:tr>
        <w:trPr>
          <w:trHeight w:val="205"/>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Management fees</w:t>
            </w:r>
          </w:p>
        </w:tc>
        <w:tc>
          <w:tcPr>
            <w:tcW w:w="3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16,213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18,633</w:t>
            </w: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40" w:type="dxa"/>
            <w:vAlign w:val="bottom"/>
            <w:shd w:val="clear" w:color="auto" w:fill="CCEEFF"/>
          </w:tcPr>
          <w:p>
            <w:pPr>
              <w:spacing w:after="0"/>
              <w:rPr>
                <w:sz w:val="17"/>
                <w:szCs w:val="17"/>
                <w:color w:val="auto"/>
              </w:rPr>
            </w:pPr>
          </w:p>
        </w:tc>
      </w:tr>
      <w:tr>
        <w:trPr>
          <w:trHeight w:val="181"/>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Amortization expense</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23,254</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4.9 %</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23,721</w:t>
            </w:r>
          </w:p>
        </w:tc>
        <w:tc>
          <w:tcPr>
            <w:tcW w:w="4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5.2 %</w:t>
            </w:r>
          </w:p>
        </w:tc>
        <w:tc>
          <w:tcPr>
            <w:tcW w:w="40" w:type="dxa"/>
            <w:vAlign w:val="bottom"/>
            <w:tcBorders>
              <w:bottom w:val="single" w:sz="8" w:color="CCEEFF"/>
            </w:tcBorders>
          </w:tcPr>
          <w:p>
            <w:pPr>
              <w:spacing w:after="0"/>
              <w:rPr>
                <w:sz w:val="15"/>
                <w:szCs w:val="15"/>
                <w:color w:val="auto"/>
              </w:rPr>
            </w:pPr>
          </w:p>
        </w:tc>
      </w:tr>
      <w:tr>
        <w:trPr>
          <w:trHeight w:val="197"/>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Operating income (loss)</w:t>
            </w:r>
          </w:p>
        </w:tc>
        <w:tc>
          <w:tcPr>
            <w:tcW w:w="3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8,320</w:t>
            </w: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40" w:type="dxa"/>
            <w:vAlign w:val="bottom"/>
            <w:shd w:val="clear" w:color="auto" w:fill="CCEEFF"/>
          </w:tcPr>
          <w:p>
            <w:pPr>
              <w:spacing w:after="0"/>
              <w:rPr>
                <w:sz w:val="17"/>
                <w:szCs w:val="17"/>
                <w:color w:val="auto"/>
              </w:rPr>
            </w:pPr>
          </w:p>
        </w:tc>
      </w:tr>
      <w:tr>
        <w:trPr>
          <w:trHeight w:val="180"/>
        </w:trPr>
        <w:tc>
          <w:tcPr>
            <w:tcW w:w="43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(66,721)</w:t>
            </w:r>
          </w:p>
        </w:tc>
        <w:tc>
          <w:tcPr>
            <w:tcW w:w="980" w:type="dxa"/>
            <w:vAlign w:val="bottom"/>
          </w:tcPr>
          <w:p>
            <w:pPr>
              <w:jc w:val="right"/>
              <w:spacing w:after="0"/>
              <w:rPr>
                <w:sz w:val="20"/>
                <w:szCs w:val="20"/>
                <w:color w:val="auto"/>
              </w:rPr>
            </w:pPr>
            <w:r>
              <w:rPr>
                <w:rFonts w:ascii="Arial" w:cs="Arial" w:eastAsia="Arial" w:hAnsi="Arial"/>
                <w:sz w:val="15"/>
                <w:szCs w:val="15"/>
                <w:color w:val="auto"/>
              </w:rPr>
              <w:t>(14.1)%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(31,620)</w:t>
            </w:r>
          </w:p>
        </w:tc>
        <w:tc>
          <w:tcPr>
            <w:tcW w:w="4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(6.9)%</w:t>
            </w:r>
          </w:p>
        </w:tc>
        <w:tc>
          <w:tcPr>
            <w:tcW w:w="40" w:type="dxa"/>
            <w:vAlign w:val="bottom"/>
          </w:tcPr>
          <w:p>
            <w:pPr>
              <w:spacing w:after="0"/>
              <w:rPr>
                <w:sz w:val="15"/>
                <w:szCs w:val="15"/>
                <w:color w:val="auto"/>
              </w:rPr>
            </w:pPr>
          </w:p>
        </w:tc>
      </w:tr>
      <w:tr>
        <w:trPr>
          <w:trHeight w:val="205"/>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(1,005)</w:t>
            </w: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40" w:type="dxa"/>
            <w:vAlign w:val="bottom"/>
            <w:shd w:val="clear" w:color="auto" w:fill="CCEEFF"/>
          </w:tcPr>
          <w:p>
            <w:pPr>
              <w:spacing w:after="0"/>
              <w:rPr>
                <w:sz w:val="17"/>
                <w:szCs w:val="17"/>
                <w:color w:val="auto"/>
              </w:rPr>
            </w:pPr>
          </w:p>
        </w:tc>
      </w:tr>
      <w:tr>
        <w:trPr>
          <w:trHeight w:val="180"/>
        </w:trPr>
        <w:tc>
          <w:tcPr>
            <w:tcW w:w="4340" w:type="dxa"/>
            <w:vAlign w:val="bottom"/>
          </w:tcPr>
          <w:p>
            <w:pPr>
              <w:ind w:left="20"/>
              <w:spacing w:after="0"/>
              <w:rPr>
                <w:sz w:val="20"/>
                <w:szCs w:val="20"/>
                <w:color w:val="auto"/>
              </w:rPr>
            </w:pPr>
            <w:r>
              <w:rPr>
                <w:rFonts w:ascii="Arial" w:cs="Arial" w:eastAsia="Arial" w:hAnsi="Arial"/>
                <w:sz w:val="15"/>
                <w:szCs w:val="15"/>
                <w:color w:val="auto"/>
              </w:rPr>
              <w:t>Loss on sale of Crosman</w:t>
            </w:r>
          </w:p>
        </w:tc>
        <w:tc>
          <w:tcPr>
            <w:tcW w:w="34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388</w:t>
            </w:r>
          </w:p>
        </w:tc>
        <w:tc>
          <w:tcPr>
            <w:tcW w:w="4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0.1 %</w:t>
            </w:r>
          </w:p>
        </w:tc>
        <w:tc>
          <w:tcPr>
            <w:tcW w:w="40" w:type="dxa"/>
            <w:vAlign w:val="bottom"/>
          </w:tcPr>
          <w:p>
            <w:pPr>
              <w:spacing w:after="0"/>
              <w:rPr>
                <w:sz w:val="15"/>
                <w:szCs w:val="15"/>
                <w:color w:val="auto"/>
              </w:rPr>
            </w:pPr>
          </w:p>
        </w:tc>
      </w:tr>
      <w:tr>
        <w:trPr>
          <w:trHeight w:val="205"/>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(2,343)</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(37,769)</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40" w:type="dxa"/>
            <w:vAlign w:val="bottom"/>
            <w:shd w:val="clear" w:color="auto" w:fill="CCEEFF"/>
          </w:tcPr>
          <w:p>
            <w:pPr>
              <w:spacing w:after="0"/>
              <w:rPr>
                <w:sz w:val="17"/>
                <w:szCs w:val="17"/>
                <w:color w:val="auto"/>
              </w:rPr>
            </w:pPr>
          </w:p>
        </w:tc>
      </w:tr>
      <w:tr>
        <w:trPr>
          <w:trHeight w:val="195"/>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Loss from continuing operations before income taxes</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(80,957)</w:t>
            </w:r>
          </w:p>
        </w:tc>
        <w:tc>
          <w:tcPr>
            <w:tcW w:w="10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rPr>
              <w:t>(17.1)%</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(61,686)</w:t>
            </w:r>
          </w:p>
        </w:tc>
        <w:tc>
          <w:tcPr>
            <w:tcW w:w="44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rPr>
              <w:t>(13.5)%</w:t>
            </w:r>
          </w:p>
        </w:tc>
      </w:tr>
      <w:tr>
        <w:trPr>
          <w:trHeight w:val="197"/>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5,763</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2,772</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40" w:type="dxa"/>
            <w:vAlign w:val="bottom"/>
            <w:shd w:val="clear" w:color="auto" w:fill="CCEEFF"/>
          </w:tcPr>
          <w:p>
            <w:pPr>
              <w:spacing w:after="0"/>
              <w:rPr>
                <w:sz w:val="17"/>
                <w:szCs w:val="17"/>
                <w:color w:val="auto"/>
              </w:rPr>
            </w:pPr>
          </w:p>
        </w:tc>
      </w:tr>
      <w:tr>
        <w:trPr>
          <w:trHeight w:val="196"/>
        </w:trPr>
        <w:tc>
          <w:tcPr>
            <w:tcW w:w="4340" w:type="dxa"/>
            <w:vAlign w:val="bottom"/>
          </w:tcPr>
          <w:p>
            <w:pPr>
              <w:ind w:left="220"/>
              <w:spacing w:after="0"/>
              <w:rPr>
                <w:sz w:val="20"/>
                <w:szCs w:val="20"/>
                <w:color w:val="auto"/>
              </w:rPr>
            </w:pPr>
            <w:r>
              <w:rPr>
                <w:rFonts w:ascii="Arial" w:cs="Arial" w:eastAsia="Arial" w:hAnsi="Arial"/>
                <w:sz w:val="15"/>
                <w:szCs w:val="15"/>
                <w:color w:val="auto"/>
              </w:rPr>
              <w:t>Net loss from continuing operations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(86,720)</w:t>
            </w: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(18.4)%</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(64,458)</w:t>
            </w:r>
          </w:p>
        </w:tc>
        <w:tc>
          <w:tcPr>
            <w:tcW w:w="44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(14.1)%</w:t>
            </w:r>
          </w:p>
        </w:tc>
      </w:tr>
      <w:tr>
        <w:trPr>
          <w:trHeight w:val="20"/>
        </w:trPr>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4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Three months ended</w:t>
            </w:r>
          </w:p>
        </w:tc>
        <w:tc>
          <w:tcPr>
            <w:tcW w:w="10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September 30, 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4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36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5.11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143,240</w:t>
            </w:r>
          </w:p>
        </w:tc>
        <w:tc>
          <w:tcPr>
            <w:tcW w:w="14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139,218</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4,022</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2.9 %</w:t>
            </w:r>
          </w:p>
        </w:tc>
      </w:tr>
      <w:tr>
        <w:trPr>
          <w:trHeight w:val="201"/>
        </w:trPr>
        <w:tc>
          <w:tcPr>
            <w:tcW w:w="3740" w:type="dxa"/>
            <w:vAlign w:val="bottom"/>
          </w:tcPr>
          <w:p>
            <w:pPr>
              <w:spacing w:after="0"/>
              <w:rPr>
                <w:sz w:val="20"/>
                <w:szCs w:val="20"/>
                <w:color w:val="auto"/>
              </w:rPr>
            </w:pPr>
            <w:r>
              <w:rPr>
                <w:rFonts w:ascii="Arial" w:cs="Arial" w:eastAsia="Arial" w:hAnsi="Arial"/>
                <w:sz w:val="15"/>
                <w:szCs w:val="15"/>
                <w:color w:val="auto"/>
              </w:rPr>
              <w:t>BOA</w:t>
            </w:r>
          </w:p>
        </w:tc>
        <w:tc>
          <w:tcPr>
            <w:tcW w:w="14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43,941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45,607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(1,666)</w:t>
            </w:r>
          </w:p>
        </w:tc>
        <w:tc>
          <w:tcPr>
            <w:tcW w:w="120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4"/>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Lugano</w:t>
            </w: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17,350</w:t>
            </w:r>
          </w:p>
        </w:tc>
        <w:tc>
          <w:tcPr>
            <w:tcW w:w="14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14,269</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3,081</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21.6 %</w:t>
            </w:r>
          </w:p>
        </w:tc>
      </w:tr>
      <w:tr>
        <w:trPr>
          <w:trHeight w:val="201"/>
        </w:trPr>
        <w:tc>
          <w:tcPr>
            <w:tcW w:w="3740" w:type="dxa"/>
            <w:vAlign w:val="bottom"/>
          </w:tcPr>
          <w:p>
            <w:pPr>
              <w:spacing w:after="0"/>
              <w:rPr>
                <w:sz w:val="20"/>
                <w:szCs w:val="20"/>
                <w:color w:val="auto"/>
              </w:rPr>
            </w:pPr>
            <w:r>
              <w:rPr>
                <w:rFonts w:ascii="Arial" w:cs="Arial" w:eastAsia="Arial" w:hAnsi="Arial"/>
                <w:sz w:val="15"/>
                <w:szCs w:val="15"/>
                <w:color w:val="auto"/>
              </w:rPr>
              <w:t>PrimaLoft</w:t>
            </w:r>
          </w:p>
        </w:tc>
        <w:tc>
          <w:tcPr>
            <w:tcW w:w="14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13,294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13,686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(392)</w:t>
            </w:r>
          </w:p>
        </w:tc>
        <w:tc>
          <w:tcPr>
            <w:tcW w:w="120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4"/>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The Honey Pot Co.</w:t>
            </w: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34,727</w:t>
            </w:r>
          </w:p>
        </w:tc>
        <w:tc>
          <w:tcPr>
            <w:tcW w:w="14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31,545</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3,182</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10.1 %</w:t>
            </w:r>
          </w:p>
        </w:tc>
      </w:tr>
      <w:tr>
        <w:trPr>
          <w:trHeight w:val="201"/>
        </w:trPr>
        <w:tc>
          <w:tcPr>
            <w:tcW w:w="37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Velocity</w:t>
            </w: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29,040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28,809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231</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0.8 %</w:t>
            </w:r>
          </w:p>
        </w:tc>
      </w:tr>
      <w:tr>
        <w:trPr>
          <w:trHeight w:val="197"/>
        </w:trPr>
        <w:tc>
          <w:tcPr>
            <w:tcW w:w="3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Branded Consumer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281,592</w:t>
            </w:r>
          </w:p>
        </w:tc>
        <w:tc>
          <w:tcPr>
            <w:tcW w:w="14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273,134</w:t>
            </w:r>
          </w:p>
        </w:tc>
        <w:tc>
          <w:tcPr>
            <w:tcW w:w="100" w:type="dxa"/>
            <w:vAlign w:val="bottom"/>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8,458</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r>
      <w:tr>
        <w:trPr>
          <w:trHeight w:val="201"/>
        </w:trPr>
        <w:tc>
          <w:tcPr>
            <w:tcW w:w="3740" w:type="dxa"/>
            <w:vAlign w:val="bottom"/>
          </w:tcPr>
          <w:p>
            <w:pPr>
              <w:spacing w:after="0"/>
              <w:rPr>
                <w:sz w:val="20"/>
                <w:szCs w:val="20"/>
                <w:color w:val="auto"/>
              </w:rPr>
            </w:pPr>
            <w:r>
              <w:rPr>
                <w:rFonts w:ascii="Arial" w:cs="Arial" w:eastAsia="Arial" w:hAnsi="Arial"/>
                <w:sz w:val="15"/>
                <w:szCs w:val="15"/>
                <w:color w:val="auto"/>
              </w:rPr>
              <w:t>Altor</w:t>
            </w:r>
          </w:p>
        </w:tc>
        <w:tc>
          <w:tcPr>
            <w:tcW w:w="14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79,824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52,129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27,695</w:t>
            </w:r>
          </w:p>
        </w:tc>
        <w:tc>
          <w:tcPr>
            <w:tcW w:w="1200" w:type="dxa"/>
            <w:vAlign w:val="bottom"/>
          </w:tcPr>
          <w:p>
            <w:pPr>
              <w:jc w:val="right"/>
              <w:spacing w:after="0"/>
              <w:rPr>
                <w:sz w:val="20"/>
                <w:szCs w:val="20"/>
                <w:color w:val="auto"/>
              </w:rPr>
            </w:pPr>
            <w:r>
              <w:rPr>
                <w:rFonts w:ascii="Arial" w:cs="Arial" w:eastAsia="Arial" w:hAnsi="Arial"/>
                <w:sz w:val="15"/>
                <w:szCs w:val="15"/>
                <w:color w:val="auto"/>
              </w:rPr>
              <w:t>53.1 %</w:t>
            </w:r>
          </w:p>
        </w:tc>
      </w:tr>
      <w:tr>
        <w:trPr>
          <w:trHeight w:val="204"/>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Arnold</w:t>
            </w: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37,686</w:t>
            </w:r>
          </w:p>
        </w:tc>
        <w:tc>
          <w:tcPr>
            <w:tcW w:w="14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46,103</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(8,417)</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r>
      <w:tr>
        <w:trPr>
          <w:trHeight w:val="201"/>
        </w:trPr>
        <w:tc>
          <w:tcPr>
            <w:tcW w:w="37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Sterno</w:t>
            </w: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73,460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85,187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(11,727)</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(13.8)%</w:t>
            </w:r>
          </w:p>
        </w:tc>
      </w:tr>
      <w:tr>
        <w:trPr>
          <w:trHeight w:val="197"/>
        </w:trPr>
        <w:tc>
          <w:tcPr>
            <w:tcW w:w="3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Industrial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190,970</w:t>
            </w: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183,419</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7,551</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r>
      <w:tr>
        <w:trPr>
          <w:trHeight w:val="197"/>
        </w:trPr>
        <w:tc>
          <w:tcPr>
            <w:tcW w:w="3740" w:type="dxa"/>
            <w:vAlign w:val="bottom"/>
          </w:tcPr>
          <w:p>
            <w:pPr>
              <w:spacing w:after="0"/>
              <w:rPr>
                <w:sz w:val="20"/>
                <w:szCs w:val="20"/>
                <w:color w:val="auto"/>
              </w:rPr>
            </w:pPr>
            <w:r>
              <w:rPr>
                <w:rFonts w:ascii="Arial" w:cs="Arial" w:eastAsia="Arial" w:hAnsi="Arial"/>
                <w:sz w:val="15"/>
                <w:szCs w:val="15"/>
                <w:b w:val="1"/>
                <w:bCs w:val="1"/>
                <w:color w:val="auto"/>
              </w:rPr>
              <w:t>Consolidated net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472,562</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456,553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16,009</w:t>
            </w:r>
          </w:p>
        </w:tc>
        <w:tc>
          <w:tcPr>
            <w:tcW w:w="1200" w:type="dxa"/>
            <w:vAlign w:val="bottom"/>
          </w:tcPr>
          <w:p>
            <w:pPr>
              <w:jc w:val="right"/>
              <w:spacing w:after="0"/>
              <w:rPr>
                <w:sz w:val="20"/>
                <w:szCs w:val="20"/>
                <w:color w:val="auto"/>
              </w:rPr>
            </w:pPr>
            <w:r>
              <w:rPr>
                <w:rFonts w:ascii="Arial" w:cs="Arial" w:eastAsia="Arial" w:hAnsi="Arial"/>
                <w:sz w:val="15"/>
                <w:szCs w:val="15"/>
                <w:color w:val="auto"/>
              </w:rPr>
              <w:t>3.5 %</w:t>
            </w:r>
          </w:p>
        </w:tc>
      </w:tr>
      <w:tr>
        <w:trPr>
          <w:trHeight w:val="21"/>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net revenues for the three months ended September 30, 2025 increased by approximately $16.0 million, or 3.5%, compared to the corresponding period in 2024. During the three months ended September 30, 2025 compared to 2024, we saw notable increases in net revenues at 5.11 ($4.0 million increase), Lugano ($ 3.1 million increase), The Honey Pot Co. ($3.2 million increase), and Altor ($27.7 million increase). The increase in net revenue at Altor was attributable to the acquisition of Lifoam in October 2024. These increases in net revenue were offset by decreases in net revenue at BOA ($1.7 million decrease), Arnold ($8.4 million decrease), and Sterno ($11.7 million decrease). Refer to "Results of Operations - Operating Segments - Quarter-to-Date" for a more detailed analysis of net revenues by operating segment.</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80" w:type="dxa"/>
            <w:vAlign w:val="bottom"/>
          </w:tcPr>
          <w:p>
            <w:pPr>
              <w:spacing w:after="0"/>
              <w:rPr>
                <w:sz w:val="17"/>
                <w:szCs w:val="17"/>
                <w:color w:val="auto"/>
              </w:rPr>
            </w:pPr>
          </w:p>
        </w:tc>
        <w:tc>
          <w:tcPr>
            <w:tcW w:w="2060" w:type="dxa"/>
            <w:vAlign w:val="bottom"/>
            <w:gridSpan w:val="3"/>
          </w:tcPr>
          <w:p>
            <w:pPr>
              <w:ind w:left="160"/>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02"/>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77,247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74,725</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2,522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20" w:type="dxa"/>
            <w:vAlign w:val="bottom"/>
            <w:shd w:val="clear" w:color="auto" w:fill="CCEEFF"/>
          </w:tcPr>
          <w:p>
            <w:pPr>
              <w:spacing w:after="0"/>
              <w:rPr>
                <w:sz w:val="17"/>
                <w:szCs w:val="17"/>
                <w:color w:val="auto"/>
              </w:rPr>
            </w:pPr>
          </w:p>
        </w:tc>
      </w:tr>
      <w:tr>
        <w:trPr>
          <w:trHeight w:val="181"/>
        </w:trPr>
        <w:tc>
          <w:tcPr>
            <w:tcW w:w="3740" w:type="dxa"/>
            <w:vAlign w:val="bottom"/>
          </w:tcPr>
          <w:p>
            <w:pPr>
              <w:ind w:left="20"/>
              <w:spacing w:after="0"/>
              <w:rPr>
                <w:sz w:val="20"/>
                <w:szCs w:val="20"/>
                <w:color w:val="auto"/>
              </w:rPr>
            </w:pPr>
            <w:r>
              <w:rPr>
                <w:rFonts w:ascii="Arial" w:cs="Arial" w:eastAsia="Arial" w:hAnsi="Arial"/>
                <w:sz w:val="15"/>
                <w:szCs w:val="15"/>
                <w:color w:val="auto"/>
              </w:rPr>
              <w:t>BOA</w:t>
            </w:r>
          </w:p>
        </w:tc>
        <w:tc>
          <w:tcPr>
            <w:tcW w:w="160" w:type="dxa"/>
            <w:vAlign w:val="bottom"/>
          </w:tcPr>
          <w:p>
            <w:pPr>
              <w:spacing w:after="0"/>
              <w:rPr>
                <w:sz w:val="15"/>
                <w:szCs w:val="15"/>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28,287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28,666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(379)</w:t>
            </w:r>
          </w:p>
        </w:tc>
        <w:tc>
          <w:tcPr>
            <w:tcW w:w="1200" w:type="dxa"/>
            <w:vAlign w:val="bottom"/>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5"/>
                <w:szCs w:val="15"/>
                <w:color w:val="auto"/>
              </w:rPr>
            </w:pPr>
          </w:p>
        </w:tc>
      </w:tr>
      <w:tr>
        <w:trPr>
          <w:trHeight w:val="20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13,292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7,936</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5,356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67.5 %</w:t>
            </w:r>
          </w:p>
        </w:tc>
        <w:tc>
          <w:tcPr>
            <w:tcW w:w="20" w:type="dxa"/>
            <w:vAlign w:val="bottom"/>
            <w:shd w:val="clear" w:color="auto" w:fill="CCEEFF"/>
          </w:tcPr>
          <w:p>
            <w:pPr>
              <w:spacing w:after="0"/>
              <w:rPr>
                <w:sz w:val="17"/>
                <w:szCs w:val="17"/>
                <w:color w:val="auto"/>
              </w:rPr>
            </w:pPr>
          </w:p>
        </w:tc>
      </w:tr>
      <w:tr>
        <w:trPr>
          <w:trHeight w:val="181"/>
        </w:trPr>
        <w:tc>
          <w:tcPr>
            <w:tcW w:w="3740" w:type="dxa"/>
            <w:vAlign w:val="bottom"/>
          </w:tcPr>
          <w:p>
            <w:pPr>
              <w:ind w:left="20"/>
              <w:spacing w:after="0"/>
              <w:rPr>
                <w:sz w:val="20"/>
                <w:szCs w:val="20"/>
                <w:color w:val="auto"/>
              </w:rPr>
            </w:pPr>
            <w:r>
              <w:rPr>
                <w:rFonts w:ascii="Arial" w:cs="Arial" w:eastAsia="Arial" w:hAnsi="Arial"/>
                <w:sz w:val="15"/>
                <w:szCs w:val="15"/>
                <w:color w:val="auto"/>
              </w:rPr>
              <w:t>PrimaLoft</w:t>
            </w:r>
          </w:p>
        </w:tc>
        <w:tc>
          <w:tcPr>
            <w:tcW w:w="160" w:type="dxa"/>
            <w:vAlign w:val="bottom"/>
          </w:tcPr>
          <w:p>
            <w:pPr>
              <w:spacing w:after="0"/>
              <w:rPr>
                <w:sz w:val="15"/>
                <w:szCs w:val="15"/>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8,442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8,645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(203)</w:t>
            </w:r>
          </w:p>
        </w:tc>
        <w:tc>
          <w:tcPr>
            <w:tcW w:w="120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5"/>
                <w:szCs w:val="15"/>
                <w:color w:val="auto"/>
              </w:rPr>
            </w:pPr>
          </w:p>
        </w:tc>
      </w:tr>
      <w:tr>
        <w:trPr>
          <w:trHeight w:val="20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19,197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16,897</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13.6 %</w:t>
            </w:r>
          </w:p>
        </w:tc>
        <w:tc>
          <w:tcPr>
            <w:tcW w:w="20" w:type="dxa"/>
            <w:vAlign w:val="bottom"/>
            <w:shd w:val="clear" w:color="auto" w:fill="CCEEFF"/>
          </w:tcPr>
          <w:p>
            <w:pPr>
              <w:spacing w:after="0"/>
              <w:rPr>
                <w:sz w:val="17"/>
                <w:szCs w:val="17"/>
                <w:color w:val="auto"/>
              </w:rPr>
            </w:pPr>
          </w:p>
        </w:tc>
      </w:tr>
      <w:tr>
        <w:trPr>
          <w:trHeight w:val="181"/>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9,293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8,859</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4.9 %</w:t>
            </w:r>
          </w:p>
        </w:tc>
        <w:tc>
          <w:tcPr>
            <w:tcW w:w="20" w:type="dxa"/>
            <w:vAlign w:val="bottom"/>
            <w:tcBorders>
              <w:bottom w:val="single" w:sz="8" w:color="CCEEFF"/>
            </w:tcBorders>
          </w:tcPr>
          <w:p>
            <w:pPr>
              <w:spacing w:after="0"/>
              <w:rPr>
                <w:sz w:val="15"/>
                <w:szCs w:val="15"/>
                <w:color w:val="auto"/>
              </w:rPr>
            </w:pPr>
          </w:p>
        </w:tc>
      </w:tr>
      <w:tr>
        <w:trPr>
          <w:trHeight w:val="197"/>
        </w:trPr>
        <w:tc>
          <w:tcPr>
            <w:tcW w:w="3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Branded Consumer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155,758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145,728</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10,030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6.9 %</w:t>
            </w:r>
          </w:p>
        </w:tc>
        <w:tc>
          <w:tcPr>
            <w:tcW w:w="20" w:type="dxa"/>
            <w:vAlign w:val="bottom"/>
            <w:shd w:val="clear" w:color="auto" w:fill="CCEEFF"/>
          </w:tcPr>
          <w:p>
            <w:pPr>
              <w:spacing w:after="0"/>
              <w:rPr>
                <w:sz w:val="17"/>
                <w:szCs w:val="17"/>
                <w:color w:val="auto"/>
              </w:rPr>
            </w:pPr>
          </w:p>
        </w:tc>
      </w:tr>
      <w:tr>
        <w:trPr>
          <w:trHeight w:val="181"/>
        </w:trPr>
        <w:tc>
          <w:tcPr>
            <w:tcW w:w="3740" w:type="dxa"/>
            <w:vAlign w:val="bottom"/>
          </w:tcPr>
          <w:p>
            <w:pPr>
              <w:ind w:left="20"/>
              <w:spacing w:after="0"/>
              <w:rPr>
                <w:sz w:val="20"/>
                <w:szCs w:val="20"/>
                <w:color w:val="auto"/>
              </w:rPr>
            </w:pPr>
            <w:r>
              <w:rPr>
                <w:rFonts w:ascii="Arial" w:cs="Arial" w:eastAsia="Arial" w:hAnsi="Arial"/>
                <w:sz w:val="15"/>
                <w:szCs w:val="15"/>
                <w:color w:val="auto"/>
              </w:rPr>
              <w:t>Altor</w:t>
            </w:r>
          </w:p>
        </w:tc>
        <w:tc>
          <w:tcPr>
            <w:tcW w:w="160" w:type="dxa"/>
            <w:vAlign w:val="bottom"/>
          </w:tcPr>
          <w:p>
            <w:pPr>
              <w:spacing w:after="0"/>
              <w:rPr>
                <w:sz w:val="15"/>
                <w:szCs w:val="15"/>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20,178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16,078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4,100</w:t>
            </w:r>
          </w:p>
        </w:tc>
        <w:tc>
          <w:tcPr>
            <w:tcW w:w="1200" w:type="dxa"/>
            <w:vAlign w:val="bottom"/>
          </w:tcPr>
          <w:p>
            <w:pPr>
              <w:jc w:val="right"/>
              <w:spacing w:after="0"/>
              <w:rPr>
                <w:sz w:val="20"/>
                <w:szCs w:val="20"/>
                <w:color w:val="auto"/>
              </w:rPr>
            </w:pPr>
            <w:r>
              <w:rPr>
                <w:rFonts w:ascii="Arial" w:cs="Arial" w:eastAsia="Arial" w:hAnsi="Arial"/>
                <w:sz w:val="15"/>
                <w:szCs w:val="15"/>
                <w:color w:val="auto"/>
              </w:rPr>
              <w:t>25.5 %</w:t>
            </w:r>
          </w:p>
        </w:tc>
        <w:tc>
          <w:tcPr>
            <w:tcW w:w="20" w:type="dxa"/>
            <w:vAlign w:val="bottom"/>
          </w:tcPr>
          <w:p>
            <w:pPr>
              <w:spacing w:after="0"/>
              <w:rPr>
                <w:sz w:val="15"/>
                <w:szCs w:val="15"/>
                <w:color w:val="auto"/>
              </w:rPr>
            </w:pPr>
          </w:p>
        </w:tc>
      </w:tr>
      <w:tr>
        <w:trPr>
          <w:trHeight w:val="20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9,452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13,703</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(4,251)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20" w:type="dxa"/>
            <w:vAlign w:val="bottom"/>
            <w:shd w:val="clear" w:color="auto" w:fill="CCEEFF"/>
          </w:tcPr>
          <w:p>
            <w:pPr>
              <w:spacing w:after="0"/>
              <w:rPr>
                <w:sz w:val="17"/>
                <w:szCs w:val="17"/>
                <w:color w:val="auto"/>
              </w:rPr>
            </w:pPr>
          </w:p>
        </w:tc>
      </w:tr>
      <w:tr>
        <w:trPr>
          <w:trHeight w:val="181"/>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22,327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21,124</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1,203</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5.7 %</w:t>
            </w:r>
          </w:p>
        </w:tc>
        <w:tc>
          <w:tcPr>
            <w:tcW w:w="20" w:type="dxa"/>
            <w:vAlign w:val="bottom"/>
            <w:tcBorders>
              <w:bottom w:val="single" w:sz="8" w:color="CCEEFF"/>
            </w:tcBorders>
          </w:tcPr>
          <w:p>
            <w:pPr>
              <w:spacing w:after="0"/>
              <w:rPr>
                <w:sz w:val="15"/>
                <w:szCs w:val="15"/>
                <w:color w:val="auto"/>
              </w:rPr>
            </w:pPr>
          </w:p>
        </w:tc>
      </w:tr>
      <w:tr>
        <w:trPr>
          <w:trHeight w:val="197"/>
        </w:trPr>
        <w:tc>
          <w:tcPr>
            <w:tcW w:w="37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Industrial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51,957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50,905</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1,052</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20" w:type="dxa"/>
            <w:vAlign w:val="bottom"/>
            <w:shd w:val="clear" w:color="auto" w:fill="CCEEFF"/>
          </w:tcPr>
          <w:p>
            <w:pPr>
              <w:spacing w:after="0"/>
              <w:rPr>
                <w:sz w:val="17"/>
                <w:szCs w:val="17"/>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5"/>
                <w:szCs w:val="15"/>
                <w:b w:val="1"/>
                <w:bCs w:val="1"/>
                <w:color w:val="auto"/>
              </w:rPr>
              <w:t>Consolidated gross profit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207,715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196,633</w:t>
            </w:r>
          </w:p>
        </w:tc>
        <w:tc>
          <w:tcPr>
            <w:tcW w:w="14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11,082</w:t>
            </w:r>
          </w:p>
        </w:tc>
        <w:tc>
          <w:tcPr>
            <w:tcW w:w="1200" w:type="dxa"/>
            <w:vAlign w:val="bottom"/>
          </w:tcPr>
          <w:p>
            <w:pPr>
              <w:jc w:val="right"/>
              <w:spacing w:after="0"/>
              <w:rPr>
                <w:sz w:val="20"/>
                <w:szCs w:val="20"/>
                <w:color w:val="auto"/>
              </w:rPr>
            </w:pPr>
            <w:r>
              <w:rPr>
                <w:rFonts w:ascii="Arial" w:cs="Arial" w:eastAsia="Arial" w:hAnsi="Arial"/>
                <w:sz w:val="15"/>
                <w:szCs w:val="15"/>
                <w:color w:val="auto"/>
              </w:rPr>
              <w:t>5.6 %</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6" w:name="page67"/>
    <w:bookmarkEnd w:id="66"/>
    <w:tbl>
      <w:tblPr>
        <w:tblLayout w:type="fixed"/>
        <w:tblInd w:w="580" w:type="dxa"/>
        <w:tblCellMar>
          <w:top w:w="0" w:type="dxa"/>
          <w:left w:w="0" w:type="dxa"/>
          <w:bottom w:w="0" w:type="dxa"/>
          <w:right w:w="0" w:type="dxa"/>
        </w:tblCellMar>
      </w:tblPr>
      <w:tr>
        <w:trPr>
          <w:trHeight w:val="208"/>
        </w:trPr>
        <w:tc>
          <w:tcPr>
            <w:tcW w:w="3580" w:type="dxa"/>
            <w:vAlign w:val="bottom"/>
          </w:tcPr>
          <w:p>
            <w:pPr>
              <w:ind w:left="20"/>
              <w:spacing w:after="0"/>
              <w:rPr>
                <w:sz w:val="20"/>
                <w:szCs w:val="20"/>
                <w:color w:val="auto"/>
              </w:rPr>
            </w:pPr>
            <w:r>
              <w:rPr>
                <w:rFonts w:ascii="Arial" w:cs="Arial" w:eastAsia="Arial" w:hAnsi="Arial"/>
                <w:sz w:val="15"/>
                <w:szCs w:val="15"/>
                <w:b w:val="1"/>
                <w:bCs w:val="1"/>
                <w:color w:val="auto"/>
              </w:rPr>
              <w:t>Gross Margin</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02"/>
        </w:trPr>
        <w:tc>
          <w:tcPr>
            <w:tcW w:w="3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Branded Consumer</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55.3 %</w:t>
            </w:r>
          </w:p>
        </w:tc>
        <w:tc>
          <w:tcPr>
            <w:tcW w:w="20" w:type="dxa"/>
            <w:vAlign w:val="bottom"/>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53.4 %</w:t>
            </w:r>
          </w:p>
        </w:tc>
        <w:tc>
          <w:tcPr>
            <w:tcW w:w="20" w:type="dxa"/>
            <w:vAlign w:val="bottom"/>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5"/>
                <w:szCs w:val="15"/>
                <w:color w:val="auto"/>
              </w:rPr>
              <w:t>2.0%</w:t>
            </w:r>
          </w:p>
        </w:tc>
      </w:tr>
      <w:tr>
        <w:trPr>
          <w:trHeight w:val="181"/>
        </w:trPr>
        <w:tc>
          <w:tcPr>
            <w:tcW w:w="3580" w:type="dxa"/>
            <w:vAlign w:val="bottom"/>
          </w:tcPr>
          <w:p>
            <w:pPr>
              <w:ind w:left="240"/>
              <w:spacing w:after="0"/>
              <w:rPr>
                <w:sz w:val="20"/>
                <w:szCs w:val="20"/>
                <w:color w:val="auto"/>
              </w:rPr>
            </w:pPr>
            <w:r>
              <w:rPr>
                <w:rFonts w:ascii="Arial" w:cs="Arial" w:eastAsia="Arial" w:hAnsi="Arial"/>
                <w:sz w:val="15"/>
                <w:szCs w:val="15"/>
                <w:color w:val="auto"/>
              </w:rPr>
              <w:t>Industrial</w:t>
            </w:r>
          </w:p>
        </w:tc>
        <w:tc>
          <w:tcPr>
            <w:tcW w:w="2040" w:type="dxa"/>
            <w:vAlign w:val="bottom"/>
          </w:tcPr>
          <w:p>
            <w:pPr>
              <w:jc w:val="right"/>
              <w:spacing w:after="0"/>
              <w:rPr>
                <w:sz w:val="20"/>
                <w:szCs w:val="20"/>
                <w:color w:val="auto"/>
              </w:rPr>
            </w:pPr>
            <w:r>
              <w:rPr>
                <w:rFonts w:ascii="Arial" w:cs="Arial" w:eastAsia="Arial" w:hAnsi="Arial"/>
                <w:sz w:val="15"/>
                <w:szCs w:val="15"/>
                <w:color w:val="auto"/>
              </w:rPr>
              <w:t>27.2 %</w:t>
            </w:r>
          </w:p>
        </w:tc>
        <w:tc>
          <w:tcPr>
            <w:tcW w:w="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27.8 %</w:t>
            </w:r>
          </w:p>
        </w:tc>
        <w:tc>
          <w:tcPr>
            <w:tcW w:w="20" w:type="dxa"/>
            <w:vAlign w:val="bottom"/>
          </w:tcPr>
          <w:p>
            <w:pPr>
              <w:spacing w:after="0"/>
              <w:rPr>
                <w:sz w:val="15"/>
                <w:szCs w:val="15"/>
                <w:color w:val="auto"/>
              </w:rPr>
            </w:pPr>
          </w:p>
        </w:tc>
        <w:tc>
          <w:tcPr>
            <w:tcW w:w="2460" w:type="dxa"/>
            <w:vAlign w:val="bottom"/>
          </w:tcPr>
          <w:p>
            <w:pPr>
              <w:jc w:val="right"/>
              <w:ind w:right="844"/>
              <w:spacing w:after="0"/>
              <w:rPr>
                <w:sz w:val="20"/>
                <w:szCs w:val="20"/>
                <w:color w:val="auto"/>
              </w:rPr>
            </w:pPr>
            <w:r>
              <w:rPr>
                <w:rFonts w:ascii="Arial" w:cs="Arial" w:eastAsia="Arial" w:hAnsi="Arial"/>
                <w:sz w:val="15"/>
                <w:szCs w:val="15"/>
                <w:color w:val="auto"/>
              </w:rPr>
              <w:t>(0.5)%</w:t>
            </w:r>
          </w:p>
        </w:tc>
      </w:tr>
      <w:tr>
        <w:trPr>
          <w:trHeight w:val="204"/>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gross margin</w:t>
            </w:r>
          </w:p>
        </w:tc>
        <w:tc>
          <w:tcPr>
            <w:tcW w:w="2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44.0 %</w:t>
            </w:r>
          </w:p>
        </w:tc>
        <w:tc>
          <w:tcPr>
            <w:tcW w:w="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43.1 %</w:t>
            </w:r>
          </w:p>
        </w:tc>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jc w:val="right"/>
              <w:ind w:right="904"/>
              <w:spacing w:after="0"/>
              <w:rPr>
                <w:sz w:val="20"/>
                <w:szCs w:val="20"/>
                <w:color w:val="auto"/>
              </w:rPr>
            </w:pPr>
            <w:r>
              <w:rPr>
                <w:rFonts w:ascii="Arial" w:cs="Arial" w:eastAsia="Arial" w:hAnsi="Arial"/>
                <w:sz w:val="15"/>
                <w:szCs w:val="15"/>
                <w:color w:val="auto"/>
              </w:rPr>
              <w:t>0.9%</w:t>
            </w: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gross profit increased approximately $11.1 million during the three months ended September 30, 2025 compared to the corresponding period in 2024. We saw increases in gross profit at 5.11 ($2.5 million increase), Lugano ($5.4 million increase), The Honey Pot Co. ($2.3 million increase), Altor ($4.1 million increase due to the timing of the Lifoam acquisition) and Sterno ($1.2 million increase). We saw decreases in gross profit at BOA ($ 0.4 million decrease) and Arnold ($4.3 million decrease) that corresponded to the decrease in net revenue noted above. Gross profit as a percentage of net revenues was approximately 44.0% in the three months ended September 30, 2025 compared to 43.1% in the three months ended September 30, 2024. The increase in gross profit as a percentage of net revenue in the quarter ended September 30, 2025 as compared to the quarter ended September 30, 2024 is driven by the increase in gross margin at our consumer businesses during the quarter. Our branded consumer businesses had gross profit as a percentage of net revenues of 55.3% in the third quarter of 2025 as compared to 53.4% in the third quarter of 2024, while our industrial businesses had gross profit as a percentage of net revenues of 27.2% in the third quarter of 2025 as compared to 27.8% in the third quarter of 2024. The decrease in gross profit as a percentage of net revenues at our industrial businesses was attributable to higher fixed overhead costs absorbed on a lower revenue base at the legacy Altor business (exclusive of Lifoam) and at Arnold.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2024</w:t>
            </w:r>
          </w:p>
        </w:tc>
        <w:tc>
          <w:tcPr>
            <w:tcW w:w="3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40" w:type="dxa"/>
            <w:vAlign w:val="bottom"/>
          </w:tcPr>
          <w:p>
            <w:pPr>
              <w:spacing w:after="0"/>
              <w:rPr>
                <w:sz w:val="17"/>
                <w:szCs w:val="17"/>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179,315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145,959</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rPr>
              <w:t>33,356</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22.9 %</w:t>
            </w: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Consolidated selling, general and administrative expense increased approximately $33.4 million during the three months ended September 30, 2025, compared to the corresponding period in 2024, driven primarily by increases at the corporate level ($26.8 million increase), 5.11 ($1.2 million increase) due to increases in sales and marketing investments and an increase in the bonus pool versus the prior year, Lugano ($1.5 million increase) and Altor ($3.9 million increase) due to the acquisition of Lifoam in the fourth quarter of 2024.</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corporate level, general and administrative expense was $32.6 million in the third quarter of 2025 and $ 5.9 million in the third quarter of 2024, an increase of $26.8 million. The increase in general and administrative expense in the third quarter of 2025 was primarily due to $27.7 million of costs incurred in the third quarter of 2025 relating to the Lugano Investigation. The remainder of the increase related to increased professional fees incurred during the quarter. The Company will continue to incur significant costs related to the Lugano Investigation during the remainder of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r>
      <w:tr>
        <w:trPr>
          <w:trHeight w:val="196"/>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80" w:type="dxa"/>
            <w:vAlign w:val="bottom"/>
          </w:tcPr>
          <w:p>
            <w:pPr>
              <w:spacing w:after="0"/>
              <w:rPr>
                <w:sz w:val="17"/>
                <w:szCs w:val="17"/>
                <w:color w:val="auto"/>
              </w:rPr>
            </w:pPr>
          </w:p>
        </w:tc>
        <w:tc>
          <w:tcPr>
            <w:tcW w:w="2040" w:type="dxa"/>
            <w:vAlign w:val="bottom"/>
            <w:gridSpan w:val="2"/>
          </w:tcPr>
          <w:p>
            <w:pPr>
              <w:jc w:val="right"/>
              <w:ind w:right="359"/>
              <w:spacing w:after="0"/>
              <w:rPr>
                <w:sz w:val="20"/>
                <w:szCs w:val="20"/>
                <w:color w:val="auto"/>
              </w:rPr>
            </w:pPr>
            <w:r>
              <w:rPr>
                <w:rFonts w:ascii="Arial" w:cs="Arial" w:eastAsia="Arial" w:hAnsi="Arial"/>
                <w:sz w:val="15"/>
                <w:szCs w:val="15"/>
                <w:b w:val="1"/>
                <w:bCs w:val="1"/>
                <w:color w:val="auto"/>
              </w:rPr>
              <w:t>Increase (Decrease)</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Management fees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16,213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18,633</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(2,420)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bl>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Management Services Agreement ("MSA"), we pay CGM (i) a base management fee equal to (a) 2% of the Company’s adjusted net assets when the adjusted net assets are less than or equal to $3.5 billion (the “Initial Threshold Fee”), (b) the Initial Threshold Fee plus 1.25% of the amount of adjusted net assets exceeding $ 3.5 billion when the adjusted net assets are more than $ 3.5 billion but less than $10 billion, or (c) 1.5% of the adjusted net assets when the adjusted net assets are $10 billion or more and (ii) an incentive management fee equal to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of directors. For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8"/>
          <w:szCs w:val="18"/>
          <w:color w:val="auto"/>
        </w:rPr>
        <w:t>the three months ended September 30, 2025, we incurred approximately $16.2 million in management fees as compared to $ 18.6 million in fees in the three months ended September 30, 2024. The Management fee incurred in the three months ended September 30, 2025 and 2024 reflects the amount incurred prior to the restatement of the Company's financial statements as the Company is not permitted under the MSA to adjust the amount owed to the Manager until the time when the restated financial information was available, which occurred upon the filing of the Company's 10-K/A on December 8, 2025. Therefore the expense recorded in the quarter ended September 30, 2025 and 2024 reflects the amount that would have been due to the Manager at the time calculated, prior to the restatement of the Company's financial statements. The calculation of the adjusted management fee incurred as of September 30, 2025 resulted in a total amount of $13.8 million that should have been due to the Manager.</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entry into the Third Amendment on July 5, 2025, the Credit Agreement was modified to (i) limit the management fees that were able to be paid by the LLC to the "Manager to no more than $5.0 million per fiscal quarter (with the amount of such management fees that could not be paid due to this limitation being available to offset any potential future reduction in management fees as a result of any adjustments for deemed overpayments) and (ii) limit the management fees that could be paid by the LLC’s subsidiaries to the Manager to no more than $2.0 million per fiscal quarter. For the quarter ended September 30, 2025, the total management fee incurred was $16.2 million, however, due to the restrictions imposed by the Third Amendment, the total amount paid to the Manager was $6.6 million.</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u w:val="single" w:color="auto"/>
          <w:color w:val="0000FF"/>
        </w:rPr>
        <w:t>Note O - Related Party Transactions</w:t>
      </w:r>
      <w:r>
        <w:rPr>
          <w:rFonts w:ascii="Arial" w:cs="Arial" w:eastAsia="Arial" w:hAnsi="Arial"/>
          <w:sz w:val="18"/>
          <w:szCs w:val="18"/>
          <w:color w:val="auto"/>
        </w:rPr>
        <w:t>" in the "Notes to the Condensed Consolidated Financial Statements" for a description of the effect of the restatement on the Management Fees.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24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2024</w:t>
            </w:r>
          </w:p>
        </w:tc>
        <w:tc>
          <w:tcPr>
            <w:tcW w:w="260" w:type="dxa"/>
            <w:vAlign w:val="bottom"/>
          </w:tcPr>
          <w:p>
            <w:pPr>
              <w:spacing w:after="0"/>
              <w:rPr>
                <w:sz w:val="17"/>
                <w:szCs w:val="17"/>
                <w:color w:val="auto"/>
              </w:rPr>
            </w:pPr>
          </w:p>
        </w:tc>
        <w:tc>
          <w:tcPr>
            <w:tcW w:w="204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ind w:left="200"/>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23,254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23,721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(467)</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r>
    </w:tbl>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the three months ended September 30, 2025 decreased $0.5 million as compared to the three months ended September 30, 2024 due to the reduction in expense associated with the sale of Crosman in the second quarter of 2024, the reduction in intangible assets at Lugano resulting from the restatement and certain intangibles at Sterno that were fully amortized in 2024. These decreases were partially offset by the amortization expense associated with the intangibles that were recognized in conjunction with the purchase price allocation for Lifoam, the add-on acquisition that Altor completed in the fourth quarter of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0" w:type="dxa"/>
            <w:vAlign w:val="bottom"/>
            <w:gridSpan w:val="2"/>
          </w:tcPr>
          <w:p>
            <w:pPr>
              <w:ind w:left="200"/>
              <w:spacing w:after="0"/>
              <w:rPr>
                <w:sz w:val="20"/>
                <w:szCs w:val="20"/>
                <w:color w:val="auto"/>
              </w:rPr>
            </w:pPr>
            <w:r>
              <w:rPr>
                <w:rFonts w:ascii="Arial" w:cs="Arial" w:eastAsia="Arial" w:hAnsi="Arial"/>
                <w:sz w:val="15"/>
                <w:szCs w:val="15"/>
                <w:b w:val="1"/>
                <w:bCs w:val="1"/>
                <w:color w:val="auto"/>
              </w:rPr>
              <w:t>September 30, 2025</w:t>
            </w:r>
          </w:p>
        </w:tc>
        <w:tc>
          <w:tcPr>
            <w:tcW w:w="2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(66,721)</w:t>
            </w: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(31,620)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rPr>
              <w:t>(35,101)</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111.0 %</w:t>
            </w:r>
          </w:p>
        </w:tc>
      </w:tr>
    </w:tbl>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interest expense totaling $ 66.7 million for the three months ended September 30, 2025 compared to $31.6 million for the comparable period in 2024, an increase of $35.1 million. As consideration for entering into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 The Company recorded $22.8 million in paid-in-kind interest expense in the third quarter of 2025 related to the upfront fee required by the Indenture Forbearance Agreement, and accrued approximately $11.5 million related to the increase in interest rate during the third quarter of 2025.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also reflects an increase of $0.8 million in interest expense related to financing arrangements at our Lugano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u w:val="single" w:color="auto"/>
          <w:color w:val="auto"/>
        </w:rPr>
        <w:t>Gain (loss) on sale of Crosman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30,2024, Velocity Outdoor sold Crosman Corporation ("Crosman"), its airgun product division. Velocity received net proceeds of approximately $ 58.5 million related to the sale of Crosman, which was used to repay amounts outstanding under the intercompany credit agreement. The Company recorded a gain on the sale of Crosman in the quarter ending September 30, 2024 of $0.4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2020" w:type="dxa"/>
            <w:vAlign w:val="bottom"/>
            <w:gridSpan w:val="2"/>
          </w:tcPr>
          <w:p>
            <w:pPr>
              <w:ind w:left="220"/>
              <w:spacing w:after="0"/>
              <w:rPr>
                <w:sz w:val="20"/>
                <w:szCs w:val="20"/>
                <w:color w:val="auto"/>
              </w:rPr>
            </w:pPr>
            <w:r>
              <w:rPr>
                <w:rFonts w:ascii="Arial" w:cs="Arial" w:eastAsia="Arial" w:hAnsi="Arial"/>
                <w:sz w:val="15"/>
                <w:szCs w:val="15"/>
                <w:b w:val="1"/>
                <w:bCs w:val="1"/>
                <w:color w:val="auto"/>
              </w:rPr>
              <w:t>September 30, 2025</w:t>
            </w:r>
          </w:p>
        </w:tc>
        <w:tc>
          <w:tcPr>
            <w:tcW w:w="20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September 30, 2024</w:t>
            </w:r>
          </w:p>
        </w:tc>
        <w:tc>
          <w:tcPr>
            <w:tcW w:w="280" w:type="dxa"/>
            <w:vAlign w:val="bottom"/>
          </w:tcPr>
          <w:p>
            <w:pPr>
              <w:spacing w:after="0"/>
              <w:rPr>
                <w:sz w:val="17"/>
                <w:szCs w:val="17"/>
                <w:color w:val="auto"/>
              </w:rPr>
            </w:pPr>
          </w:p>
        </w:tc>
        <w:tc>
          <w:tcPr>
            <w:tcW w:w="2060" w:type="dxa"/>
            <w:vAlign w:val="bottom"/>
            <w:gridSpan w:val="2"/>
          </w:tcPr>
          <w:p>
            <w:pPr>
              <w:jc w:val="right"/>
              <w:ind w:right="38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8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 net</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(2,343)</w:t>
            </w:r>
          </w:p>
        </w:tc>
        <w:tc>
          <w:tcPr>
            <w:tcW w:w="1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(37,769)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35,426</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w:t>
            </w:r>
          </w:p>
        </w:tc>
      </w:tr>
    </w:tbl>
    <w:p>
      <w:pPr>
        <w:spacing w:after="0" w:line="3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September 30, 2025, we recorded $2.3 million in other expense as compared to $37.8 million in other expense in the quarter ended September 30, 2024, a decrease in expense of $35.4 million. The other expense in the quarter ended September 30, 2024 primarily represents expense recognized at Lugano related to losses resulting from the accounting for the transactions associated with the off-balance sheet arrangements ($37.7 million in expense in the three months ended September 30, 2024). A significant portion of the expense associated with the Lugano financing arrangements was recognized in the historical restatement period (the years ending December 31, 2024, 2023 and 2022) which resulted in limited impact in the current year. Other income (expense) typically reflects the movement in foreign currency at our subsidiary businesses with international operations, gains or (losses) realized on the sale of property, plant and equipment, and expenses incurred or income earned that are not considered a part of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ind w:left="60"/>
              <w:spacing w:after="0"/>
              <w:rPr>
                <w:sz w:val="20"/>
                <w:szCs w:val="20"/>
                <w:color w:val="auto"/>
              </w:rPr>
            </w:pPr>
            <w:r>
              <w:rPr>
                <w:rFonts w:ascii="Arial" w:cs="Arial" w:eastAsia="Arial" w:hAnsi="Arial"/>
                <w:sz w:val="15"/>
                <w:szCs w:val="15"/>
                <w:b w:val="1"/>
                <w:bCs w:val="1"/>
                <w:color w:val="auto"/>
              </w:rPr>
              <w:t>September 30, 2025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2,772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rPr>
              <w:t>2,991</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107.9 %</w:t>
            </w:r>
          </w:p>
        </w:tc>
      </w:tr>
      <w:tr>
        <w:trPr>
          <w:trHeight w:val="256"/>
        </w:trPr>
        <w:tc>
          <w:tcPr>
            <w:tcW w:w="3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had an income tax provision of $ 5.8 million during the three months ended September 30, 2025 compared to an income tax provision of $2.8 million during the same period in 2024, an increase of $3.0 million. Our tax rate is affected by recurring items, such as tax rates in foreign jurisdictions and the relative amounts of income we earn in those jurisdictions. It is also affected by discrete items that may occur in any given year but are not consistent from year to year. In the current quarter, the Trust recognized approximately $9.9 million related to income from the tax effect of the Indenture Forbearance Agreement. In addition to state income taxes, the item with the most significant impact on the difference between our statutory U.S. federal income tax rate of 21% and our effective income tax rate was the limitations on the net operating loss carryforwards and utilization of tax credits at our subsidiaries and at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Results of Operations - Operating Segments - Quarter-to-Date</w:t>
      </w:r>
    </w:p>
    <w:p>
      <w:pPr>
        <w:spacing w:after="0" w:line="225" w:lineRule="exact"/>
        <w:rPr>
          <w:sz w:val="20"/>
          <w:szCs w:val="20"/>
          <w:color w:val="auto"/>
        </w:rPr>
      </w:pPr>
    </w:p>
    <w:p>
      <w:pPr>
        <w:ind w:right="3100"/>
        <w:spacing w:after="0" w:line="421" w:lineRule="auto"/>
        <w:rPr>
          <w:sz w:val="20"/>
          <w:szCs w:val="20"/>
          <w:color w:val="auto"/>
        </w:rPr>
      </w:pPr>
      <w:r>
        <w:rPr>
          <w:rFonts w:ascii="Arial" w:cs="Arial" w:eastAsia="Arial" w:hAnsi="Arial"/>
          <w:sz w:val="18"/>
          <w:szCs w:val="18"/>
          <w:b w:val="1"/>
          <w:bCs w:val="1"/>
          <w:color w:val="auto"/>
        </w:rPr>
        <w:t>Three months ended September 30, 2025 compared to three months ended September 30, 2024 Branded Consumer Businesses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r>
      <w:tr>
        <w:trPr>
          <w:trHeight w:val="196"/>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40" w:type="dxa"/>
            <w:vAlign w:val="bottom"/>
          </w:tcPr>
          <w:p>
            <w:pPr>
              <w:spacing w:after="0"/>
              <w:rPr>
                <w:sz w:val="17"/>
                <w:szCs w:val="17"/>
                <w:color w:val="auto"/>
              </w:rPr>
            </w:pPr>
          </w:p>
        </w:tc>
      </w:tr>
      <w:tr>
        <w:trPr>
          <w:trHeight w:val="19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143,240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139,218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rPr>
              <w:t>4,022</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2.9 %</w:t>
            </w:r>
          </w:p>
        </w:tc>
      </w:tr>
    </w:tbl>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three months ended September 30, 2025 were $143.2 million as compared to net sales of $139.2 million for the three months ended September 30, 2024, an increase of $4.0 million, or 2.9%. The increase was driven primarily by a $3.7 million rise in domestic wholesale sales, reflecting strong demand and improved inventory availability; a $1.0 million increase in direct-to-consumer sales, attributable to heightened promotional activity; and a $1.8 million increase in international sales, supported by continued demand across key markets. These gains were partially offset by a $2.1 million decline in direct-to-agency sales, primarily due to the timing of large contracts.</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1620" w:type="dxa"/>
            <w:vAlign w:val="bottom"/>
          </w:tcPr>
          <w:p>
            <w:pPr>
              <w:jc w:val="center"/>
              <w:ind w:left="64"/>
              <w:spacing w:after="0"/>
              <w:rPr>
                <w:sz w:val="20"/>
                <w:szCs w:val="20"/>
                <w:color w:val="auto"/>
              </w:rPr>
            </w:pPr>
            <w:r>
              <w:rPr>
                <w:rFonts w:ascii="Arial" w:cs="Arial" w:eastAsia="Arial" w:hAnsi="Arial"/>
                <w:sz w:val="15"/>
                <w:szCs w:val="15"/>
                <w:b w:val="1"/>
                <w:bCs w:val="1"/>
                <w:color w:val="auto"/>
              </w:rPr>
              <w:t>Increase (Decrease)</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16,268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14,937</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rPr>
              <w:t>1,331</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8.9 %</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center"/>
              <w:ind w:left="64"/>
              <w:spacing w:after="0"/>
              <w:rPr>
                <w:sz w:val="20"/>
                <w:szCs w:val="20"/>
                <w:color w:val="auto"/>
              </w:rPr>
            </w:pPr>
            <w:r>
              <w:rPr>
                <w:rFonts w:ascii="Arial" w:cs="Arial" w:eastAsia="Arial" w:hAnsi="Arial"/>
                <w:sz w:val="15"/>
                <w:szCs w:val="15"/>
                <w:color w:val="auto"/>
              </w:rPr>
              <w:t>NM</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September 30, 2025 was $16.3 million, a decrease of $1.3 million when compared to segment operating income of $14.9 million for the same period in 2024. The increase in segment operating income reflects higher net sales and gross margin dollars that were partially offset by increased selling, general and administrative expenses, primarily driven by increased marketing investments to support sales growth. Segment operating margin was 11.4% in the third quarter of 2025 and 10.7% in the third quarter of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43,941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45,607</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(1,666)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September 30, 2025 were $43.9 million as compared to net sales of $45.6 million for the three months ended September 30, 2024, a decrease of $1.7 million, or 3.7%. The decrease was a result of reduced kids-based business in China, partially offset by continued growth in performance-based business in Snow Sports, Cycling, and Outdoor.</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1620" w:type="dxa"/>
            <w:vAlign w:val="bottom"/>
          </w:tcPr>
          <w:p>
            <w:pPr>
              <w:jc w:val="center"/>
              <w:ind w:left="64"/>
              <w:spacing w:after="0"/>
              <w:rPr>
                <w:sz w:val="20"/>
                <w:szCs w:val="20"/>
                <w:color w:val="auto"/>
              </w:rPr>
            </w:pPr>
            <w:r>
              <w:rPr>
                <w:rFonts w:ascii="Arial" w:cs="Arial" w:eastAsia="Arial" w:hAnsi="Arial"/>
                <w:sz w:val="15"/>
                <w:szCs w:val="15"/>
                <w:b w:val="1"/>
                <w:bCs w:val="1"/>
                <w:color w:val="auto"/>
              </w:rPr>
              <w:t>Increase (Decrease)</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10,798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10,364</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rPr>
              <w:t>434</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4.2 %</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22.7 %</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1.8%</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September 30, 2025 was $10.8 million, an increase of $0.4 million when compared to segment operating income of $10.4 million for the same period in 2024. The increase in segment operating income was driven by improved product margins and reduced employee costs related to BOA’s bonus plan. Segment operating margin was 24.6% in the third quarter of 2025 and 22.7% in the third quarter of 2024. The increase in segment operating margin in the current quarter was primarily driven by improved gross margins.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Lugano</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14,269</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3,081</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21.6 %</w:t>
            </w:r>
          </w:p>
        </w:tc>
      </w:tr>
    </w:tbl>
    <w:p>
      <w:pPr>
        <w:spacing w:after="0" w:line="3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for the three months ended September 30, 2025 were $17.4 million an increase of approximately $3.1 million, or 21.6%, compared to net sales of $14.3 million in the corresponding quarter ended September 30, 2024.</w:t>
      </w:r>
    </w:p>
    <w:p>
      <w:pPr>
        <w:spacing w:after="0" w:line="7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124"/>
              <w:spacing w:after="0"/>
              <w:rPr>
                <w:sz w:val="20"/>
                <w:szCs w:val="20"/>
                <w:color w:val="auto"/>
              </w:rPr>
            </w:pPr>
            <w:r>
              <w:rPr>
                <w:rFonts w:ascii="Arial" w:cs="Arial" w:eastAsia="Arial" w:hAnsi="Arial"/>
                <w:sz w:val="15"/>
                <w:szCs w:val="15"/>
                <w:b w:val="1"/>
                <w:bCs w:val="1"/>
                <w:color w:val="auto"/>
              </w:rPr>
              <w:t>September 30, 2025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5"/>
                <w:szCs w:val="15"/>
                <w:b w:val="1"/>
                <w:bCs w:val="1"/>
                <w:color w:val="auto"/>
              </w:rPr>
              <w:t>September 30, 2024</w:t>
            </w:r>
          </w:p>
        </w:tc>
        <w:tc>
          <w:tcPr>
            <w:tcW w:w="280" w:type="dxa"/>
            <w:vAlign w:val="bottom"/>
          </w:tcPr>
          <w:p>
            <w:pPr>
              <w:spacing w:after="0"/>
              <w:rPr>
                <w:sz w:val="17"/>
                <w:szCs w:val="17"/>
                <w:color w:val="auto"/>
              </w:rPr>
            </w:pPr>
          </w:p>
        </w:tc>
        <w:tc>
          <w:tcPr>
            <w:tcW w:w="206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Segment 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(14,909)</w:t>
            </w: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4,122</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w:t>
            </w:r>
          </w:p>
        </w:tc>
        <w:tc>
          <w:tcPr>
            <w:tcW w:w="20" w:type="dxa"/>
            <w:vAlign w:val="bottom"/>
            <w:vMerge w:val="continue"/>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42.3%</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operating loss for the three months ended September 30, 2025 was $10.8 million, as compared to $14.9 million in the corresponding period in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was (62.2)% in the third quarter of 2025 as compared to (104.5)% in the third quarter of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PrimaLoft</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4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13,294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13,686</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(392)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r>
    </w:tbl>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September 30, 2025 were $13.3 million, a decrease of $0.4 million as compared to net sales of $13.7 million for the three months ended September 30, 2024. The decrease in net sales in the current quarter versus the quarter ended September 30, 2024 is attributable to a reduction in late season purchases from PrimaLoft's North American brand partners due to recent increases in tariffs in the United States.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40" w:type="dxa"/>
            <w:vAlign w:val="bottom"/>
            <w:gridSpan w:val="2"/>
          </w:tcPr>
          <w:p>
            <w:pPr>
              <w:jc w:val="center"/>
              <w:ind w:right="204"/>
              <w:spacing w:after="0"/>
              <w:rPr>
                <w:sz w:val="20"/>
                <w:szCs w:val="20"/>
                <w:color w:val="auto"/>
              </w:rPr>
            </w:pPr>
            <w:r>
              <w:rPr>
                <w:rFonts w:ascii="Arial" w:cs="Arial" w:eastAsia="Arial" w:hAnsi="Arial"/>
                <w:sz w:val="15"/>
                <w:szCs w:val="15"/>
                <w:b w:val="1"/>
                <w:bCs w:val="1"/>
                <w:color w:val="auto"/>
              </w:rPr>
              <w:t>Increase (Decrease)</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(2,039)</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rPr>
              <w:t>181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0.9%</w:t>
            </w: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loss for the three months ended September 30, 2025 was $ 1.9 million, a decrease of $0.2 million when compared to segment operating income of $2.0 million for the same period in 2024, driven by a decrease in selling, general and administrative expense during the third quarter of 2025. Selling, general and administrative expense as a percentage of net sales was 36.5% in the quarter ended September 30, 2025 as compared to 38.2% in the quarter ended September 30, 2024. Segment operating margin was (14.0)% in the third quarter of 2025 as compared to (14.9)% in the third quarter of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Honey Pot Co.</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34,727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31,545</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rPr>
              <w:t>3,182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Net sales for the three months ended September 30, 2025 were $34.7 million, an increase of $3.2 million or 10.1% from net sales of $31.5 million for the three months ended September 30, 2024. The increase in net sales is primarily due to strong volume growth due to market share gain in the Period Care product line, particularly in mass retail, drugstores and online. Overall, volume and share growth continues to be fueled by compelling innovation, targeted investments in demand generation, and disciplined investments in capabilities to accelerate growth.</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r>
      <w:tr>
        <w:trPr>
          <w:trHeight w:val="196"/>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ind w:right="161"/>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80" w:type="dxa"/>
            <w:vAlign w:val="bottom"/>
          </w:tcPr>
          <w:p>
            <w:pPr>
              <w:spacing w:after="0"/>
              <w:rPr>
                <w:sz w:val="17"/>
                <w:szCs w:val="17"/>
                <w:color w:val="auto"/>
              </w:rPr>
            </w:pPr>
          </w:p>
        </w:tc>
        <w:tc>
          <w:tcPr>
            <w:tcW w:w="2040" w:type="dxa"/>
            <w:vAlign w:val="bottom"/>
            <w:gridSpan w:val="2"/>
          </w:tcPr>
          <w:p>
            <w:pPr>
              <w:jc w:val="center"/>
              <w:ind w:right="199"/>
              <w:spacing w:after="0"/>
              <w:rPr>
                <w:sz w:val="20"/>
                <w:szCs w:val="20"/>
                <w:color w:val="auto"/>
              </w:rPr>
            </w:pPr>
            <w:r>
              <w:rPr>
                <w:rFonts w:ascii="Arial" w:cs="Arial" w:eastAsia="Arial" w:hAnsi="Arial"/>
                <w:sz w:val="15"/>
                <w:szCs w:val="15"/>
                <w:b w:val="1"/>
                <w:bCs w:val="1"/>
                <w:color w:val="auto"/>
              </w:rPr>
              <w:t>Increase (Decrease)</w:t>
            </w: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operating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2,656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2,818</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(162)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Segment operating margin</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w:t>
            </w:r>
          </w:p>
        </w:tc>
        <w:tc>
          <w:tcPr>
            <w:tcW w:w="720" w:type="dxa"/>
            <w:vAlign w:val="bottom"/>
            <w:shd w:val="clear" w:color="auto" w:fill="CCEEFF"/>
          </w:tcPr>
          <w:p>
            <w:pPr>
              <w:spacing w:after="0"/>
              <w:rPr>
                <w:sz w:val="18"/>
                <w:szCs w:val="18"/>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September 30, 2025 was $2.7 million, a decrease of $ 0.2 million when compared to segment operating income of $2.8 million for the same period in 2024. Compared to the third quarter of 2024, segment operating income in the third quarter of 2025 included increased investment in marketing and research and development and higher incentive compensation expense. Selling, general and administrative expense as a percentage of net sales was 35.4% in the third quarter of 2025 and 31.1% in the third quarter of 2024. Segment operating margin in the third quarter of 2025 was 7.6% as compared to 8.9% in the third quarter of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20" w:type="dxa"/>
            <w:vAlign w:val="bottom"/>
          </w:tcPr>
          <w:p>
            <w:pPr>
              <w:spacing w:after="0"/>
              <w:rPr>
                <w:sz w:val="17"/>
                <w:szCs w:val="17"/>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29,040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28,809</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rPr>
              <w:t>231</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0.8 %</w:t>
            </w:r>
          </w:p>
        </w:tc>
      </w:tr>
    </w:tbl>
    <w:p>
      <w:pPr>
        <w:spacing w:after="0" w:line="3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September 30, 2025 were $29.0 million, an increase of $ 0.2 million or 0.8%, compared to net sales of $28.8 million in the same period in 2024. The increase in net sales for the three months ended September 30, 2025 was primarily driven by increased archery sales through dealer and distributor channels.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40" w:type="dxa"/>
            <w:vAlign w:val="bottom"/>
            <w:gridSpan w:val="2"/>
          </w:tcPr>
          <w:p>
            <w:pPr>
              <w:jc w:val="center"/>
              <w:ind w:right="204"/>
              <w:spacing w:after="0"/>
              <w:rPr>
                <w:sz w:val="20"/>
                <w:szCs w:val="20"/>
                <w:color w:val="auto"/>
              </w:rPr>
            </w:pPr>
            <w:r>
              <w:rPr>
                <w:rFonts w:ascii="Arial" w:cs="Arial" w:eastAsia="Arial" w:hAnsi="Arial"/>
                <w:sz w:val="15"/>
                <w:szCs w:val="15"/>
                <w:b w:val="1"/>
                <w:bCs w:val="1"/>
                <w:color w:val="auto"/>
              </w:rPr>
              <w:t>Increase (Decrease)</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2,912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1,486</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color w:val="auto"/>
              </w:rPr>
              <w:t>1,426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96.0 %</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5.2 %</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4.9%</w:t>
            </w: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for the three months ended September 30, 2025 was $2.9 million compared to segment operating income of $1.5 million for the same period in 2024. Segment operating margin was 10.0% in the third quarter of 2025 as compared to 5.2% in the third quarter 2024. Gross profit increased quarter over quarter with gross profit of $9.3 million in the third quarter of 2025 as compared to $8.9 million in the third quarter of 2024, and selling, general and administrative expense as a percentage of net sales decreased to 17.5% in the third quarter of 2025 as compared to 21.0% in the third quarter of 2024. The decrease in selling, general and administrative expense as a percentage of net sales was due to a decrease in discretionary spending in general and administrative expense.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79,824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52,129</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rPr>
              <w:t>27,695</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53.1 %</w:t>
            </w: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quarter ended September 30, 2025 were $79.8 million, an increase of $27.7 million, or 53.1%, compared to net sales of $52.1 million in the quarter ended September 30, 2024. The increase in net sales during the quarter was driven by the acquisition of Lifoam in October 2024. Lifoam contributed $38.9 million in net sales in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2" w:name="page73"/>
    <w:bookmarkEnd w:id="72"/>
    <w:p>
      <w:pPr>
        <w:jc w:val="both"/>
        <w:spacing w:after="0" w:line="287" w:lineRule="auto"/>
        <w:rPr>
          <w:sz w:val="20"/>
          <w:szCs w:val="20"/>
          <w:color w:val="auto"/>
        </w:rPr>
      </w:pPr>
      <w:r>
        <w:rPr>
          <w:rFonts w:ascii="Arial" w:cs="Arial" w:eastAsia="Arial" w:hAnsi="Arial"/>
          <w:sz w:val="18"/>
          <w:szCs w:val="18"/>
          <w:color w:val="auto"/>
        </w:rPr>
        <w:t>the third quarter of 2025. The increase in net sales attributable to Lifoam was offset by lower sales due to reduced demand in the industrial white goods market and shifting market conditions in the perishable and cold chain markets.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center"/>
              <w:ind w:right="18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5,166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6,003</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rPr>
              <w:t>(837)</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w:t>
            </w: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(5.0)%</w:t>
            </w:r>
          </w:p>
        </w:tc>
        <w:tc>
          <w:tcPr>
            <w:tcW w:w="74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was $5.2 million in the three months ended September 30, 2025, a decrease of $0.8 million as compared to the three months ended September 30, 2024. Segment operating margin was 6.5% in the third quarter of 2025 as compared to 11.5% in the third quarter of 2024, with the decrease driven by a reduction in fixed cost of goods sold coverage due to lower sales levels on the non-Lifoam portion of the business and increases in selling, general and administrative costs related to the acquisition and integration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37,686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46,103</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rPr>
              <w:t>(8,417)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w:t>
            </w:r>
          </w:p>
        </w:tc>
      </w:tr>
    </w:tbl>
    <w:p>
      <w:pPr>
        <w:spacing w:after="0" w:line="3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September 30, 2025 were approximately $37.7 million, a decrease of $8.4 million compared to net sales of $46.1 million in the same period in 2024. The decrease in net sales is primarily a result of lower demand in various markets and material and production restraints.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center"/>
              <w:ind w:right="18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1,229</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5,425</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rPr>
              <w:t>(4,196)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(77.3)%</w:t>
            </w: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(8.5)%</w:t>
            </w:r>
          </w:p>
        </w:tc>
        <w:tc>
          <w:tcPr>
            <w:tcW w:w="74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three months ended September 30, 2025 was approximately $1.2 million, a decrease of $4.2 million when compared to the same period in 2024. The decrease in segment operating income was driven by the decrease in revenue, unfavorable product mix and executive transition costs. Segment operating margin was 3.3% in the third quarter of 2025 as compared to 11.8% in the third quarter of 2024.</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73,460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85,187</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rPr>
              <w:t>(11,727)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w:t>
            </w: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September 30, 2025 were approximately $73.5 million, a decrease of $11.7 million, or 13.8%, compared to net sales of $85.2 million in the same period in 2024. The net sales variance reflects a decrease in sales volume attributed to non-recurring customer promotional activity as compared to the prior year and category softness in the home fragrance product line.</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4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9,815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6,971</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2,844</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40.8 %</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8.2 %</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5.2 %</w:t>
            </w: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September 30, 2025 was approximately $ 9.8 million, an increase of $2.8 million compared to the three months ended September 30, 2024, driven by an increase in gross margin and reduced amortization expense for intangibles that have been fully amortized (amortization expense decreased $1.5 million quarter over quarter). Gross profit as a percentage of net sales was 30.4% in the third quarter of 2025 as compared to 24.8% in the third quarter of 2024, driven by lower material costs and overhead. Segment operating margin was 13.4% in the third quarter of 2025 as compared to 8.2% in the third quarter of 2024.</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 Year-to-Date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2025 compared to nine months ended September 30, 2024 (as restated)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periods indicated, in dollars and as a percentage of net revenues:</w:t>
      </w:r>
    </w:p>
    <w:p>
      <w:pPr>
        <w:spacing w:after="0" w:line="143"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6"/>
          </w:tcPr>
          <w:p>
            <w:pPr>
              <w:ind w:left="380"/>
              <w:spacing w:after="0"/>
              <w:rPr>
                <w:sz w:val="20"/>
                <w:szCs w:val="20"/>
                <w:color w:val="auto"/>
              </w:rPr>
            </w:pPr>
            <w:r>
              <w:rPr>
                <w:rFonts w:ascii="Arial" w:cs="Arial" w:eastAsia="Arial" w:hAnsi="Arial"/>
                <w:sz w:val="15"/>
                <w:szCs w:val="15"/>
                <w:b w:val="1"/>
                <w:bCs w:val="1"/>
                <w:color w:val="auto"/>
              </w:rPr>
              <w:t>Nine months ended</w:t>
            </w:r>
          </w:p>
        </w:tc>
        <w:tc>
          <w:tcPr>
            <w:tcW w:w="5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r>
      <w:tr>
        <w:trPr>
          <w:trHeight w:val="196"/>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0"/>
              <w:spacing w:after="0"/>
              <w:rPr>
                <w:sz w:val="20"/>
                <w:szCs w:val="20"/>
                <w:color w:val="auto"/>
              </w:rPr>
            </w:pPr>
            <w:r>
              <w:rPr>
                <w:rFonts w:ascii="Arial" w:cs="Arial" w:eastAsia="Arial" w:hAnsi="Arial"/>
                <w:sz w:val="15"/>
                <w:szCs w:val="15"/>
                <w:b w:val="1"/>
                <w:bCs w:val="1"/>
                <w:color w:val="auto"/>
              </w:rPr>
              <w:t>September 30, 2024</w:t>
            </w: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5"/>
                <w:szCs w:val="15"/>
                <w:b w:val="1"/>
                <w:bCs w:val="1"/>
                <w:color w:val="auto"/>
              </w:rPr>
              <w:t>(As Restated)</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1,405,027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40" w:type="dxa"/>
            <w:vAlign w:val="bottom"/>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1,294,084</w:t>
            </w: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8"/>
              </w:rPr>
              <w:t>100.0 %</w:t>
            </w:r>
          </w:p>
        </w:tc>
        <w:tc>
          <w:tcPr>
            <w:tcW w:w="40" w:type="dxa"/>
            <w:vAlign w:val="bottom"/>
            <w:shd w:val="clear" w:color="auto" w:fill="CCEEFF"/>
          </w:tcPr>
          <w:p>
            <w:pPr>
              <w:spacing w:after="0"/>
              <w:rPr>
                <w:sz w:val="17"/>
                <w:szCs w:val="17"/>
                <w:color w:val="auto"/>
              </w:rPr>
            </w:pPr>
          </w:p>
        </w:tc>
      </w:tr>
      <w:tr>
        <w:trPr>
          <w:trHeight w:val="181"/>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792,739</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56.4 %</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734,314</w:t>
            </w:r>
          </w:p>
        </w:tc>
        <w:tc>
          <w:tcPr>
            <w:tcW w:w="4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56.7 %</w:t>
            </w:r>
          </w:p>
        </w:tc>
        <w:tc>
          <w:tcPr>
            <w:tcW w:w="40" w:type="dxa"/>
            <w:vAlign w:val="bottom"/>
            <w:tcBorders>
              <w:bottom w:val="single" w:sz="8" w:color="CCEEFF"/>
            </w:tcBorders>
          </w:tcPr>
          <w:p>
            <w:pPr>
              <w:spacing w:after="0"/>
              <w:rPr>
                <w:sz w:val="15"/>
                <w:szCs w:val="15"/>
                <w:color w:val="auto"/>
              </w:rPr>
            </w:pPr>
          </w:p>
        </w:tc>
      </w:tr>
      <w:tr>
        <w:trPr>
          <w:trHeight w:val="197"/>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3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612,288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43.6 %</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559,770</w:t>
            </w: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43.3 %</w:t>
            </w:r>
          </w:p>
        </w:tc>
        <w:tc>
          <w:tcPr>
            <w:tcW w:w="40" w:type="dxa"/>
            <w:vAlign w:val="bottom"/>
            <w:shd w:val="clear" w:color="auto" w:fill="CCEEFF"/>
          </w:tcPr>
          <w:p>
            <w:pPr>
              <w:spacing w:after="0"/>
              <w:rPr>
                <w:sz w:val="17"/>
                <w:szCs w:val="17"/>
                <w:color w:val="auto"/>
              </w:rPr>
            </w:pPr>
          </w:p>
        </w:tc>
      </w:tr>
      <w:tr>
        <w:trPr>
          <w:trHeight w:val="180"/>
        </w:trPr>
        <w:tc>
          <w:tcPr>
            <w:tcW w:w="434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34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491,804</w:t>
            </w:r>
          </w:p>
        </w:tc>
        <w:tc>
          <w:tcPr>
            <w:tcW w:w="980" w:type="dxa"/>
            <w:vAlign w:val="bottom"/>
          </w:tcPr>
          <w:p>
            <w:pPr>
              <w:jc w:val="right"/>
              <w:spacing w:after="0"/>
              <w:rPr>
                <w:sz w:val="20"/>
                <w:szCs w:val="20"/>
                <w:color w:val="auto"/>
              </w:rPr>
            </w:pPr>
            <w:r>
              <w:rPr>
                <w:rFonts w:ascii="Arial" w:cs="Arial" w:eastAsia="Arial" w:hAnsi="Arial"/>
                <w:sz w:val="15"/>
                <w:szCs w:val="15"/>
                <w:color w:val="auto"/>
              </w:rPr>
              <w:t>35.0 %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421,264</w:t>
            </w:r>
          </w:p>
        </w:tc>
        <w:tc>
          <w:tcPr>
            <w:tcW w:w="4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32.6 %</w:t>
            </w:r>
          </w:p>
        </w:tc>
        <w:tc>
          <w:tcPr>
            <w:tcW w:w="40" w:type="dxa"/>
            <w:vAlign w:val="bottom"/>
          </w:tcPr>
          <w:p>
            <w:pPr>
              <w:spacing w:after="0"/>
              <w:rPr>
                <w:sz w:val="15"/>
                <w:szCs w:val="15"/>
                <w:color w:val="auto"/>
              </w:rPr>
            </w:pPr>
          </w:p>
        </w:tc>
      </w:tr>
      <w:tr>
        <w:trPr>
          <w:trHeight w:val="205"/>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Management fees</w:t>
            </w:r>
          </w:p>
        </w:tc>
        <w:tc>
          <w:tcPr>
            <w:tcW w:w="3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54,111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55,314</w:t>
            </w:r>
          </w:p>
        </w:tc>
        <w:tc>
          <w:tcPr>
            <w:tcW w:w="4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40" w:type="dxa"/>
            <w:vAlign w:val="bottom"/>
            <w:shd w:val="clear" w:color="auto" w:fill="CCEEFF"/>
          </w:tcPr>
          <w:p>
            <w:pPr>
              <w:spacing w:after="0"/>
              <w:rPr>
                <w:sz w:val="17"/>
                <w:szCs w:val="17"/>
                <w:color w:val="auto"/>
              </w:rPr>
            </w:pPr>
          </w:p>
        </w:tc>
      </w:tr>
      <w:tr>
        <w:trPr>
          <w:trHeight w:val="180"/>
        </w:trPr>
        <w:tc>
          <w:tcPr>
            <w:tcW w:w="4340" w:type="dxa"/>
            <w:vAlign w:val="bottom"/>
          </w:tcPr>
          <w:p>
            <w:pPr>
              <w:ind w:left="20"/>
              <w:spacing w:after="0"/>
              <w:rPr>
                <w:sz w:val="20"/>
                <w:szCs w:val="20"/>
                <w:color w:val="auto"/>
              </w:rPr>
            </w:pPr>
            <w:r>
              <w:rPr>
                <w:rFonts w:ascii="Arial" w:cs="Arial" w:eastAsia="Arial" w:hAnsi="Arial"/>
                <w:sz w:val="15"/>
                <w:szCs w:val="15"/>
                <w:color w:val="auto"/>
              </w:rPr>
              <w:t>Amortization expense</w:t>
            </w:r>
          </w:p>
        </w:tc>
        <w:tc>
          <w:tcPr>
            <w:tcW w:w="34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69,722</w:t>
            </w:r>
          </w:p>
        </w:tc>
        <w:tc>
          <w:tcPr>
            <w:tcW w:w="980" w:type="dxa"/>
            <w:vAlign w:val="bottom"/>
          </w:tcPr>
          <w:p>
            <w:pPr>
              <w:jc w:val="right"/>
              <w:spacing w:after="0"/>
              <w:rPr>
                <w:sz w:val="20"/>
                <w:szCs w:val="20"/>
                <w:color w:val="auto"/>
              </w:rPr>
            </w:pPr>
            <w:r>
              <w:rPr>
                <w:rFonts w:ascii="Arial" w:cs="Arial" w:eastAsia="Arial" w:hAnsi="Arial"/>
                <w:sz w:val="15"/>
                <w:szCs w:val="15"/>
                <w:color w:val="auto"/>
              </w:rPr>
              <w:t>5.0 %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71,317</w:t>
            </w:r>
          </w:p>
        </w:tc>
        <w:tc>
          <w:tcPr>
            <w:tcW w:w="4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5.5 %</w:t>
            </w:r>
          </w:p>
        </w:tc>
        <w:tc>
          <w:tcPr>
            <w:tcW w:w="40" w:type="dxa"/>
            <w:vAlign w:val="bottom"/>
          </w:tcPr>
          <w:p>
            <w:pPr>
              <w:spacing w:after="0"/>
              <w:rPr>
                <w:sz w:val="15"/>
                <w:szCs w:val="15"/>
                <w:color w:val="auto"/>
              </w:rPr>
            </w:pPr>
          </w:p>
        </w:tc>
      </w:tr>
      <w:tr>
        <w:trPr>
          <w:trHeight w:val="205"/>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expense</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31,515</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8,182</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40" w:type="dxa"/>
            <w:vAlign w:val="bottom"/>
            <w:shd w:val="clear" w:color="auto" w:fill="CCEEFF"/>
          </w:tcPr>
          <w:p>
            <w:pPr>
              <w:spacing w:after="0"/>
              <w:rPr>
                <w:sz w:val="17"/>
                <w:szCs w:val="17"/>
                <w:color w:val="auto"/>
              </w:rPr>
            </w:pPr>
          </w:p>
        </w:tc>
      </w:tr>
      <w:tr>
        <w:trPr>
          <w:trHeight w:val="194"/>
        </w:trPr>
        <w:tc>
          <w:tcPr>
            <w:tcW w:w="4340" w:type="dxa"/>
            <w:vAlign w:val="bottom"/>
          </w:tcPr>
          <w:p>
            <w:pPr>
              <w:ind w:left="220"/>
              <w:spacing w:after="0"/>
              <w:rPr>
                <w:sz w:val="20"/>
                <w:szCs w:val="20"/>
                <w:color w:val="auto"/>
              </w:rPr>
            </w:pPr>
            <w:r>
              <w:rPr>
                <w:rFonts w:ascii="Arial" w:cs="Arial" w:eastAsia="Arial" w:hAnsi="Arial"/>
                <w:sz w:val="15"/>
                <w:szCs w:val="15"/>
                <w:color w:val="auto"/>
              </w:rPr>
              <w:t>Operating loss</w:t>
            </w:r>
          </w:p>
        </w:tc>
        <w:tc>
          <w:tcPr>
            <w:tcW w:w="3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(34,864)</w:t>
            </w: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3,693</w:t>
            </w:r>
          </w:p>
        </w:tc>
        <w:tc>
          <w:tcPr>
            <w:tcW w:w="4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0.3 %</w:t>
            </w:r>
          </w:p>
        </w:tc>
      </w:tr>
      <w:tr>
        <w:trPr>
          <w:trHeight w:val="205"/>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(136,668)</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(86,483)</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40" w:type="dxa"/>
            <w:vAlign w:val="bottom"/>
            <w:shd w:val="clear" w:color="auto" w:fill="CCEEFF"/>
          </w:tcPr>
          <w:p>
            <w:pPr>
              <w:spacing w:after="0"/>
              <w:rPr>
                <w:sz w:val="17"/>
                <w:szCs w:val="17"/>
                <w:color w:val="auto"/>
              </w:rPr>
            </w:pPr>
          </w:p>
        </w:tc>
      </w:tr>
      <w:tr>
        <w:trPr>
          <w:trHeight w:val="200"/>
        </w:trPr>
        <w:tc>
          <w:tcPr>
            <w:tcW w:w="4340" w:type="dxa"/>
            <w:vAlign w:val="bottom"/>
          </w:tcPr>
          <w:p>
            <w:pPr>
              <w:ind w:left="2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(2,922)</w:t>
            </w:r>
          </w:p>
        </w:tc>
        <w:tc>
          <w:tcPr>
            <w:tcW w:w="980" w:type="dxa"/>
            <w:vAlign w:val="bottom"/>
          </w:tcPr>
          <w:p>
            <w:pPr>
              <w:jc w:val="right"/>
              <w:spacing w:after="0"/>
              <w:rPr>
                <w:sz w:val="20"/>
                <w:szCs w:val="20"/>
                <w:color w:val="auto"/>
              </w:rPr>
            </w:pPr>
            <w:r>
              <w:rPr>
                <w:rFonts w:ascii="Arial" w:cs="Arial" w:eastAsia="Arial" w:hAnsi="Arial"/>
                <w:sz w:val="15"/>
                <w:szCs w:val="15"/>
                <w:color w:val="auto"/>
              </w:rPr>
              <w:t>(0.2)%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(3,014)</w:t>
            </w:r>
          </w:p>
        </w:tc>
        <w:tc>
          <w:tcPr>
            <w:tcW w:w="4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(0.2)%</w:t>
            </w:r>
          </w:p>
        </w:tc>
        <w:tc>
          <w:tcPr>
            <w:tcW w:w="40" w:type="dxa"/>
            <w:vAlign w:val="bottom"/>
          </w:tcPr>
          <w:p>
            <w:pPr>
              <w:spacing w:after="0"/>
              <w:rPr>
                <w:sz w:val="17"/>
                <w:szCs w:val="17"/>
                <w:color w:val="auto"/>
              </w:rPr>
            </w:pPr>
          </w:p>
        </w:tc>
      </w:tr>
      <w:tr>
        <w:trPr>
          <w:trHeight w:val="205"/>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debt modification</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(2,827)</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40" w:type="dxa"/>
            <w:vAlign w:val="bottom"/>
            <w:shd w:val="clear" w:color="auto" w:fill="CCEEFF"/>
          </w:tcPr>
          <w:p>
            <w:pPr>
              <w:spacing w:after="0"/>
              <w:rPr>
                <w:sz w:val="17"/>
                <w:szCs w:val="17"/>
                <w:color w:val="auto"/>
              </w:rPr>
            </w:pPr>
          </w:p>
        </w:tc>
      </w:tr>
      <w:tr>
        <w:trPr>
          <w:trHeight w:val="200"/>
        </w:trPr>
        <w:tc>
          <w:tcPr>
            <w:tcW w:w="4340" w:type="dxa"/>
            <w:vAlign w:val="bottom"/>
          </w:tcPr>
          <w:p>
            <w:pPr>
              <w:ind w:left="20"/>
              <w:spacing w:after="0"/>
              <w:rPr>
                <w:sz w:val="20"/>
                <w:szCs w:val="20"/>
                <w:color w:val="auto"/>
              </w:rPr>
            </w:pPr>
            <w:r>
              <w:rPr>
                <w:rFonts w:ascii="Arial" w:cs="Arial" w:eastAsia="Arial" w:hAnsi="Arial"/>
                <w:sz w:val="15"/>
                <w:szCs w:val="15"/>
                <w:color w:val="auto"/>
              </w:rPr>
              <w:t>Loss on sale of Crosman</w:t>
            </w:r>
          </w:p>
        </w:tc>
        <w:tc>
          <w:tcPr>
            <w:tcW w:w="34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(24,218)</w:t>
            </w:r>
          </w:p>
        </w:tc>
        <w:tc>
          <w:tcPr>
            <w:tcW w:w="4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w:t>
            </w:r>
          </w:p>
        </w:tc>
        <w:tc>
          <w:tcPr>
            <w:tcW w:w="40" w:type="dxa"/>
            <w:vAlign w:val="bottom"/>
          </w:tcPr>
          <w:p>
            <w:pPr>
              <w:spacing w:after="0"/>
              <w:rPr>
                <w:sz w:val="17"/>
                <w:szCs w:val="17"/>
                <w:color w:val="auto"/>
              </w:rPr>
            </w:pPr>
          </w:p>
        </w:tc>
      </w:tr>
      <w:tr>
        <w:trPr>
          <w:trHeight w:val="205"/>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(14,311)</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(125,853)</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40" w:type="dxa"/>
            <w:vAlign w:val="bottom"/>
            <w:shd w:val="clear" w:color="auto" w:fill="CCEEFF"/>
          </w:tcPr>
          <w:p>
            <w:pPr>
              <w:spacing w:after="0"/>
              <w:rPr>
                <w:sz w:val="17"/>
                <w:szCs w:val="17"/>
                <w:color w:val="auto"/>
              </w:rPr>
            </w:pPr>
          </w:p>
        </w:tc>
      </w:tr>
      <w:tr>
        <w:trPr>
          <w:trHeight w:val="195"/>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Loss from continuing operations before income taxes</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(191,592)</w:t>
            </w:r>
          </w:p>
        </w:tc>
        <w:tc>
          <w:tcPr>
            <w:tcW w:w="10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rPr>
              <w:t>(13.6)%</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(235,875)</w:t>
            </w:r>
          </w:p>
        </w:tc>
        <w:tc>
          <w:tcPr>
            <w:tcW w:w="44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rPr>
              <w:t>(18.2)%</w:t>
            </w:r>
          </w:p>
        </w:tc>
      </w:tr>
      <w:tr>
        <w:trPr>
          <w:trHeight w:val="197"/>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25,659</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21,475</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40" w:type="dxa"/>
            <w:vAlign w:val="bottom"/>
            <w:shd w:val="clear" w:color="auto" w:fill="CCEEFF"/>
          </w:tcPr>
          <w:p>
            <w:pPr>
              <w:spacing w:after="0"/>
              <w:rPr>
                <w:sz w:val="17"/>
                <w:szCs w:val="17"/>
                <w:color w:val="auto"/>
              </w:rPr>
            </w:pPr>
          </w:p>
        </w:tc>
      </w:tr>
      <w:tr>
        <w:trPr>
          <w:trHeight w:val="196"/>
        </w:trPr>
        <w:tc>
          <w:tcPr>
            <w:tcW w:w="4340" w:type="dxa"/>
            <w:vAlign w:val="bottom"/>
          </w:tcPr>
          <w:p>
            <w:pPr>
              <w:ind w:left="220"/>
              <w:spacing w:after="0"/>
              <w:rPr>
                <w:sz w:val="20"/>
                <w:szCs w:val="20"/>
                <w:color w:val="auto"/>
              </w:rPr>
            </w:pPr>
            <w:r>
              <w:rPr>
                <w:rFonts w:ascii="Arial" w:cs="Arial" w:eastAsia="Arial" w:hAnsi="Arial"/>
                <w:sz w:val="15"/>
                <w:szCs w:val="15"/>
                <w:color w:val="auto"/>
              </w:rPr>
              <w:t>Net loss from continuing operations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(217,251)</w:t>
            </w: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(15.5)%</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(257,350)</w:t>
            </w:r>
          </w:p>
        </w:tc>
        <w:tc>
          <w:tcPr>
            <w:tcW w:w="44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(19.9)%</w:t>
            </w:r>
          </w:p>
        </w:tc>
      </w:tr>
      <w:tr>
        <w:trPr>
          <w:trHeight w:val="20"/>
        </w:trPr>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8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5"/>
                <w:szCs w:val="15"/>
                <w:b w:val="1"/>
                <w:bCs w:val="1"/>
                <w:color w:val="auto"/>
              </w:rPr>
              <w:t>Nine months ended</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320" w:type="dxa"/>
            <w:vAlign w:val="bottom"/>
          </w:tcPr>
          <w:p>
            <w:pPr>
              <w:spacing w:after="0"/>
              <w:rPr>
                <w:sz w:val="17"/>
                <w:szCs w:val="17"/>
                <w:color w:val="auto"/>
              </w:rPr>
            </w:pPr>
          </w:p>
        </w:tc>
        <w:tc>
          <w:tcPr>
            <w:tcW w:w="216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c>
          <w:tcPr>
            <w:tcW w:w="40" w:type="dxa"/>
            <w:vAlign w:val="bottom"/>
          </w:tcPr>
          <w:p>
            <w:pPr>
              <w:spacing w:after="0"/>
              <w:rPr>
                <w:sz w:val="17"/>
                <w:szCs w:val="17"/>
                <w:color w:val="auto"/>
              </w:rPr>
            </w:pPr>
          </w:p>
        </w:tc>
      </w:tr>
      <w:tr>
        <w:trPr>
          <w:trHeight w:val="196"/>
        </w:trPr>
        <w:tc>
          <w:tcPr>
            <w:tcW w:w="3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404,052</w:t>
            </w:r>
          </w:p>
        </w:tc>
        <w:tc>
          <w:tcPr>
            <w:tcW w:w="10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387,393</w:t>
            </w:r>
          </w:p>
        </w:tc>
        <w:tc>
          <w:tcPr>
            <w:tcW w:w="100" w:type="dxa"/>
            <w:vAlign w:val="bottom"/>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16,659</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40" w:type="dxa"/>
            <w:vAlign w:val="bottom"/>
            <w:shd w:val="clear" w:color="auto" w:fill="CCEEFF"/>
          </w:tcPr>
          <w:p>
            <w:pPr>
              <w:spacing w:after="0"/>
              <w:rPr>
                <w:sz w:val="17"/>
                <w:szCs w:val="17"/>
                <w:color w:val="auto"/>
              </w:rPr>
            </w:pPr>
          </w:p>
        </w:tc>
      </w:tr>
      <w:tr>
        <w:trPr>
          <w:trHeight w:val="201"/>
        </w:trPr>
        <w:tc>
          <w:tcPr>
            <w:tcW w:w="3760" w:type="dxa"/>
            <w:vAlign w:val="bottom"/>
          </w:tcPr>
          <w:p>
            <w:pPr>
              <w:ind w:left="20"/>
              <w:spacing w:after="0"/>
              <w:rPr>
                <w:sz w:val="20"/>
                <w:szCs w:val="20"/>
                <w:color w:val="auto"/>
              </w:rPr>
            </w:pPr>
            <w:r>
              <w:rPr>
                <w:rFonts w:ascii="Arial" w:cs="Arial" w:eastAsia="Arial" w:hAnsi="Arial"/>
                <w:sz w:val="15"/>
                <w:szCs w:val="15"/>
                <w:color w:val="auto"/>
              </w:rPr>
              <w:t>BOA</w:t>
            </w: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141,187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142,670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(1,483)</w:t>
            </w:r>
          </w:p>
        </w:tc>
        <w:tc>
          <w:tcPr>
            <w:tcW w:w="1160" w:type="dxa"/>
            <w:vAlign w:val="bottom"/>
          </w:tcPr>
          <w:p>
            <w:pPr>
              <w:jc w:val="right"/>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17"/>
                <w:szCs w:val="17"/>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70,966</w:t>
            </w: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37,087</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33,879</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91.4 %</w:t>
            </w:r>
          </w:p>
        </w:tc>
        <w:tc>
          <w:tcPr>
            <w:tcW w:w="40" w:type="dxa"/>
            <w:vAlign w:val="bottom"/>
            <w:shd w:val="clear" w:color="auto" w:fill="CCEEFF"/>
          </w:tcPr>
          <w:p>
            <w:pPr>
              <w:spacing w:after="0"/>
              <w:rPr>
                <w:sz w:val="17"/>
                <w:szCs w:val="17"/>
                <w:color w:val="auto"/>
              </w:rPr>
            </w:pPr>
          </w:p>
        </w:tc>
      </w:tr>
      <w:tr>
        <w:trPr>
          <w:trHeight w:val="201"/>
        </w:trPr>
        <w:tc>
          <w:tcPr>
            <w:tcW w:w="3760" w:type="dxa"/>
            <w:vAlign w:val="bottom"/>
          </w:tcPr>
          <w:p>
            <w:pPr>
              <w:ind w:left="20"/>
              <w:spacing w:after="0"/>
              <w:rPr>
                <w:sz w:val="20"/>
                <w:szCs w:val="20"/>
                <w:color w:val="auto"/>
              </w:rPr>
            </w:pPr>
            <w:r>
              <w:rPr>
                <w:rFonts w:ascii="Arial" w:cs="Arial" w:eastAsia="Arial" w:hAnsi="Arial"/>
                <w:sz w:val="15"/>
                <w:szCs w:val="15"/>
                <w:color w:val="auto"/>
              </w:rPr>
              <w:t>PrimaLoft</w:t>
            </w: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61,794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61,518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276</w:t>
            </w:r>
          </w:p>
        </w:tc>
        <w:tc>
          <w:tcPr>
            <w:tcW w:w="1160" w:type="dxa"/>
            <w:vAlign w:val="bottom"/>
          </w:tcPr>
          <w:p>
            <w:pPr>
              <w:jc w:val="right"/>
              <w:spacing w:after="0"/>
              <w:rPr>
                <w:sz w:val="20"/>
                <w:szCs w:val="20"/>
                <w:color w:val="auto"/>
              </w:rPr>
            </w:pPr>
            <w:r>
              <w:rPr>
                <w:rFonts w:ascii="Arial" w:cs="Arial" w:eastAsia="Arial" w:hAnsi="Arial"/>
                <w:sz w:val="15"/>
                <w:szCs w:val="15"/>
                <w:color w:val="auto"/>
              </w:rPr>
              <w:t>0.4 %</w:t>
            </w:r>
          </w:p>
        </w:tc>
        <w:tc>
          <w:tcPr>
            <w:tcW w:w="40" w:type="dxa"/>
            <w:vAlign w:val="bottom"/>
          </w:tcPr>
          <w:p>
            <w:pPr>
              <w:spacing w:after="0"/>
              <w:rPr>
                <w:sz w:val="17"/>
                <w:szCs w:val="17"/>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103,716</w:t>
            </w: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75,892</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27,824</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36.7 %</w:t>
            </w:r>
          </w:p>
        </w:tc>
        <w:tc>
          <w:tcPr>
            <w:tcW w:w="40" w:type="dxa"/>
            <w:vAlign w:val="bottom"/>
            <w:shd w:val="clear" w:color="auto" w:fill="CCEEFF"/>
          </w:tcPr>
          <w:p>
            <w:pPr>
              <w:spacing w:after="0"/>
              <w:rPr>
                <w:sz w:val="17"/>
                <w:szCs w:val="17"/>
                <w:color w:val="auto"/>
              </w:rPr>
            </w:pPr>
          </w:p>
        </w:tc>
      </w:tr>
      <w:tr>
        <w:trPr>
          <w:trHeight w:val="201"/>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57,454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77,419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(19,965)</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(25.8)%</w:t>
            </w:r>
          </w:p>
        </w:tc>
        <w:tc>
          <w:tcPr>
            <w:tcW w:w="40" w:type="dxa"/>
            <w:vAlign w:val="bottom"/>
            <w:tcBorders>
              <w:bottom w:val="single" w:sz="8" w:color="CCEEFF"/>
            </w:tcBorders>
          </w:tcPr>
          <w:p>
            <w:pPr>
              <w:spacing w:after="0"/>
              <w:rPr>
                <w:sz w:val="17"/>
                <w:szCs w:val="17"/>
                <w:color w:val="auto"/>
              </w:rPr>
            </w:pPr>
          </w:p>
        </w:tc>
      </w:tr>
      <w:tr>
        <w:trPr>
          <w:trHeight w:val="197"/>
        </w:trPr>
        <w:tc>
          <w:tcPr>
            <w:tcW w:w="37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Branded Consumer</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839,169</w:t>
            </w:r>
          </w:p>
        </w:tc>
        <w:tc>
          <w:tcPr>
            <w:tcW w:w="10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781,979</w:t>
            </w:r>
          </w:p>
        </w:tc>
        <w:tc>
          <w:tcPr>
            <w:tcW w:w="100" w:type="dxa"/>
            <w:vAlign w:val="bottom"/>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57,190</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7.3 %</w:t>
            </w:r>
          </w:p>
        </w:tc>
        <w:tc>
          <w:tcPr>
            <w:tcW w:w="40" w:type="dxa"/>
            <w:vAlign w:val="bottom"/>
            <w:shd w:val="clear" w:color="auto" w:fill="CCEEFF"/>
          </w:tcPr>
          <w:p>
            <w:pPr>
              <w:spacing w:after="0"/>
              <w:rPr>
                <w:sz w:val="17"/>
                <w:szCs w:val="17"/>
                <w:color w:val="auto"/>
              </w:rPr>
            </w:pPr>
          </w:p>
        </w:tc>
      </w:tr>
      <w:tr>
        <w:trPr>
          <w:trHeight w:val="201"/>
        </w:trPr>
        <w:tc>
          <w:tcPr>
            <w:tcW w:w="3760" w:type="dxa"/>
            <w:vAlign w:val="bottom"/>
          </w:tcPr>
          <w:p>
            <w:pPr>
              <w:ind w:left="20"/>
              <w:spacing w:after="0"/>
              <w:rPr>
                <w:sz w:val="20"/>
                <w:szCs w:val="20"/>
                <w:color w:val="auto"/>
              </w:rPr>
            </w:pPr>
            <w:r>
              <w:rPr>
                <w:rFonts w:ascii="Arial" w:cs="Arial" w:eastAsia="Arial" w:hAnsi="Arial"/>
                <w:sz w:val="15"/>
                <w:szCs w:val="15"/>
                <w:color w:val="auto"/>
              </w:rPr>
              <w:t>Altor</w:t>
            </w: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239,386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157,746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81,640</w:t>
            </w:r>
          </w:p>
        </w:tc>
        <w:tc>
          <w:tcPr>
            <w:tcW w:w="1160" w:type="dxa"/>
            <w:vAlign w:val="bottom"/>
          </w:tcPr>
          <w:p>
            <w:pPr>
              <w:jc w:val="right"/>
              <w:spacing w:after="0"/>
              <w:rPr>
                <w:sz w:val="20"/>
                <w:szCs w:val="20"/>
                <w:color w:val="auto"/>
              </w:rPr>
            </w:pPr>
            <w:r>
              <w:rPr>
                <w:rFonts w:ascii="Arial" w:cs="Arial" w:eastAsia="Arial" w:hAnsi="Arial"/>
                <w:sz w:val="15"/>
                <w:szCs w:val="15"/>
                <w:color w:val="auto"/>
              </w:rPr>
              <w:t>51.8 %</w:t>
            </w:r>
          </w:p>
        </w:tc>
        <w:tc>
          <w:tcPr>
            <w:tcW w:w="40" w:type="dxa"/>
            <w:vAlign w:val="bottom"/>
          </w:tcPr>
          <w:p>
            <w:pPr>
              <w:spacing w:after="0"/>
              <w:rPr>
                <w:sz w:val="17"/>
                <w:szCs w:val="17"/>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110,126</w:t>
            </w: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130,545</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(20,419)</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40" w:type="dxa"/>
            <w:vAlign w:val="bottom"/>
            <w:shd w:val="clear" w:color="auto" w:fill="CCEEFF"/>
          </w:tcPr>
          <w:p>
            <w:pPr>
              <w:spacing w:after="0"/>
              <w:rPr>
                <w:sz w:val="17"/>
                <w:szCs w:val="17"/>
                <w:color w:val="auto"/>
              </w:rPr>
            </w:pPr>
          </w:p>
        </w:tc>
      </w:tr>
      <w:tr>
        <w:trPr>
          <w:trHeight w:val="201"/>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216,346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223,814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(7,468)</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(3.3)%</w:t>
            </w:r>
          </w:p>
        </w:tc>
        <w:tc>
          <w:tcPr>
            <w:tcW w:w="40" w:type="dxa"/>
            <w:vAlign w:val="bottom"/>
            <w:tcBorders>
              <w:bottom w:val="single" w:sz="8" w:color="CCEEFF"/>
            </w:tcBorders>
          </w:tcPr>
          <w:p>
            <w:pPr>
              <w:spacing w:after="0"/>
              <w:rPr>
                <w:sz w:val="17"/>
                <w:szCs w:val="17"/>
                <w:color w:val="auto"/>
              </w:rPr>
            </w:pPr>
          </w:p>
        </w:tc>
      </w:tr>
      <w:tr>
        <w:trPr>
          <w:trHeight w:val="196"/>
        </w:trPr>
        <w:tc>
          <w:tcPr>
            <w:tcW w:w="37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Industrial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565,858</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512,105</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53,753</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40" w:type="dxa"/>
            <w:vAlign w:val="bottom"/>
            <w:shd w:val="clear" w:color="auto" w:fill="CCEEFF"/>
          </w:tcPr>
          <w:p>
            <w:pPr>
              <w:spacing w:after="0"/>
              <w:rPr>
                <w:sz w:val="17"/>
                <w:szCs w:val="17"/>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b w:val="1"/>
                <w:bCs w:val="1"/>
                <w:color w:val="auto"/>
              </w:rPr>
              <w:t>Consolidated 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1,405,027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1,294,084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110,943</w:t>
            </w:r>
          </w:p>
        </w:tc>
        <w:tc>
          <w:tcPr>
            <w:tcW w:w="1160" w:type="dxa"/>
            <w:vAlign w:val="bottom"/>
          </w:tcPr>
          <w:p>
            <w:pPr>
              <w:jc w:val="right"/>
              <w:spacing w:after="0"/>
              <w:rPr>
                <w:sz w:val="20"/>
                <w:szCs w:val="20"/>
                <w:color w:val="auto"/>
              </w:rPr>
            </w:pPr>
            <w:r>
              <w:rPr>
                <w:rFonts w:ascii="Arial" w:cs="Arial" w:eastAsia="Arial" w:hAnsi="Arial"/>
                <w:sz w:val="15"/>
                <w:szCs w:val="15"/>
                <w:color w:val="auto"/>
              </w:rPr>
              <w:t>8.6 %</w:t>
            </w:r>
          </w:p>
        </w:tc>
        <w:tc>
          <w:tcPr>
            <w:tcW w:w="4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revenues for the nine months ended September 30, 2025 increased by approximately $110.9 million, or 8.6%, compared to the corresponding period in 2024. During the nine months ended September 30, 2025 compared to 2024, we saw notable increases in net revenues at 5.11 ($16.7 million increase), Lugano ($ 33.9 million increase), The Honey Pot Co. ($27.8 million increase), and Altor ($81.6 million increase). The Honey Pot Co. was acquired on January 31, 2024 and had an incremental revenue increase of $17.2 million year over year on a pro forma basis. The increase in net revenue at Altor was attributable to the acquisition of Lifoam in October 2024. These increases in net revenue were offset by decreases in net revenue at Velocity ($20.0 million decrease, primarily as a result of the sale of Crosman), Arnold ($20.4 million decrease), and Sterno ($7.5 million decrease). Refer to "Results of Operations - Operating Segments - Year-to-Date" for a more detailed analysis of net revenues by operating segment.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5"/>
                <w:szCs w:val="15"/>
                <w:b w:val="1"/>
                <w:bCs w:val="1"/>
                <w:color w:val="auto"/>
              </w:rPr>
              <w:t>Nine months ended</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8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217,457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208,137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9,320</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4.5 %</w:t>
            </w:r>
          </w:p>
        </w:tc>
      </w:tr>
      <w:tr>
        <w:trPr>
          <w:trHeight w:val="200"/>
        </w:trPr>
        <w:tc>
          <w:tcPr>
            <w:tcW w:w="3740" w:type="dxa"/>
            <w:vAlign w:val="bottom"/>
          </w:tcPr>
          <w:p>
            <w:pPr>
              <w:ind w:left="20"/>
              <w:spacing w:after="0"/>
              <w:rPr>
                <w:sz w:val="20"/>
                <w:szCs w:val="20"/>
                <w:color w:val="auto"/>
              </w:rPr>
            </w:pPr>
            <w:r>
              <w:rPr>
                <w:rFonts w:ascii="Arial" w:cs="Arial" w:eastAsia="Arial" w:hAnsi="Arial"/>
                <w:sz w:val="15"/>
                <w:szCs w:val="15"/>
                <w:color w:val="auto"/>
              </w:rPr>
              <w:t>BOA</w:t>
            </w: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90,510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88,951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1,559</w:t>
            </w:r>
          </w:p>
        </w:tc>
        <w:tc>
          <w:tcPr>
            <w:tcW w:w="1220" w:type="dxa"/>
            <w:vAlign w:val="bottom"/>
          </w:tcPr>
          <w:p>
            <w:pPr>
              <w:jc w:val="right"/>
              <w:spacing w:after="0"/>
              <w:rPr>
                <w:sz w:val="20"/>
                <w:szCs w:val="20"/>
                <w:color w:val="auto"/>
              </w:rPr>
            </w:pPr>
            <w:r>
              <w:rPr>
                <w:rFonts w:ascii="Arial" w:cs="Arial" w:eastAsia="Arial" w:hAnsi="Arial"/>
                <w:sz w:val="15"/>
                <w:szCs w:val="15"/>
                <w:color w:val="auto"/>
              </w:rPr>
              <w:t>1.8 %</w:t>
            </w:r>
          </w:p>
        </w:tc>
      </w:tr>
      <w:tr>
        <w:trPr>
          <w:trHeight w:val="205"/>
        </w:trPr>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39,916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22,109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17,807</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80.5 %</w:t>
            </w:r>
          </w:p>
        </w:tc>
      </w:tr>
      <w:tr>
        <w:trPr>
          <w:trHeight w:val="200"/>
        </w:trPr>
        <w:tc>
          <w:tcPr>
            <w:tcW w:w="3740" w:type="dxa"/>
            <w:vAlign w:val="bottom"/>
          </w:tcPr>
          <w:p>
            <w:pPr>
              <w:ind w:left="20"/>
              <w:spacing w:after="0"/>
              <w:rPr>
                <w:sz w:val="20"/>
                <w:szCs w:val="20"/>
                <w:color w:val="auto"/>
              </w:rPr>
            </w:pPr>
            <w:r>
              <w:rPr>
                <w:rFonts w:ascii="Arial" w:cs="Arial" w:eastAsia="Arial" w:hAnsi="Arial"/>
                <w:sz w:val="15"/>
                <w:szCs w:val="15"/>
                <w:color w:val="auto"/>
              </w:rPr>
              <w:t>PrimaLoft</w:t>
            </w: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39,477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38,737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740</w:t>
            </w:r>
          </w:p>
        </w:tc>
        <w:tc>
          <w:tcPr>
            <w:tcW w:w="1220" w:type="dxa"/>
            <w:vAlign w:val="bottom"/>
          </w:tcPr>
          <w:p>
            <w:pPr>
              <w:jc w:val="right"/>
              <w:spacing w:after="0"/>
              <w:rPr>
                <w:sz w:val="20"/>
                <w:szCs w:val="20"/>
                <w:color w:val="auto"/>
              </w:rPr>
            </w:pPr>
            <w:r>
              <w:rPr>
                <w:rFonts w:ascii="Arial" w:cs="Arial" w:eastAsia="Arial" w:hAnsi="Arial"/>
                <w:sz w:val="15"/>
                <w:szCs w:val="15"/>
                <w:color w:val="auto"/>
              </w:rPr>
              <w:t>1.9 %</w:t>
            </w:r>
          </w:p>
        </w:tc>
      </w:tr>
      <w:tr>
        <w:trPr>
          <w:trHeight w:val="205"/>
        </w:trPr>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57,655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36,805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20,850</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56.6 %</w:t>
            </w:r>
          </w:p>
        </w:tc>
      </w:tr>
      <w:tr>
        <w:trPr>
          <w:trHeight w:val="20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17,609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20,984</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(3,375)</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(16.1)%</w:t>
            </w:r>
          </w:p>
        </w:tc>
      </w:tr>
      <w:tr>
        <w:trPr>
          <w:trHeight w:val="198"/>
        </w:trPr>
        <w:tc>
          <w:tcPr>
            <w:tcW w:w="37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Branded Consumer</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462,624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415,723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46,901</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11.3 %</w:t>
            </w:r>
          </w:p>
        </w:tc>
      </w:tr>
      <w:tr>
        <w:trPr>
          <w:trHeight w:val="200"/>
        </w:trPr>
        <w:tc>
          <w:tcPr>
            <w:tcW w:w="3740" w:type="dxa"/>
            <w:vAlign w:val="bottom"/>
          </w:tcPr>
          <w:p>
            <w:pPr>
              <w:ind w:left="20"/>
              <w:spacing w:after="0"/>
              <w:rPr>
                <w:sz w:val="20"/>
                <w:szCs w:val="20"/>
                <w:color w:val="auto"/>
              </w:rPr>
            </w:pPr>
            <w:r>
              <w:rPr>
                <w:rFonts w:ascii="Arial" w:cs="Arial" w:eastAsia="Arial" w:hAnsi="Arial"/>
                <w:sz w:val="15"/>
                <w:szCs w:val="15"/>
                <w:color w:val="auto"/>
              </w:rPr>
              <w:t>Altor</w:t>
            </w: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61,929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47,280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14,649</w:t>
            </w:r>
          </w:p>
        </w:tc>
        <w:tc>
          <w:tcPr>
            <w:tcW w:w="1220" w:type="dxa"/>
            <w:vAlign w:val="bottom"/>
          </w:tcPr>
          <w:p>
            <w:pPr>
              <w:jc w:val="right"/>
              <w:spacing w:after="0"/>
              <w:rPr>
                <w:sz w:val="20"/>
                <w:szCs w:val="20"/>
                <w:color w:val="auto"/>
              </w:rPr>
            </w:pPr>
            <w:r>
              <w:rPr>
                <w:rFonts w:ascii="Arial" w:cs="Arial" w:eastAsia="Arial" w:hAnsi="Arial"/>
                <w:sz w:val="15"/>
                <w:szCs w:val="15"/>
                <w:color w:val="auto"/>
              </w:rPr>
              <w:t>31.0 %</w:t>
            </w:r>
          </w:p>
        </w:tc>
      </w:tr>
      <w:tr>
        <w:trPr>
          <w:trHeight w:val="205"/>
        </w:trPr>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37,954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(12,298)</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w:t>
            </w:r>
          </w:p>
        </w:tc>
      </w:tr>
      <w:tr>
        <w:trPr>
          <w:trHeight w:val="20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62,079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58,813</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3,266</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5.6 %</w:t>
            </w:r>
          </w:p>
        </w:tc>
      </w:tr>
      <w:tr>
        <w:trPr>
          <w:trHeight w:val="197"/>
        </w:trPr>
        <w:tc>
          <w:tcPr>
            <w:tcW w:w="37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Industrial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149,664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144,047</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5,617</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3.9 %</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5" w:name="page76"/>
    <w:bookmarkEnd w:id="75"/>
    <w:tbl>
      <w:tblPr>
        <w:tblLayout w:type="fixed"/>
        <w:tblInd w:w="580" w:type="dxa"/>
        <w:tblCellMar>
          <w:top w:w="0" w:type="dxa"/>
          <w:left w:w="0" w:type="dxa"/>
          <w:bottom w:w="0" w:type="dxa"/>
          <w:right w:w="0" w:type="dxa"/>
        </w:tblCellMar>
      </w:tblPr>
      <w:tr>
        <w:trPr>
          <w:trHeight w:val="230"/>
        </w:trPr>
        <w:tc>
          <w:tcPr>
            <w:tcW w:w="3740" w:type="dxa"/>
            <w:vAlign w:val="bottom"/>
          </w:tcPr>
          <w:p>
            <w:pPr>
              <w:ind w:left="20"/>
              <w:spacing w:after="0"/>
              <w:rPr>
                <w:sz w:val="20"/>
                <w:szCs w:val="20"/>
                <w:color w:val="auto"/>
              </w:rPr>
            </w:pPr>
            <w:r>
              <w:rPr>
                <w:rFonts w:ascii="Arial" w:cs="Arial" w:eastAsia="Arial" w:hAnsi="Arial"/>
                <w:sz w:val="15"/>
                <w:szCs w:val="15"/>
                <w:b w:val="1"/>
                <w:bCs w:val="1"/>
                <w:color w:val="auto"/>
              </w:rPr>
              <w:t>Consolidated gross profit</w:t>
            </w:r>
          </w:p>
        </w:tc>
        <w:tc>
          <w:tcPr>
            <w:tcW w:w="680" w:type="dxa"/>
            <w:vAlign w:val="bottom"/>
            <w:tcBorders>
              <w:top w:val="single" w:sz="8" w:color="auto"/>
            </w:tcBorders>
          </w:tcPr>
          <w:p>
            <w:pPr>
              <w:jc w:val="right"/>
              <w:ind w:right="484"/>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612,288</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50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559,770</w:t>
            </w:r>
          </w:p>
        </w:tc>
        <w:tc>
          <w:tcPr>
            <w:tcW w:w="160" w:type="dxa"/>
            <w:vAlign w:val="bottom"/>
          </w:tcPr>
          <w:p>
            <w:pPr>
              <w:spacing w:after="0"/>
              <w:rPr>
                <w:sz w:val="20"/>
                <w:szCs w:val="20"/>
                <w:color w:val="auto"/>
              </w:rPr>
            </w:pPr>
          </w:p>
        </w:tc>
        <w:tc>
          <w:tcPr>
            <w:tcW w:w="34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52,518</w:t>
            </w:r>
          </w:p>
        </w:tc>
        <w:tc>
          <w:tcPr>
            <w:tcW w:w="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9.4 %</w:t>
            </w:r>
          </w:p>
        </w:tc>
      </w:tr>
      <w:tr>
        <w:trPr>
          <w:trHeight w:val="350"/>
        </w:trPr>
        <w:tc>
          <w:tcPr>
            <w:tcW w:w="3740" w:type="dxa"/>
            <w:vAlign w:val="bottom"/>
          </w:tcPr>
          <w:p>
            <w:pPr>
              <w:ind w:left="20"/>
              <w:spacing w:after="0"/>
              <w:rPr>
                <w:sz w:val="20"/>
                <w:szCs w:val="20"/>
                <w:color w:val="auto"/>
              </w:rPr>
            </w:pPr>
            <w:r>
              <w:rPr>
                <w:rFonts w:ascii="Arial" w:cs="Arial" w:eastAsia="Arial" w:hAnsi="Arial"/>
                <w:sz w:val="15"/>
                <w:szCs w:val="15"/>
                <w:b w:val="1"/>
                <w:bCs w:val="1"/>
                <w:color w:val="auto"/>
              </w:rPr>
              <w:t>Gross Margin</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7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Branded Consumer</w:t>
            </w:r>
          </w:p>
        </w:tc>
        <w:tc>
          <w:tcPr>
            <w:tcW w:w="6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55.1 %</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53.2 %</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2.0%</w:t>
            </w:r>
          </w:p>
        </w:tc>
        <w:tc>
          <w:tcPr>
            <w:tcW w:w="680" w:type="dxa"/>
            <w:vAlign w:val="bottom"/>
            <w:shd w:val="clear" w:color="auto" w:fill="CCEEFF"/>
          </w:tcPr>
          <w:p>
            <w:pPr>
              <w:spacing w:after="0"/>
              <w:rPr>
                <w:sz w:val="17"/>
                <w:szCs w:val="17"/>
                <w:color w:val="auto"/>
              </w:rPr>
            </w:pPr>
          </w:p>
        </w:tc>
      </w:tr>
      <w:tr>
        <w:trPr>
          <w:trHeight w:val="200"/>
        </w:trPr>
        <w:tc>
          <w:tcPr>
            <w:tcW w:w="3740" w:type="dxa"/>
            <w:vAlign w:val="bottom"/>
          </w:tcPr>
          <w:p>
            <w:pPr>
              <w:ind w:left="240"/>
              <w:spacing w:after="0"/>
              <w:rPr>
                <w:sz w:val="20"/>
                <w:szCs w:val="20"/>
                <w:color w:val="auto"/>
              </w:rPr>
            </w:pPr>
            <w:r>
              <w:rPr>
                <w:rFonts w:ascii="Arial" w:cs="Arial" w:eastAsia="Arial" w:hAnsi="Arial"/>
                <w:sz w:val="15"/>
                <w:szCs w:val="15"/>
                <w:color w:val="auto"/>
              </w:rPr>
              <w:t>Industrial</w:t>
            </w:r>
          </w:p>
        </w:tc>
        <w:tc>
          <w:tcPr>
            <w:tcW w:w="6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26.4 %</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28.1 %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5"/>
                <w:szCs w:val="15"/>
                <w:color w:val="auto"/>
              </w:rPr>
              <w:t>(1.7)%</w:t>
            </w:r>
          </w:p>
        </w:tc>
        <w:tc>
          <w:tcPr>
            <w:tcW w:w="680" w:type="dxa"/>
            <w:vAlign w:val="bottom"/>
          </w:tcPr>
          <w:p>
            <w:pPr>
              <w:spacing w:after="0"/>
              <w:rPr>
                <w:sz w:val="17"/>
                <w:szCs w:val="17"/>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gross margin</w:t>
            </w:r>
          </w:p>
        </w:tc>
        <w:tc>
          <w:tcPr>
            <w:tcW w:w="6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43.6 %</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43.3 %</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0.3%</w:t>
            </w:r>
          </w:p>
        </w:tc>
        <w:tc>
          <w:tcPr>
            <w:tcW w:w="680" w:type="dxa"/>
            <w:vAlign w:val="bottom"/>
            <w:shd w:val="clear" w:color="auto" w:fill="CCEEFF"/>
          </w:tcPr>
          <w:p>
            <w:pPr>
              <w:spacing w:after="0"/>
              <w:rPr>
                <w:sz w:val="17"/>
                <w:szCs w:val="17"/>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gross profit increased approximately $52.5 million during the nine months ended September 30, 2025 compared to the corresponding period in 2024. We saw notable increases in gross profit at 5.11 ($9.3 million increase) and Lugano ($17.8 million increase) that correlates with the increase in net revenue in the first nine months of 2025. The Honey Pot Co. had an $20.9 million increase in gross profit that was partially attributable to the timing of its acquisition on January 31, 2024 and therefore only eight months of activity are included in the nine months ended September 30, 2024, and partially attributable to the increase in net revenues during the period. Altor had a $14.6 million increase in gross profit that is attributable to the timing of its acquisition of Lifoam on October 1, 2024. We saw decreases in gross profit at Velocity ($3.4 million decrease, primarily as a result of the sale of Crosman) and Arnold ($12.3 million decrease) that corresponded to the decrease in net revenue noted above. Gross profit as a percentage of net revenues was approximately 43.6% in the nine months ended September 30, 2025 and 43.3% the nine months ended September 30, 2024. Our branded consumer businesses had gross profit as a percentage of net revenues of 55.1% in the nine months ended September 30, 2025 as compared to 53.2% in the nine months ended September 30, 2024, while our industrial businesses had gross profit as a percentage of net revenues of 26.4% in the nine months ended September 30, 2025 as compared to 28.1% in the nine months ended September 30, 2024. The decrease in gross profit as a percentage of net revenues at our industrial businesses was attributable to higher fixed overhead costs absorbed on a lower revenue base due to the decrease in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5"/>
                <w:szCs w:val="15"/>
                <w:b w:val="1"/>
                <w:bCs w:val="1"/>
                <w:color w:val="auto"/>
              </w:rPr>
              <w:t>Nine months ended</w:t>
            </w:r>
          </w:p>
        </w:tc>
        <w:tc>
          <w:tcPr>
            <w:tcW w:w="3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40" w:type="dxa"/>
            <w:vAlign w:val="bottom"/>
          </w:tcPr>
          <w:p>
            <w:pPr>
              <w:spacing w:after="0"/>
              <w:rPr>
                <w:sz w:val="17"/>
                <w:szCs w:val="17"/>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491,804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421,264</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ind w:right="804"/>
              <w:spacing w:after="0"/>
              <w:rPr>
                <w:sz w:val="20"/>
                <w:szCs w:val="20"/>
                <w:color w:val="auto"/>
              </w:rPr>
            </w:pPr>
            <w:r>
              <w:rPr>
                <w:rFonts w:ascii="Arial" w:cs="Arial" w:eastAsia="Arial" w:hAnsi="Arial"/>
                <w:sz w:val="15"/>
                <w:szCs w:val="15"/>
                <w:color w:val="auto"/>
              </w:rPr>
              <w:t>70,540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16.7 %</w:t>
            </w:r>
          </w:p>
        </w:tc>
      </w:tr>
    </w:tbl>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selling, general and administrative expense increased approximately $70.5 million during the nine months ended September 30, 2025, compared to the corresponding period in 2024, driven primarily by increases at Corporate ($36.0 million increase), 5.11 ($8.5 million increase) due to by non-recurring payroll costs associated with restructuring, higher performance-based bonuses, and increased marketing investments to support sales growth, Lugano ($12.5 million increase) due to increases in marketing expenses as well as personnel costs and rent expense associated with the opening of its Chicago salon in the second quarter of 2025, The Honey Pot Co. ($ 5.7 million increase) due to increased marketing investments, and Altor ($11.9 million increase) due to the acquisition of Lifoam in the fourth quarter of 2024. The increase in selling, general and administrative expense was partially offset by a decrease in expense at Velocity after their disposition of the Crosman product line in the second quarter of 2024.</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corporate level, general and administrative expense was $50.4 million in the nine months ended September 30, 2025 and $14.4 million in the nine months ended September 30, 2024. The increase in corporate general and administrative expense in the first nine months of 2025 related to the ongoing costs of an investigation at our Lugano subsidiary. The Company incurred $36.7 million in the nine months ended September 30, 2025 related to the investigation at Lugano, which began in April 2025. The Company also saw increased legal and professional fees incurred during the first nine months of 2025, offset by decreases in salary and bonus expense. The Company will continue to incur significant costs related to the Lugano investigation during the remainder of 2025.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4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Management fees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54,111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55,314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(1,203)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r>
    </w:tbl>
    <w:p>
      <w:pPr>
        <w:spacing w:after="0" w:line="3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Management Services Agreement ("MSA"), we pay CGM (i) a base management fee equal to (a) 2% of the Company’s adjusted net assets when the adjusted net assets are less than or equal to $3.5 billion (the “Initial Threshold Fee”), (b) the Initial Threshold Fee plus 1.25% of the amount of adjusted net assets exceeding $ 3.5 billion when the adjusted net assets are more than $ 3.5 billion but less than $10 billion, or (c) 1.5% of the adjusted net assets when the adjusted net assets are $10 billion or more and (ii) an incentive management fee equal to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of directors. For the nine months ended September 30, 2025, we incurred approximately $54.1 million in management fees as compared to $55.3 million in fees in the nine months ended September 30, 2024. The Management fee incurred in the nine months ended September 30, 2025 and 2024 reflects the amount incurred prior to the restatement of the Company's financial statements as the Company is not permitted under the MSA to adjust the amount owed to the Manager until the time when the restated financial information was available, which occurred upon the filing of the Company's 10-K/A on December 8, 2025. Therefore the expense recorded in the nine months ended September 30, 2025 and 2024 reflects the amount that would have been due to the Manager at the time calculated, prior to the restatement of the Company's financial statements.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entry into the Third Amendment on July 5, 2025, the Credit Agreement was modified to (i) limit the management fees that may be paid by the LLC to Compass Group Management LLC (the "Manager") to no more than $5.0 million per fiscal quarter (with the amount of such management fees that cannot be paid due to this limitation being available to offset any potential future reduction in management fees as a result of any adjustments for deemed overpayments) and (ii) limit the management fees that could be paid by the LLC’s subsidiaries to the Manager to no more than $2.0 million per fiscal quarter. The amount of management fees paid during the second quarter of 2025 was also limited by the First Forbearance Agreement to no more than $10.5 million by the LLC and no more than $2.0 million by the LLC's subsidiaries.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u w:val="single" w:color="auto"/>
          <w:color w:val="0000FF"/>
        </w:rPr>
        <w:t>Note O - Related Party Transactions</w:t>
      </w:r>
      <w:r>
        <w:rPr>
          <w:rFonts w:ascii="Arial" w:cs="Arial" w:eastAsia="Arial" w:hAnsi="Arial"/>
          <w:sz w:val="18"/>
          <w:szCs w:val="18"/>
          <w:color w:val="auto"/>
        </w:rPr>
        <w:t>" in the "Notes to the Condensed Consolidated Financial Statements" for a description of the effect of the restatement on the Management Fees.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ind w:left="28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69,722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71,317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(1,595)</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the nine months ended September 30, 2025 decreased $1.6 million as compared to the nine months ended September 30, 2024 due to the reduction in expense associated with the sale of Crosman in the second quarter of 2024, the reduction in intangible assets at Lugano resulting from the restatement and certain intangibles at Sterno that were fully amortized in 2024, partially offset by the amortization expense associated with the intangibles that were recognized in conjunction with the purchase price allocation for Lifoam, the add-on acquisition that Altor completed in the fourth quarter of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Impairment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31,515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rPr>
              <w:t>23,333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285.2 %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77" w:name="page78"/>
    <w:bookmarkEnd w:id="77"/>
    <w:p>
      <w:pPr>
        <w:jc w:val="both"/>
        <w:spacing w:after="0" w:line="255" w:lineRule="auto"/>
        <w:rPr>
          <w:sz w:val="20"/>
          <w:szCs w:val="20"/>
          <w:color w:val="auto"/>
        </w:rPr>
      </w:pPr>
      <w:r>
        <w:rPr>
          <w:rFonts w:ascii="Arial" w:cs="Arial" w:eastAsia="Arial" w:hAnsi="Arial"/>
          <w:sz w:val="18"/>
          <w:szCs w:val="18"/>
          <w:color w:val="auto"/>
        </w:rPr>
        <w:t>As a result of the preliminary findings of the Lugano Investigation, the Company determined that a triggering event had occurred in the second quarter of 2025 and tested the long-lived assets of Lugano for impairment. The impairment testing indicated that the fair value of the assets was less than the carrying value and the Company recorded impairment expense to write the long-lived assets down to fair value. The write down of the long-lived assets resulted in the Company recording impairment expense of $29.5 million related to property, plant and equipment and $1.9 million related to right-of-use assets in the quarter ended June 30, 2025. The right-of-use asset related to a retail salon in Toronto, Canada which had not yet opened. In the prior year, Velocity performed an impairment test of its goodwill as part of the annual impairment test at March 31, 2024. The impairment test resulted in Velocity recording impairment expense of $8.2 million in the quarter ended March 31,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0" w:type="dxa"/>
            <w:vAlign w:val="bottom"/>
            <w:gridSpan w:val="2"/>
          </w:tcPr>
          <w:p>
            <w:pPr>
              <w:ind w:left="200"/>
              <w:spacing w:after="0"/>
              <w:rPr>
                <w:sz w:val="20"/>
                <w:szCs w:val="20"/>
                <w:color w:val="auto"/>
              </w:rPr>
            </w:pPr>
            <w:r>
              <w:rPr>
                <w:rFonts w:ascii="Arial" w:cs="Arial" w:eastAsia="Arial" w:hAnsi="Arial"/>
                <w:sz w:val="15"/>
                <w:szCs w:val="15"/>
                <w:b w:val="1"/>
                <w:bCs w:val="1"/>
                <w:color w:val="auto"/>
              </w:rPr>
              <w:t>September 30, 2025</w:t>
            </w:r>
          </w:p>
        </w:tc>
        <w:tc>
          <w:tcPr>
            <w:tcW w:w="2040" w:type="dxa"/>
            <w:vAlign w:val="bottom"/>
            <w:gridSpan w:val="2"/>
          </w:tcPr>
          <w:p>
            <w:pPr>
              <w:ind w:left="22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Borders>
              <w:top w:val="single" w:sz="8" w:color="auto"/>
            </w:tcBorders>
          </w:tcPr>
          <w:p>
            <w:pPr>
              <w:ind w:left="440"/>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(136,668)</w:t>
            </w: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(86,483)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(50,185)</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58.0 %</w:t>
            </w:r>
          </w:p>
        </w:tc>
      </w:tr>
    </w:tbl>
    <w:p>
      <w:pPr>
        <w:spacing w:after="0" w:line="3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interest expense totaling $ 136.7 million for the nine months ended September 30, 2025 compared to $86.5 million for the comparable period in 2024, an increase of $50.2 million. As consideration for entering into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 The Company recorded $22.8 million in paid-in-kind interest expense in the third quarter of 2025 related to the upfront fee required by the Indenture Forbearance Agreement, and accrued approximately $11.5 million related to the increase in interest rate during the third quarter of 2025.</w:t>
      </w:r>
    </w:p>
    <w:p>
      <w:pPr>
        <w:spacing w:after="0" w:line="77" w:lineRule="exact"/>
        <w:rPr>
          <w:sz w:val="20"/>
          <w:szCs w:val="20"/>
          <w:color w:val="auto"/>
        </w:rPr>
      </w:pPr>
    </w:p>
    <w:p>
      <w:pPr>
        <w:ind w:right="60"/>
        <w:spacing w:after="0" w:line="375" w:lineRule="auto"/>
        <w:rPr>
          <w:sz w:val="20"/>
          <w:szCs w:val="20"/>
          <w:color w:val="auto"/>
        </w:rPr>
      </w:pPr>
      <w:r>
        <w:rPr>
          <w:rFonts w:ascii="Arial" w:cs="Arial" w:eastAsia="Arial" w:hAnsi="Arial"/>
          <w:sz w:val="18"/>
          <w:szCs w:val="18"/>
          <w:color w:val="auto"/>
        </w:rPr>
        <w:t xml:space="preserve">The interest expense also reflects an increase of $11.9 million in interest expense related to financing arrangements at our Lugano business. </w:t>
      </w:r>
      <w:r>
        <w:rPr>
          <w:rFonts w:ascii="Arial" w:cs="Arial" w:eastAsia="Arial" w:hAnsi="Arial"/>
          <w:sz w:val="18"/>
          <w:szCs w:val="18"/>
          <w:i w:val="1"/>
          <w:iCs w:val="1"/>
          <w:u w:val="single" w:color="auto"/>
          <w:color w:val="auto"/>
        </w:rPr>
        <w:t>Loss on debt modification</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second quarter of 2025, the Company entered into a Forbearance Agreement and Second Amendment to the Credit Agreement. The amendment to the Credit Agreement reduced the aggregate borrowing amount available for revolving commitments to $100 million from $600 million. As a result of the reduction in available revolving commitments, the Company recognized $2.8 million in loss on debt modification in the second quarter of 2025.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sale of Crosman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30, 2024, Velocity Outdoor sold Crosman Corporation ("Crosman"), its airgun product division. Velocity received net proceeds of approximately $ 58.5 million related to the sale of Crosman, which was used to repay amounts outstanding under the intercompany credit agreement. The Company recorded a loss on the sale of Crosman totaling $24.2 million in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0" w:type="dxa"/>
            <w:vAlign w:val="bottom"/>
            <w:gridSpan w:val="2"/>
          </w:tcPr>
          <w:p>
            <w:pPr>
              <w:ind w:left="200"/>
              <w:spacing w:after="0"/>
              <w:rPr>
                <w:sz w:val="20"/>
                <w:szCs w:val="20"/>
                <w:color w:val="auto"/>
              </w:rPr>
            </w:pPr>
            <w:r>
              <w:rPr>
                <w:rFonts w:ascii="Arial" w:cs="Arial" w:eastAsia="Arial" w:hAnsi="Arial"/>
                <w:sz w:val="15"/>
                <w:szCs w:val="15"/>
                <w:b w:val="1"/>
                <w:bCs w:val="1"/>
                <w:color w:val="auto"/>
              </w:rPr>
              <w:t>September 30, 2025</w:t>
            </w:r>
          </w:p>
        </w:tc>
        <w:tc>
          <w:tcPr>
            <w:tcW w:w="2040" w:type="dxa"/>
            <w:vAlign w:val="bottom"/>
            <w:gridSpan w:val="2"/>
          </w:tcPr>
          <w:p>
            <w:pPr>
              <w:ind w:left="22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Borders>
              <w:top w:val="single" w:sz="8" w:color="auto"/>
            </w:tcBorders>
          </w:tcPr>
          <w:p>
            <w:pPr>
              <w:ind w:left="440"/>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Other expense</w:t>
            </w: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(14,311)</w:t>
            </w: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(125,853)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111,542</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w:t>
            </w:r>
          </w:p>
        </w:tc>
      </w:tr>
    </w:tbl>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2025, we recorded $14.3 million in other expense as compared to $125.9 million in other expense in the nine months ended September 30, 2024, a decrease in expense of $111.5 million. Other income (expense) typically reflects the movement in foreign currency at our subsidiary businesses with international operations, gains or (losses) realized on the sale of property, plant and equipment, and expenses incurred or income earned that are not considered a part of our operations. The other expense in the nine months ended September 30, 2024 primarily represents expense recognized at Lugano related to losses resulting from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8"/>
          <w:szCs w:val="18"/>
          <w:color w:val="auto"/>
        </w:rPr>
        <w:t>accounting for the transactions associated with the off-balance sheet arrangements ($121.5 million in expense in the nine months ended September 30, 2024). A significant portion of the expense associated with the Lugano financing arrangements was recognized in the historical restatement period (the years ending December 31, 2024, 2023 and 2022) which resulted in limited impact in the current year, primarily in the first quarter of 2025. In the nine months ended September 30, 2024, the expense reflected a non-recurring loss on an equity method investment at Altor Solutions.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September 30, 2025</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280"/>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25,659</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21,475</w:t>
            </w:r>
          </w:p>
        </w:tc>
        <w:tc>
          <w:tcPr>
            <w:tcW w:w="20" w:type="dxa"/>
            <w:vAlign w:val="bottom"/>
            <w:shd w:val="clear" w:color="auto" w:fill="CCEEFF"/>
          </w:tcPr>
          <w:p>
            <w:pPr>
              <w:spacing w:after="0"/>
              <w:rPr>
                <w:sz w:val="17"/>
                <w:szCs w:val="17"/>
                <w:color w:val="auto"/>
              </w:rPr>
            </w:pPr>
          </w:p>
        </w:tc>
        <w:tc>
          <w:tcPr>
            <w:tcW w:w="42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4,184</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19.5 %</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an income tax provision of $25.7 million during the nine months ended September 30, 2025 compared to an income tax provision of $21.5 million during the same period in 2024, an increase of $4.2 million due to the increase in income from continuing operation before income taxes. Our effective tax rate in the nine months ended September 30, 2025 was (13.4)%, compared to an effective income tax rate of (9.1)% during the same period in 2024. Our tax rate is affected by recurring items, such as tax rates in foreign jurisdictions and the relative amounts of income we earn in those jurisdictions. It is also affected by discrete items that may occur in any given year but are not consistent from year to year. In the current year, the Trust recognized approximately $9.9 million related to income from the tax effect of the Indenture Forbearance Agreement. In addition to state income taxes, the items with the most significant impact on the difference between our statutory U.S. federal income tax rate of 21% and our effective income tax rate in the nine months ended September 30, 2025 was state income taxes and the limitations on the net operating loss carryforwards and utilization of tax credits at our subsidiaries, while in the prior year, the most significant impact on the effective tax rate was the impairment expense recognized at Velocity in the first quarter of 2024, the loss on the sale of Crosman in the second quarter of 2024 and the limitations on the net operating loss carryforwards and utilization of tax credits at our subsidiaries.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Operating Segments - Year-to-Date</w:t>
      </w:r>
    </w:p>
    <w:p>
      <w:pPr>
        <w:spacing w:after="0" w:line="225" w:lineRule="exact"/>
        <w:rPr>
          <w:sz w:val="20"/>
          <w:szCs w:val="20"/>
          <w:color w:val="auto"/>
        </w:rPr>
      </w:pPr>
    </w:p>
    <w:p>
      <w:pPr>
        <w:ind w:right="3320"/>
        <w:spacing w:after="0" w:line="460" w:lineRule="auto"/>
        <w:rPr>
          <w:sz w:val="20"/>
          <w:szCs w:val="20"/>
          <w:color w:val="auto"/>
        </w:rPr>
      </w:pPr>
      <w:r>
        <w:rPr>
          <w:rFonts w:ascii="Arial" w:cs="Arial" w:eastAsia="Arial" w:hAnsi="Arial"/>
          <w:sz w:val="16"/>
          <w:szCs w:val="16"/>
          <w:b w:val="1"/>
          <w:bCs w:val="1"/>
          <w:color w:val="auto"/>
        </w:rPr>
        <w:t xml:space="preserve">Nine </w:t>
      </w:r>
      <w:r>
        <w:rPr>
          <w:rFonts w:ascii="Arial" w:cs="Arial" w:eastAsia="Arial" w:hAnsi="Arial"/>
          <w:sz w:val="17"/>
          <w:szCs w:val="17"/>
          <w:b w:val="1"/>
          <w:bCs w:val="1"/>
          <w:color w:val="auto"/>
        </w:rPr>
        <w:t>months ended September 30, 2025 compared to nine months ended September 30, 2024</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Branded Consumer Businesses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20" w:type="dxa"/>
            <w:vAlign w:val="bottom"/>
          </w:tcPr>
          <w:p>
            <w:pPr>
              <w:spacing w:after="0"/>
              <w:rPr>
                <w:sz w:val="17"/>
                <w:szCs w:val="17"/>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404,052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387,393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rPr>
              <w:t>16,659</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4.3 %</w:t>
            </w:r>
          </w:p>
        </w:tc>
      </w:tr>
    </w:tbl>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nine months ended September 30, 2025 were $404.1 million as compared to net sales of $387.4 million for the nine months ended September 30, 2024, an increase of $16.7 million, or 4.3%. The increase was driven primarily by a $14.1 million increase in domestic wholesale sales, reflecting strong demand and the fulfillment of large contracts; a $7.8 million increase in direct-to-consumer sales, resulting from higher full-price sales of new products; and a $0.5 million increase in international sales, supported by continued demand across key markets. These increases were partially offset by a $4.2 million decline in direct-to-agency sales, due to the timing of large contracts.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9" w:name="page80"/>
    <w:bookmarkEnd w:id="79"/>
    <w:tbl>
      <w:tblPr>
        <w:tblLayout w:type="fixed"/>
        <w:tblInd w:w="52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r>
      <w:tr>
        <w:trPr>
          <w:trHeight w:val="196"/>
        </w:trPr>
        <w:tc>
          <w:tcPr>
            <w:tcW w:w="38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September 30, 2024</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left="104"/>
              <w:spacing w:after="0"/>
              <w:rPr>
                <w:sz w:val="20"/>
                <w:szCs w:val="20"/>
                <w:color w:val="auto"/>
              </w:rPr>
            </w:pPr>
            <w:r>
              <w:rPr>
                <w:rFonts w:ascii="Arial" w:cs="Arial" w:eastAsia="Arial" w:hAnsi="Arial"/>
                <w:sz w:val="15"/>
                <w:szCs w:val="15"/>
                <w:b w:val="1"/>
                <w:bCs w:val="1"/>
                <w:color w:val="auto"/>
              </w:rPr>
              <w:t>Increase (Decrease)</w:t>
            </w:r>
          </w:p>
        </w:tc>
        <w:tc>
          <w:tcPr>
            <w:tcW w:w="440" w:type="dxa"/>
            <w:vAlign w:val="bottom"/>
            <w:tcBorders>
              <w:bottom w:val="single" w:sz="8" w:color="auto"/>
            </w:tcBorders>
          </w:tcPr>
          <w:p>
            <w:pPr>
              <w:spacing w:after="0"/>
              <w:rPr>
                <w:sz w:val="17"/>
                <w:szCs w:val="17"/>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Segment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34,595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33,803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rPr>
              <w:t>792</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2.3 %</w:t>
            </w:r>
          </w:p>
        </w:tc>
      </w:tr>
      <w:tr>
        <w:trPr>
          <w:trHeight w:val="162"/>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(0.2)%</w:t>
            </w:r>
          </w:p>
        </w:tc>
        <w:tc>
          <w:tcPr>
            <w:tcW w:w="44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for the nine months ended September 30, 2025 was $34.6 million, an increase of $0.8 million when compared to segment operating income of $33.8 million for the same period in 2024. The increase in segment operating income was driven by higher net sales and comparable gross margin performance, offset by increased selling, general and administrative expenses, primarily driven by non-recurring payroll costs associated with restructuring, higher performance-based bonuses, and increased marketing investments to support sales growth. Segment operating margin was 8.6% in the nine months ended September 30, 2025 and 8.7% in the nine months ended September 30,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141,187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142,670</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(1,483)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nine months ended September 30, 2025 were $141.2 million as compared to net sales of $142.7 million for the nine months ended September 30, 2024, a decrease of $ 1.5 million, or 1.0%. Sales increased across key industries including Cycling, Workwear, Helmets, Outdoor, and Snow Sports, offset by reduced kids-based business in China. This continued momentum was primarily a result of market share gains in many of BOA's key industries.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left="64"/>
              <w:spacing w:after="0"/>
              <w:rPr>
                <w:sz w:val="20"/>
                <w:szCs w:val="20"/>
                <w:color w:val="auto"/>
              </w:rPr>
            </w:pPr>
            <w:r>
              <w:rPr>
                <w:rFonts w:ascii="Arial" w:cs="Arial" w:eastAsia="Arial" w:hAnsi="Arial"/>
                <w:sz w:val="15"/>
                <w:szCs w:val="15"/>
                <w:b w:val="1"/>
                <w:bCs w:val="1"/>
                <w:color w:val="auto"/>
              </w:rPr>
              <w:t>Increase (Decrease)</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38,499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36,490</w:t>
            </w:r>
          </w:p>
        </w:tc>
        <w:tc>
          <w:tcPr>
            <w:tcW w:w="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rPr>
              <w:t>2,009</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5.5 %</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25.6 %</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1.7%</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nine months ended September 30, 2025 was $38.5 million, an increase of $2.0 million when compared to segment operating income of $36.5 million for the same period in 2024. The increase in segment operating income was driven by improved product margins and reduced employee costs related to BOA’s bonus plan. Segment operating margin was 27.3% in the nine months ended September 30, 2025 and 25.6% in the nine months ended September 30, 2024. The increase in operating margin in the current year was driven by improved gross profit margin.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Lugano</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ind w:left="280"/>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70,966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37,087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33,879</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91.4 %</w:t>
            </w:r>
          </w:p>
        </w:tc>
      </w:tr>
    </w:tbl>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nine months ended September 30, 2025 were $71.0 million an increase of approximately $33.9 million, or 91.4%, compared to net sales of $37.1 million in the nine months ended September 30, 2024. In the current year, Lugano had stronger same store sales growth. Lugano opened its London, England salon in the second quarter of 2024 and expanded its presence in Europe through that salon in the current year, and opened a retail store in Chicago in June 2025.</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80" w:name="page81"/>
    <w:bookmarkEnd w:id="80"/>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September 30, 2025</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September 30, 2024</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right="18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ind w:left="28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(71,228)</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(45,376)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(25,852)</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57.0 %</w:t>
            </w: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22.0%</w:t>
            </w:r>
          </w:p>
        </w:tc>
        <w:tc>
          <w:tcPr>
            <w:tcW w:w="720" w:type="dxa"/>
            <w:vAlign w:val="bottom"/>
            <w:shd w:val="clear" w:color="auto" w:fill="CCEEFF"/>
          </w:tcPr>
          <w:p>
            <w:pPr>
              <w:spacing w:after="0"/>
              <w:rPr>
                <w:sz w:val="17"/>
                <w:szCs w:val="17"/>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loss increased during the nine months ended September 30, 2025 to $71.2 million, as compared to $45.4 million in the corresponding period in 2024. In the current year, Lugano recorded $31.5 million in impairment expense related to long-lived assets and a right-of-use asset, resulting in the higher segment operating loss in the current year. Segment operating margin was (100.4)% in the nine months ended September 30, 2025 as compared to (122.4)% in the nine months ended September 30,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PrimaLoft</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20" w:type="dxa"/>
            <w:vAlign w:val="bottom"/>
          </w:tcPr>
          <w:p>
            <w:pPr>
              <w:spacing w:after="0"/>
              <w:rPr>
                <w:sz w:val="17"/>
                <w:szCs w:val="17"/>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61,794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61,518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rPr>
              <w:t>276</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0.4 %</w:t>
            </w:r>
          </w:p>
        </w:tc>
      </w:tr>
    </w:tbl>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nine months ended September 30, 2025 were $61.8 million, an increase of $0.3 million as compared to net sales of $61.5 million for the nine months ended September 30, 2024. The increase in net sales in the current period versus the nine months ended September 30, 2024 is attributable to new programs with European and Asia brand partners resulting in an increase in sales for the first three quarters of 2025 compared to the first three quarters of 2024, offset by a pullback in orders from PrimaLoft's brand partners as they remain cautious due to the economic uncertainties from the evolving tariff policy in the United States.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left="64"/>
              <w:spacing w:after="0"/>
              <w:rPr>
                <w:sz w:val="20"/>
                <w:szCs w:val="20"/>
                <w:color w:val="auto"/>
              </w:rPr>
            </w:pPr>
            <w:r>
              <w:rPr>
                <w:rFonts w:ascii="Arial" w:cs="Arial" w:eastAsia="Arial" w:hAnsi="Arial"/>
                <w:sz w:val="15"/>
                <w:szCs w:val="15"/>
                <w:b w:val="1"/>
                <w:bCs w:val="1"/>
                <w:color w:val="auto"/>
              </w:rPr>
              <w:t>Increase (Decrease)</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7,190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6,760</w:t>
            </w:r>
          </w:p>
        </w:tc>
        <w:tc>
          <w:tcPr>
            <w:tcW w:w="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rPr>
              <w:t>430</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6.4 %</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11.0 %</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0.6%</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income for the nine months ended September 30, 2025 was $7.2 million, an increase of $0.4 million when compared to segment operating income of $6.8 million for the same period in 2024, driven by the increase in net sales. Segment operating margin was 11.6% in the first nine months of 2025 as compared to 11.0% in the first nine months of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Honey Pot Co.</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following results of operations, we provide comparative proforma results of operations for The Honey Pot Co. for the nine months ended September 30, 2025 and September 30, 2024 as if we had acquired the business on January 1, 2024. The results of operations that follow include relevant proforma adjustments for the pre-acquisition period and explanations where applicable. The operating results for The Honey Pot Co. have been included in the consolidated results of operation from the date of acquisition on January 31, 2024.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Proforma results of operations include the following proforma adjustments as if we had acquired The Honey Pot Co. on January 1, 2024:</w:t>
      </w:r>
    </w:p>
    <w:p>
      <w:pPr>
        <w:spacing w:after="0" w:line="115" w:lineRule="exact"/>
        <w:rPr>
          <w:sz w:val="20"/>
          <w:szCs w:val="20"/>
          <w:color w:val="auto"/>
        </w:rPr>
      </w:pPr>
    </w:p>
    <w:p>
      <w:pPr>
        <w:ind w:left="660" w:hanging="328"/>
        <w:spacing w:after="0" w:line="28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Incremental stock compensation expense of $0.3 million for the six months ended June 30, 2024. This amount is included in SG&amp;A and reduces segment operating income.</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Amortization expense associated with the intangible assets recorded in connection with the purchase price allocation for THP of $1.3 million for the six months ended June 30, 2024. This amount reduces segment operating income.</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fees that would have been payable to the Manager in the first quarter of 2024. THP pays a management fee of $1.0 million per year ($0.25 million per quarter). This amount reduces segment operating income.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81" w:name="page82"/>
    <w:bookmarkEnd w:id="81"/>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720" w:type="dxa"/>
            <w:vAlign w:val="bottom"/>
          </w:tcPr>
          <w:p>
            <w:pPr>
              <w:jc w:val="center"/>
              <w:ind w:right="84"/>
              <w:spacing w:after="0"/>
              <w:rPr>
                <w:sz w:val="20"/>
                <w:szCs w:val="20"/>
                <w:color w:val="auto"/>
              </w:rPr>
            </w:pPr>
            <w:r>
              <w:rPr>
                <w:rFonts w:ascii="Arial" w:cs="Arial" w:eastAsia="Arial" w:hAnsi="Arial"/>
                <w:sz w:val="15"/>
                <w:szCs w:val="15"/>
                <w:b w:val="1"/>
                <w:bCs w:val="1"/>
                <w:color w:val="auto"/>
              </w:rPr>
              <w:t>September 30, 2024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720" w:type="dxa"/>
            <w:vAlign w:val="bottom"/>
            <w:tcBorders>
              <w:top w:val="single" w:sz="8" w:color="auto"/>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Pro forma</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c>
          <w:tcPr>
            <w:tcW w:w="900" w:type="dxa"/>
            <w:vAlign w:val="bottom"/>
            <w:tcBorders>
              <w:top w:val="single" w:sz="8" w:color="auto"/>
              <w:bottom w:val="single" w:sz="8" w:color="CCEEFF"/>
            </w:tcBorders>
          </w:tcPr>
          <w:p>
            <w:pPr>
              <w:spacing w:after="0"/>
              <w:rPr>
                <w:sz w:val="17"/>
                <w:szCs w:val="17"/>
                <w:color w:val="auto"/>
              </w:rPr>
            </w:pPr>
          </w:p>
        </w:tc>
      </w:tr>
      <w:tr>
        <w:trPr>
          <w:trHeight w:val="196"/>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103,716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86,563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17,153</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19.8 %</w:t>
            </w: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nine months ended September 30, 2025 were $103.7 million, an increase of $ 17.2 million or 19.8% from net sales of $86.6 million for the nine months ended September 30, 2024. The increase in net sales is primarily due to strong volume growth due to market share gain in the Period Care product line, particularly in mass retail, drugstores and online. Overall, volume and share growth continues to be fueled by compelling innovation, targeted investments in demand generation, and disciplined investments in capabilities to accelerate growth.</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September 30, 2024</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right="18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Pro forma</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11,196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11,599</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(2878.2)%</w:t>
            </w: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11.3%</w:t>
            </w:r>
          </w:p>
        </w:tc>
        <w:tc>
          <w:tcPr>
            <w:tcW w:w="84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for the nine months ended September 30, 2025 was $11.2 million, an increase of $11.6 million when compared to segment operating loss of $0.4 million for the same period in 2024. Segment operating income in the first nine months of 2024 included certain non-recurring expenses related to the acquisition of The Honey Pot Co. in January 2024, including $3.8 million of inventory step-up amortization expense and $3.5 million in acquisition costs. Segment operating margin in the first nine months of 2025 was 10.8% as compared to (0.5)% in the first nine months of 2024, with the increase attributable to the increase in net sales and the non-recurring expenses incurred in the prior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April 30, 2024, Velocity Outdoor sold its Crosman airgun product division. The results of operations for the nine months ended September 30, 2024 presented below include the results from the Crosman airgun product division through the date of sale.</w:t>
      </w:r>
    </w:p>
    <w:p>
      <w:pPr>
        <w:spacing w:after="0" w:line="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57,454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77,419</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rPr>
              <w:t>(19,965)</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w:t>
            </w:r>
          </w:p>
        </w:tc>
      </w:tr>
    </w:tbl>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nine months ended September 30, 2025 were $ 57.5 million, a decrease of $20.0 million or 25.8%, compared to net sales of $77.4 million in the same period in 2024. The decrease in net sales for the nine months ended September 30, 2025 was driven by the divestiture of Crosman. The remaining product categories, which consist of the archery and hunting apparel product categories, increased 13.6% compared to the same period in 2024 due to increased archery sales across all channels.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September 30, 2024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right="20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(12,873)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44"/>
              <w:spacing w:after="0"/>
              <w:rPr>
                <w:sz w:val="20"/>
                <w:szCs w:val="20"/>
                <w:color w:val="auto"/>
              </w:rPr>
            </w:pPr>
            <w:r>
              <w:rPr>
                <w:rFonts w:ascii="Arial" w:cs="Arial" w:eastAsia="Arial" w:hAnsi="Arial"/>
                <w:sz w:val="15"/>
                <w:szCs w:val="15"/>
                <w:color w:val="auto"/>
              </w:rPr>
              <w:t>12,049</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w:t>
            </w:r>
          </w:p>
        </w:tc>
      </w:t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15.2%</w:t>
            </w:r>
          </w:p>
        </w:tc>
        <w:tc>
          <w:tcPr>
            <w:tcW w:w="76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loss for the nine months ended September 30, 2025 was $0.8 million compared to segment operating loss of $12.9 million for the same period in 2024. The loss in the prior year was driven primarily by the goodwill impairment expense of $8.2 million recognized in the first quarter of 2024 and absorption of overhead on reduced sales after the sale of Crosman in June 2024. Segment operating margin was (1.4)% in the nine months ended September 30, 2025 as compared to (16.6)% in the nine months ended September 30, 2024. Despite an improvement in gross margin in the first nine months of 2025 as compared to the comparable period in 2024 attributable to the sale of the Crosman product line, the decrease in net sales led to a decrease in operating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82" w:name="page83"/>
    <w:bookmarkEnd w:id="82"/>
    <w:p>
      <w:pPr>
        <w:jc w:val="both"/>
        <w:spacing w:after="0" w:line="287" w:lineRule="auto"/>
        <w:rPr>
          <w:sz w:val="20"/>
          <w:szCs w:val="20"/>
          <w:color w:val="auto"/>
        </w:rPr>
      </w:pPr>
      <w:r>
        <w:rPr>
          <w:rFonts w:ascii="Arial" w:cs="Arial" w:eastAsia="Arial" w:hAnsi="Arial"/>
          <w:sz w:val="18"/>
          <w:szCs w:val="18"/>
          <w:color w:val="auto"/>
        </w:rPr>
        <w:t>expense leverage, with selling, general and administrative expense as a percentage of net sales of 25.2% in the nine months ended September 30, 2025 as compared to 26.0% in the nine months ended September 30,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239,386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157,746</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rPr>
              <w:t>81,640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51.8 %</w:t>
            </w: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nine months ended September 30, 2025 were $ 239.4 million, an increase of $81.6 million, or 51.8%, compared to net sales of $157.7 million in the nine months ended September 30, 2024. The increase in net sales during the period was driven by the acquisition of Lifoam in October 2024. Lifoam contributed $111.2 million in net sales in the first nine months of 2025. The increase in net sales attributable to Lifoam was offset by lower sales due to reduced demand in the industrial white goods market, shifting market conditions in the perishable and cold chain markets, and supplier diversification initiatives undertaken by several of Altor's customers.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ind w:right="204"/>
              <w:spacing w:after="0"/>
              <w:rPr>
                <w:sz w:val="20"/>
                <w:szCs w:val="20"/>
                <w:color w:val="auto"/>
              </w:rPr>
            </w:pPr>
            <w:r>
              <w:rPr>
                <w:rFonts w:ascii="Arial" w:cs="Arial" w:eastAsia="Arial" w:hAnsi="Arial"/>
                <w:sz w:val="15"/>
                <w:szCs w:val="15"/>
                <w:b w:val="1"/>
                <w:bCs w:val="1"/>
                <w:color w:val="auto"/>
              </w:rPr>
              <w:t>Increase (Decrease)</w:t>
            </w: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17,418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17,787</w:t>
            </w:r>
          </w:p>
        </w:tc>
        <w:tc>
          <w:tcPr>
            <w:tcW w:w="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444"/>
              <w:spacing w:after="0"/>
              <w:rPr>
                <w:sz w:val="20"/>
                <w:szCs w:val="20"/>
                <w:color w:val="auto"/>
              </w:rPr>
            </w:pPr>
            <w:r>
              <w:rPr>
                <w:rFonts w:ascii="Arial" w:cs="Arial" w:eastAsia="Arial" w:hAnsi="Arial"/>
                <w:sz w:val="15"/>
                <w:szCs w:val="15"/>
                <w:color w:val="auto"/>
              </w:rPr>
              <w:t>(369)</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11.3 %</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(4.0)%</w:t>
            </w: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Segment operating income was $17.4 million in the nine months ended September 30, 2025, a decrease of $0.4 million as compared to the nine months ended September 30, 2024. Segment operating margin was 7.3% in the first nine months of 2025 as compared to 11.3% in the first nine months of 2024, with the decrease driven by a reduction in fixed cost of goods sold coverage due to lower sales levels on the non-Lifoam portion of the business, increases in selling, general and administrative costs related to the acquisition and integration activities and increases in amortization expense related to the Lifoam acquisition. Gross profit as a percentage of net sales was 25.9% in the nine months ended September 30, 2025 and 30.0% in the nine months ended September 30, 2024, while selling, general and administrative expense as a percentage of net sales was 14.0% in the nine months ended September 30, 2025 as compared to 13.8% in the nine months ended September 30,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110,126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130,545</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rPr>
              <w:t>(20,419)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w:t>
            </w: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nine months ended September 30, 2025 were approximately $110.1 million, a decrease of $20.4 million compared to net sales of $130.5 million in the same period in 2024. The decrease in net sales is primarily a result of lower demand in various markets, delays in production startup at new facilities and material and production restraints.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196"/>
        </w:trPr>
        <w:tc>
          <w:tcPr>
            <w:tcW w:w="37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September 30, 2024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right="20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14,905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(14,408)</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w:t>
            </w:r>
          </w:p>
        </w:tc>
      </w:t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(11.0)%</w:t>
            </w:r>
          </w:p>
        </w:tc>
        <w:tc>
          <w:tcPr>
            <w:tcW w:w="74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nine months ended September 30, 2025 was approximately $0.5 million, a decrease of $14.4 million when compared to the same period in 2024. The decrease in segment operating income was driven by the sales shortfall, unfavorable product mix, executive transition costs and non-recurring move related expenses. Segment operating margin was 0.5% in the first nine months of 2025 as compared to 11.4% in the first nine months of 2024.</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Sterno</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60" w:type="dxa"/>
            <w:vAlign w:val="bottom"/>
          </w:tcPr>
          <w:p>
            <w:pPr>
              <w:spacing w:after="0"/>
              <w:rPr>
                <w:sz w:val="17"/>
                <w:szCs w:val="17"/>
                <w:color w:val="auto"/>
              </w:rPr>
            </w:pPr>
          </w:p>
        </w:tc>
        <w:tc>
          <w:tcPr>
            <w:tcW w:w="206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216,346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223,814</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(7,468)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r>
    </w:tbl>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nine months ended September 30, 2025 were approximately $216.3 million, a decrease of $7.5 million, or 3.3%, compared to net sales of $223.8 million in the same period in 2024. The net sales variance reflects a decrease in sales volume attributed to non-recurring customer promotional activity as compared to the prior year and category softness in both the food service and home fragrance product line resulting from the impact of tariffs on pricing.</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September 30, 2025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September 30, 2024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ind w:right="364"/>
              <w:spacing w:after="0"/>
              <w:rPr>
                <w:sz w:val="20"/>
                <w:szCs w:val="20"/>
                <w:color w:val="auto"/>
              </w:rPr>
            </w:pPr>
            <w:r>
              <w:rPr>
                <w:rFonts w:ascii="Arial" w:cs="Arial" w:eastAsia="Arial" w:hAnsi="Arial"/>
                <w:sz w:val="15"/>
                <w:szCs w:val="15"/>
                <w:b w:val="1"/>
                <w:bCs w:val="1"/>
                <w:color w:val="auto"/>
              </w:rPr>
              <w:t>Increase (Decrease)</w:t>
            </w: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27,284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19,626</w:t>
            </w:r>
          </w:p>
        </w:tc>
        <w:tc>
          <w:tcPr>
            <w:tcW w:w="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7,658</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39.0 %</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8.8 %</w:t>
            </w:r>
          </w:p>
        </w:tc>
        <w:tc>
          <w:tcPr>
            <w:tcW w:w="20" w:type="dxa"/>
            <w:vAlign w:val="bottom"/>
            <w:vMerge w:val="continue"/>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nine months ended September 30, 2025 was approximately $27.3 million, an increase of $7.7 million compared to the nine months ended September 30, 2024, driven primarily by an increase in gross profit of $3.3 million and reduced amortization expense for intangibles that have been fully amortized (amortization expense decreased $4.5 million year over year). Segment operating margin was 12.6% in the first nine months of 2025 as compared to 8.8% in the first nine months of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 cash primarily from the operations of our subsidiaries, and we have the ability to borrow under our 2022 Credit Facility to fund our operating, investing and financing activities. Our principal uses of cash are operating expenses, payment of management fees, capital expenditures, working capital needs, debt service, dividends on the preferred shares of the Trust, and strategic growth initiatives, including potential acquisitions. In connection with the Lugano Investigation, we have incurred unanticipated costs for accounting, financing and legal fees in connection with the restatements, including those associated with our entry into forbearance agreements with respect to our credit agreement and indentures due to potential defaults or events of default thereunder. We expect to continue to incur costs, including financing and legal fees related to our financing arrangements and costs related to ongoing securities litigation, resulting from the Lugano Investigation and the restatement of our previously issued financial statements.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9, 2025, the LLC entered into a First Incremental Facility Amendment to its existing Credit Agreement. The Amendment modified the LLC’s Third Amended and Restated Credit Agreement, dated as of July 12, 2022, as amended, among the LLC, the Lenders, the Administrative Agent and the other financial institutions party thereto (the “Credit Agreement”), to provide for (a) an additional advance of the term loan in the aggregate amount of $ 200 million on the date of the Amendment, and (b) delayed draw term loan commitments in the aggregate amount of $100 million which was able to be reduced or terminated by the LLC upon five business days’ notice and pursuant to which the Company may make no more than two draws by July 9, 2025. The proceeds from the Incremental Term Loan and the Incremental Delayed Draw Term Loan were to be used for new acquisitions, working capital, capital expenditures and other general corporate purposes. The Company did not utilize the delayed draw feature and it expired on July 9, 2025.</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7, 2025, the Company disclosed in a Current Report on Form 8-K its intent to delay the filing of its Quarterly Report on Form 10-Q for the quarter ended March 31, 2025 and disclosed non-reliance on its 2024 financial statements as a result of concerns about financing, accounting, and inventory practices at it Lugano subsidiary and irregularities identified in sales, cost of sales, inventory, and accounts receivable recorded by Lugano. Concurrently, the Company also provided notice to Bank of America, N.A., (the "Administrative Agent") in its capacity as Administrative Agent for the Lenders, Swing Line Lender, and L/C Issuer under the 2022 Credit Facility advising of the existence of potential defaults or events of default resulting from the non-reliance on the 2024 financial statements and delayed filing of the March 31, 2025 Form 10-Q (the "Lugano Events of Default").</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May 22, 2025, the LLC entered into a Forbearance Agreement and Second Amendment to Credit Agreement (refer to </w:t>
      </w:r>
      <w:r>
        <w:rPr>
          <w:rFonts w:ascii="Arial" w:cs="Arial" w:eastAsia="Arial" w:hAnsi="Arial"/>
          <w:sz w:val="18"/>
          <w:szCs w:val="18"/>
          <w:u w:val="single" w:color="auto"/>
          <w:color w:val="0000FF"/>
        </w:rPr>
        <w:t>Note H - Debt</w:t>
      </w:r>
      <w:r>
        <w:rPr>
          <w:rFonts w:ascii="Arial" w:cs="Arial" w:eastAsia="Arial" w:hAnsi="Arial"/>
          <w:sz w:val="18"/>
          <w:szCs w:val="18"/>
          <w:color w:val="auto"/>
        </w:rPr>
        <w:t>). Under the Forbearance Agreement and Second Amendment to Credit Agreement, the lenders under the 2022 Credit Facility agreed to honor requests for credit extensions from the Company for revolving loans composed of term SOFR loans with an applicable rate of 2.50% per annum and an interest period of one month; provided, however, that such credit extensions would not cause the lenders’ revolving credit exposures (inclusive of letters of credit obligations) to exceed $40 million.</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forbearance of the lenders, the Forbearance Agreement and Second Amendment to Credit Agreement also amended the 2022 Credit Facility to, among other modifications: (i) reduce the aggregate borrowing amount available for revolving commitments to $100 million; (ii) limit the management fees that were able to be paid by the Company to the Manager to no more than $10.5 million per fiscal quarter (with the amount of such management fees that cannot be paid due to this limitation being available to offset any potential future reduction in management fees as a result of any adjustments for deemed overpayments); (iii) limit the management fees that may be paid by the Company’s subsidiaries to the Manager to no more than $2.0 million per fiscal quarter; (iv) restrict investments by the Company into Lugano to no more than $5 million in the aggregate; (v) impose additional reporting requirements on the Company; (vi) prohibit certain acquisitions and dispositions; and (vii) require that cash-on hand in excess of $10 million as of the last business day of any week be paid by the Company to the Administrative Agent, for the account of the lenders, which payments would be applied to the outstanding revolving loans owing by the Company.</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May 27, 2025, the Company announced the suspension of future distributions on the common shares of the Trust until such time as the Company’s board of directors deems it appropriate to resume such distributions.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25, 2025, the LLC entered into a Second Forbearance Agreement and Third Amendment to Credit Agreement (the “Third Amendment”). Under the Third Amendment, the Lenders would honor requests for credit extensions from the LLC for revolving loans composed of term SOFR loans with an applicable rate of 2.50% per annum and an interest period of one month; provided, however, that such credit extensions would not cause the Lenders’ revolving credit exposures (inclusive of letters of credit obligations) to exceed $60 million. During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5" w:name="page86"/>
    <w:bookmarkEnd w:id="85"/>
    <w:p>
      <w:pPr>
        <w:jc w:val="both"/>
        <w:spacing w:after="0" w:line="262" w:lineRule="auto"/>
        <w:rPr>
          <w:sz w:val="20"/>
          <w:szCs w:val="20"/>
          <w:color w:val="auto"/>
        </w:rPr>
      </w:pPr>
      <w:r>
        <w:rPr>
          <w:rFonts w:ascii="Arial" w:cs="Arial" w:eastAsia="Arial" w:hAnsi="Arial"/>
          <w:sz w:val="18"/>
          <w:szCs w:val="18"/>
          <w:color w:val="auto"/>
        </w:rPr>
        <w:t>Second Forbearance Period, the LLC could make Restricted Payments (as defined in the Credit Agreement), including any dividend or other distribution with respect to equity interests, if, after giving effect to any indebtedness incurred in connection with such payment (a) all cash of the LLC on deposit with the Administrative Agent or subject to a qualifying control account, plus (b) unused borrowing availability, is not less than $10 million; provided, however, that the forgoing is not the exclusive method by which the LLC was able to make Restricted Payments.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forbearance of the Lenders described above, the Third Amendment also amended the Credit Agreement to (i) limit the management fees that were able to be paid by the LLC to the Manager to no more than $ 5 million per fiscal quarter (with the amount of such management fees that could not be paid due to this limitation being available to offset any potential future reduction in management fees as a result of any adjustments for deemed overpayments) and (ii) limit the management fees that could be paid by the LLC’s subsidiaries to the Manager to no more than $2.0 million per fiscal quarter.</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29, 2025, the LLC entered into a Forbearance Agreement (the “Indenture Forbearance Agreement”) with certain holders of the Notes (collectively, the “Supporting Holders”) and, for certain limited purposes described therein, the Trustee, pursuant to which, during the Indenture Forbearance Period (as defined above), the Supporting Holders agreed to forbear, and to direct the Trustee to forbear, from exercising rights and remedies available to them with respect to (i) actual or potential defaults or events of default under the Indentures resulting from any breach of the Indentures’ requirement to provide certain financials within specified time periods, and (ii) any other default or event of default mutually agreed upon between the Supporting Holders and the LLC in writing and delivered to the Trustee (events (i) and (ii), collectively, the “Specified Defaults”). As consideration for entering into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2025, we had $1,017.5 million of indebtedness associated with our 5.250% 2029 Notes, $305.3 million of indebtedness associated with our 5.000% 2032 Notes, $560.0 million outstanding on our 2022 Term Loan and $ 6.0 million outstanding on our 2022 Revolving Credit Facility. Only our 2022 Term Loan has required principal payments. Long-term debt liquidity requirements consist of the payment in full of our Notes upon their respective maturity dates, amounts outstanding under our 2022 Revolving Credit Facility upon its maturity date, and principal payments under our 2022 Term Loan. The 2022 Term Loan requires quarterly payments commencing September 30, 2022, with a final payment of all remaining principal and interest due on July 12, 2027, which is the 2022 Term Loan’s maturity date. At September 30, 2025, approximately 30% of our outstanding debt was subject to interest rate changes.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2025, we had approximately $61.1 million of cash and cash equivalents on hand, an increase of $1.5 million as compared to the year ended December 31, 2024. The majority of our cash is in non-interest bearing checking accounts or invested in short-term money market accounts and is maintained in accordance with the Company’s investment policy, which identifies allowable investments and specifies credit quality standards. Net availability under the 2022 Revolving Credit Facility after giving effect to the Third Amendment and during the Second Forbearance Period at September 30, 2025 was $30.0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 in cash and cash equivalents for the nine months ended September 30, 2025 and 2024 is as follows :</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480" w:type="dxa"/>
            <w:vAlign w:val="bottom"/>
            <w:tcBorders>
              <w:top w:val="single" w:sz="8" w:color="auto"/>
              <w:bottom w:val="single" w:sz="8" w:color="auto"/>
            </w:tcBorders>
            <w:gridSpan w:val="4"/>
          </w:tcPr>
          <w:p>
            <w:pPr>
              <w:jc w:val="right"/>
              <w:ind w:right="1519"/>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2025</w:t>
            </w:r>
          </w:p>
        </w:tc>
        <w:tc>
          <w:tcPr>
            <w:tcW w:w="220" w:type="dxa"/>
            <w:vAlign w:val="bottom"/>
          </w:tcPr>
          <w:p>
            <w:pPr>
              <w:spacing w:after="0"/>
              <w:rPr>
                <w:sz w:val="18"/>
                <w:szCs w:val="18"/>
                <w:color w:val="auto"/>
              </w:rPr>
            </w:pPr>
          </w:p>
        </w:tc>
        <w:tc>
          <w:tcPr>
            <w:tcW w:w="2020" w:type="dxa"/>
            <w:vAlign w:val="bottom"/>
          </w:tcPr>
          <w:p>
            <w:pPr>
              <w:jc w:val="right"/>
              <w:ind w:right="299"/>
              <w:spacing w:after="0"/>
              <w:rPr>
                <w:sz w:val="20"/>
                <w:szCs w:val="20"/>
                <w:color w:val="auto"/>
              </w:rPr>
            </w:pPr>
            <w:r>
              <w:rPr>
                <w:rFonts w:ascii="Arial" w:cs="Arial" w:eastAsia="Arial" w:hAnsi="Arial"/>
                <w:sz w:val="16"/>
                <w:szCs w:val="16"/>
                <w:b w:val="1"/>
                <w:bCs w:val="1"/>
                <w:color w:val="auto"/>
              </w:rPr>
              <w:t>September 30, 2024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(As Restated)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6"/>
                <w:szCs w:val="16"/>
                <w:color w:val="auto"/>
              </w:rPr>
              <w:t>Operating activities</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(53,834)</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(134,980)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Investing activities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6"/>
                <w:szCs w:val="16"/>
                <w:color w:val="auto"/>
              </w:rPr>
              <w:t>Financing activities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86,055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108,252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exchange rates on cash and cash equivalents</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8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2"/>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9A9A9A"/>
            </w:tcBorders>
          </w:tcPr>
          <w:p>
            <w:pPr>
              <w:spacing w:after="0"/>
              <w:rPr>
                <w:sz w:val="14"/>
                <w:szCs w:val="14"/>
                <w:color w:val="auto"/>
              </w:rPr>
            </w:pPr>
          </w:p>
        </w:tc>
        <w:tc>
          <w:tcPr>
            <w:tcW w:w="46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Going Concern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its Quarterly Reports on Form 10-Q for the fiscal quarters ended March 31, 2025 and June 30, 2025, filed with the Securities and Exchange Commission (the "SEC") on December 18, 2025 and December 29, 2025, respectively, and its 2024 Annual Report on Form 10-K/A filed with the SEC on December 8, 2025, the Company disclosed that it was not in compliance with certain financial and other covenants under its 2022 Credit Facility, and that its forbearance agreement providing relief for such events of noncompliance was scheduled to expire on December 19, 2025. On December 19, 2025, the Company entered into the Fifth Amendment to its 2022 Credit Facility, which waived all existing events of default and reset certain financial covenants under the 2022 Credit Facility. Accordingly, as of the date of filing this Form 10-Q, the Company is in compliance with the non-financial covenants under its 2022 Credit Facility, as amended.</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2022 Credit Facility provides that the financial covenants thereunder will not be tested again until the Company’s prepares and files its consolidated financial statements for the fiscal year ended December 31, 2025, which the Company expects to occur on or before March 31, 2026. In evaluating the Company’s ability to continue as a going concern under Accounting Standard Codification Topic (ASC) 205, </w:t>
      </w:r>
      <w:r>
        <w:rPr>
          <w:rFonts w:ascii="Arial" w:cs="Arial" w:eastAsia="Arial" w:hAnsi="Arial"/>
          <w:sz w:val="18"/>
          <w:szCs w:val="18"/>
          <w:i w:val="1"/>
          <w:iCs w:val="1"/>
          <w:color w:val="auto"/>
        </w:rPr>
        <w:t xml:space="preserve">Presentation of Financial Statements - Going Concern </w:t>
      </w:r>
      <w:r>
        <w:rPr>
          <w:rFonts w:ascii="Arial" w:cs="Arial" w:eastAsia="Arial" w:hAnsi="Arial"/>
          <w:sz w:val="18"/>
          <w:szCs w:val="18"/>
          <w:color w:val="auto"/>
        </w:rPr>
        <w:t>(ASC 205-40) (which requires consideration of conditions and events within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these consolidated financial statements are issued), management considered, among other matters, the Company’s recent covenant noncompliance, the timing of the next financial-covenant test, and the Company’s projected operating results and leverage for the evaluation period. These projections are subject to significant uncertainty and are sensitive to, among other factors, operating performance, working capital requirements, and the Company’s ability to achieve planned initiatives. Additionally, even if the Company is in compliance with the reset financial covenants under the Fifth Amendment, pursuant to a letter agreement entered into in connection with the Fifth Amendment, if the Company does not maintain a Consolidated Total Leverage Ratio (as defined in the Credit Facility) of less than 4.50:1.00 as of specified quarter-end dates beginning with the fiscal quarter ending June 30, 2026, the Company will be required to pay milestone fees to the administrative agent for the ratable benefit of the lenders in amounts that increase over time, subject to certain conditions.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Company were unable to comply with the amended financial covenants when next tested and is otherwise unable to obtain amendments, waivers, or other relief, the lenders under the 2022 Credit Facility could exercise available remedies, including but not limited to declaring borrowings due and payable, discontinuing further lending commitments, imposing cash-management controls, and instructing customers to remit payments directly to the administrative agent. If borrowings under the 2022 Credit Facility were accelerated and the acceleration were not rescinded, annulled, or otherwise cured within thirty (30) days after the notice of acceleration, the holders of the 5.250% Senior Notes due 2029 (the “2029 Notes” or “2029 Senior Notes”) and 5.000% Senior Notes due 2032 (the “2032 Notes” or “2032 Senior Notes”) would have the right to declare the notes due and payable in accordance with the applicable indentures.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Fifth Amendment provides relief from existing events of default, it does not eliminate the risk that the Company may be unable to comply with the amended covenants when they are next tested. Any additional amendments, waivers, or other relief that may be required are not solely within the Company’s control and therefore cannot be considered a probable mitigating plan for purposes of alleviating substantial doubt under ASC 205-40. Accordingly, management has concluded, applying the going-concern guidance under U.S. GAAP, that these conditions continue to raise substantial doubt about the Company’s ability to continue as a going concern within one year after the date the consolidated financial statements included in this Form 10-Q are issued.</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pursuing various operational and financial initiatives intended to strengthen liquidity and reduce leverage, which may include potential subsidiary divestitures, working-capital and cost-reduction actions, potential strategic transactions involving real estate, and actions to maximize recoveries in connection with Lugano’s Chapter 11 proceedings. If successfully executed, these plans (together with expected operating cash flow from the Company’s operating subsidiaries excluding Lugano) could enhance the Company’s ability to continue to operate and meet its obligations; however, because these initiatives are not committed or fully within management’s control, they have not been assumed in the Company’s going concern evaluation and may not be achieved on the timetable necessary to alleviate the substantial doubt described above.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assumes the Company will continue to realize its assets and satisfy its liabilities in the ordinary course of business. For additional information regarding the impact of the Company’s covenant noncompliance on the classification of the Company’s indebtedness, see “</w:t>
      </w:r>
      <w:r>
        <w:rPr>
          <w:rFonts w:ascii="Arial" w:cs="Arial" w:eastAsia="Arial" w:hAnsi="Arial"/>
          <w:sz w:val="18"/>
          <w:szCs w:val="18"/>
          <w:u w:val="single" w:color="auto"/>
          <w:color w:val="0000FF"/>
        </w:rPr>
        <w:t>Note H – Debt</w:t>
      </w:r>
      <w:r>
        <w:rPr>
          <w:rFonts w:ascii="Arial" w:cs="Arial" w:eastAsia="Arial" w:hAnsi="Arial"/>
          <w:sz w:val="18"/>
          <w:szCs w:val="18"/>
          <w:color w:val="auto"/>
        </w:rPr>
        <w:t>” in the “Notes to Condensed Consolidated Financial Statements” in this Form 10-Q.</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2025, cash flows used in operating activities totaled approximately $53.8 million, which represents a $81.1 million decrease in cash use compared to cash used in operating activities of $135.0 million during the nine-month period ended September 30, 2024. Cash used in operating activities for working capital for the nine months ended September 30, 2025 was $12.5 million, as compared to cash used in operating activities for working capital of $31.7 million for the nine months ended September 30, 2024. We typically have a higher usage of cash for working capital in the first half of the year as most of our subsidiaries will build up inventories after the fourth quarter of the prior year. The decrease in cash used for working capital in the current year primarily reflects the impact of the Lugano Investigation on inventory purchases at Lugano. In the prior year, Lugano had higher levels of inventory purchases (as restated) while in the current year, there was limited inventory purchases after the Lugano Investigation began in April 2025. Working capital usage at the Company's other eight operating segments was consistent with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flows used in investing activities for the nine months ended September 30, 2025 totaled $33.1 million, compared to cash used in investing activities of $ 352.3 million in the same period of 2024. In the prior year, cash used in investing activities reflects our acquisition of The Honey Pot Co. in January 2024 and the proceeds of $58.5 million from the sale of the Crosman division of Velocity Outdoor, while investing activities in the current year is primarily capital expenditures. Capital expenditures spend increased $0.3 million during the nine months ended September 30, 2025 as compared to the nine months ended September 30, 2024, with $34.2 million in capital expenditures in 2025 and $ 33.8 million in capital expenditures in 2024. We expect capital expenditures for the full year of 2025 to be between approximately $50 million to $60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flows provided by financing activities totaled approximately $86.1 million during the nine months ended September 30, 2025 compared to cash flows provided by financing activities of $108.3 million during the nine months ended September 30, 2024. Financing activities in the current year reflects $ 58.9 million in Trust preferred shares issued under our at-the-market share offering program while financing activities in the first nine months of 2024 reflects $ 35.0 million in Trust common and preferred shares issued under our at-the-market share offering program. In the current year, we added an additional $200 million in outstanding term loan, a portion of which was used to repay amounts outstanding under our revolving credit facility. The total net borrowings under the credit facility in the nine months ended September 30, 2025 were $81 million. In the prior year comparable period, we had net borrowings under the credit facility of $46 million. The prior year cash provided by financing activities also reflects the amount of equity investment made by noncontrolling shareholders related to the acquisition of The Honey Pot Co. ($41.7 million). Financing activities in both periods reflect the payment of our preferred share distributions, and prior period financing cash flows includes the payment of the profit allocation from the sale of Marucci to the Allocation Interest Holders of $48.9 million. Financing Activities also reflect payment of the Company's common share distribution of $37.6 million in the nine months ended September 30, 2025 and $ 56.6 million in the nine months ended September 30, 2024. In the current year, the Company suspended common share distributions in May, therefore no common distribution was made subsequent to May 2025.</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Lugano business entered into various financing arrangements with third parties that resulted in debt being recorded. In the six months ended September 30, 2025 and 2024, the net cash flows provided by these financing arrangements totaled $18.6 million and $57.4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component of our acquisition financing strategy that we utilize in acquiring the subsidiary businesses we own and manage is to provide both equity capital and debt capital, raised at the parent level through our existing credit facility. Our strategy of providing intercompany debt financing within the capital structure of our subsidiaries allows us the ability to distribute cash to the parent company through monthly interest payments and amortization of the principal on these intercompany loans. Each loan to our subsidiary businesses has a scheduled maturity and each subsidiary business is entitled to repay all or a portion of the principal amount of the outstanding loans, without penalty, prior to maturity. Certain of our subsidiaries have paid down their respective intercompany debt balances through the cash flow generated by these subsidiaries and we have recapitalized, and expect to continue to recapitalize, these subsidiaries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We will from time to time, amend the intercompany credit agreements to reflect changes in the business or funding needs of our businesses.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amendments have been made in the time period indicated: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made several amendments to the Lugano intercompany credit agreement to allow Lugano to continue to expand its operations and build inventory to support its salon expansion. Amendments were made to the Lugano intercompany credit agreement in the first quarter of 2025 and the first, second, third and fourth quarter of 2024.</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first quarter of 2024, we amended the PrimaLoft intercompany credit agreement to amend the fixed charge ratio and leverage ratio covenants contained within its intercompany credit agreement.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of 2024, we amended the Velocity intercompany credit agreement to reflect the sale of the Crosman division. The amendment revises the principal payments due under the credit facility and waives the fixed charge coverage covenant for the quarters ended June 30, 2024 and September 30, 2024.</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2024, we amended the Arnold intercompany credit agreement to increase the amount of the term loan outstanding under the credit agreement. Arnold was in the process of relocating two of their product divisions to a new facility at the time of the amendment. Arnold incurred total expense of approximately $13.0 million in the year ended December 31, 2024, and an additional $0.9 million in costs in the first quarter of 2025 related to the relocation of the two facilities. Arnold exceeded the capital expenditure spend that was permitted under the amendment and was granted a waiver at December 31, 2024, March 31, 2025 and June 30, 2025. At September 30, 2025, Arnold was not in compliance with the fixed charge coverage ratio and leverage ratio covenants contained within its intercompany credit agreement. In the fourth quarter of 2025, we amended the Arnold credit agreement to increase the amount of availability under the revolving credit facility and to waive the covenant violations at September 30, 2025.</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fourth quarter of 2024, we amended the Altor intercompany credit agreement to increase the amount of the term loan to finance the acquisition of Lifoam on October 1, 2024, and extended the term of the intercompany credit agreement by an additional three years.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first quarter of 2025, we amended the Velocity intercompany credit agreement to amend the applicable fixed charge coverage ratio covenant and the applicable Total Debt to EBITDA ratio covenant. Velocity was not in compliance with the fixed charge coverage ratio or leverage ratio in their intercompany credit agreement at September 30, 2025 and was granted a waiver for the covenant violations.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subsidiaries were in compliance with the financial covenants included within their intercompany credit arrangements at September 30, 2025 except Lugano, Velocity and Arnold. Velocity and Arnold received waivers related to the fixed charge ratio and leverage ratio covenants in their intercompany credit agreement. As a result of the restatement of Lugano's historical financial information, Lugano was not in compliance with the covenants in its intercompany credit agreement with the Company at March 31, 2025. On June 6, 2025, the Company issued a Notice of Default to Lugano for failure to comply with the intercompany credit agreement (the "Lugano Defaults"). On August 29, 2025, the Company entered into a forbearance agreement with Lugano (the Lugano Forbearance Agreement"). In accordance with the Lugano Forbearance Agreement, as amended, the Company agreed to forbear from exercising its rights and remedies as a lender under the Lugano intercompany credit agreement due to the Lugano Defaults. The Lugano Forbearance Agreement, as amended, was in effect until November 16, 2025 when Lugano filed for bankruptcy protection.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9" w:name="page90"/>
    <w:bookmarkEnd w:id="89"/>
    <w:p>
      <w:pPr>
        <w:jc w:val="both"/>
        <w:spacing w:after="0" w:line="287" w:lineRule="auto"/>
        <w:rPr>
          <w:sz w:val="20"/>
          <w:szCs w:val="20"/>
          <w:color w:val="auto"/>
        </w:rPr>
      </w:pPr>
      <w:r>
        <w:rPr>
          <w:rFonts w:ascii="Arial" w:cs="Arial" w:eastAsia="Arial" w:hAnsi="Arial"/>
          <w:sz w:val="18"/>
          <w:szCs w:val="18"/>
          <w:color w:val="auto"/>
        </w:rPr>
        <w:t>All intercompany loans eliminate in consolidation and are not reflected in the consolidated balance sheet. As of September 30, 2025, we had the following outstanding loans due from each of our subsidiary businesses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5" w:lineRule="exact"/>
        <w:rPr>
          <w:sz w:val="20"/>
          <w:szCs w:val="20"/>
          <w:color w:val="auto"/>
        </w:rPr>
      </w:pPr>
    </w:p>
    <w:tbl>
      <w:tblPr>
        <w:tblLayout w:type="fixed"/>
        <w:tblInd w:w="2920" w:type="dxa"/>
        <w:tblCellMar>
          <w:top w:w="0" w:type="dxa"/>
          <w:left w:w="0" w:type="dxa"/>
          <w:bottom w:w="0" w:type="dxa"/>
          <w:right w:w="0" w:type="dxa"/>
        </w:tblCellMar>
      </w:tblPr>
      <w:tr>
        <w:trPr>
          <w:trHeight w:val="229"/>
        </w:trPr>
        <w:tc>
          <w:tcPr>
            <w:tcW w:w="3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Subsidiary</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Intercompany loan</w:t>
            </w: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164,395</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140,531</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678,399</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PrimaLoft</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150,669</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86,500</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61,900</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172,569</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87,084</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59,713</w:t>
            </w:r>
          </w:p>
        </w:tc>
      </w:tr>
      <w:tr>
        <w:trPr>
          <w:trHeight w:val="209"/>
        </w:trPr>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intercompany debt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1,601,760</w:t>
            </w:r>
          </w:p>
        </w:tc>
      </w:tr>
      <w:tr>
        <w:trPr>
          <w:trHeight w:val="21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(1,601,760)</w:t>
            </w:r>
          </w:p>
        </w:tc>
      </w:tr>
      <w:tr>
        <w:trPr>
          <w:trHeight w:val="210"/>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subsidiaries. Accordingly, we are dependent upon the earnings of and cash flow from these businesses, which are available for (i) operating expenses; (ii) payment of principal and interest under our applicable credit facility and interest on our Senior Notes; (iii) payments to CGM due pursuant to the MSA and payments to Sostratus LLC pursuant to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Credit Facility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12, 2022, we entered into the Third Amended and Restated Credit Agreement (as amended from time to time, the "2022 Credit Facility" or the “Credit Agreement”). The 2022 Credit Facility provided for revolving loans, swing line loans and letters of credit up to a maximum aggregate amount of $600 million (the "2022 Revolving Credit Facility") and also permitted the LLC, prior to the applicable maturity date, to increase the revolving loan commitment and/or obtain term loans in an aggregate amount of up to $250 million, subject to certain restrictions and conditions. All amounts outstanding under the 2022 Revolving Credit Facility will become due on July 12, 2027, which is the maturity date of loans advanced under the 2022 Revolving Credit Facility. The 2022 Credit Facility also provided for a $400 million term loan (the “2022 Term Loan”). In January 2025, the Company entered into an amendment of the 2022 Credit Facility to provide for (a) an additional advance of the term loan in the aggregate amount of $200 million on the date of the amendment, and (b) delayed draw term loan commitments in the aggregate amount of $ 100 million, which was able to be reduced or terminated by the Company upon five business days’ notice and pursuant to which the Company was able to make no more than two draws by July 9, 2025. The initial $200 million draw was used to reduce the amount outstanding under the 2022 Revolving Credit Facility and for general corporate purposes. The 2022 Term Loan requires quarterly payments commencing September 30, 2022, with a final payment of all remaining principal and interest due on July 12, 2027, which is the 2022 Term Loan’s maturity date.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7, 2025 the LLC indicated that it that it intended to delay the filing of its Quarterly Report on Form 10-Q for the first quarter of 2025 as a result of concerns about financing, accounting, and inventory practices at one of its subsidiaries, Lugano Holding, Inc. (“Lugano”), and irregularities identified in sales, cost of sales, inventory, and accounts receivable recorded by Lugano. The LLC also provided notice to the Administrative Agent advising of the existence of potential defaults and/or events of default in connection therewith (collectively, the “Lugano Events of Default”).</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22, 2025, the LLC entered into a Forbearance Agreement and Second Amendment to Credit Agreement (the “Second Amendment”) to its Credit Agreement. The Second Amendment was by and among the LLC, the lenders party thereto, and the Administrative Agent. The Second Amendment provided that the Administrative Agent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0" w:name="page91"/>
    <w:bookmarkEnd w:id="90"/>
    <w:p>
      <w:pPr>
        <w:jc w:val="both"/>
        <w:spacing w:after="0" w:line="260" w:lineRule="auto"/>
        <w:rPr>
          <w:sz w:val="20"/>
          <w:szCs w:val="20"/>
          <w:color w:val="auto"/>
        </w:rPr>
      </w:pPr>
      <w:r>
        <w:rPr>
          <w:rFonts w:ascii="Arial" w:cs="Arial" w:eastAsia="Arial" w:hAnsi="Arial"/>
          <w:sz w:val="18"/>
          <w:szCs w:val="18"/>
          <w:color w:val="auto"/>
        </w:rPr>
        <w:t>and the Lenders would refrain from exercising rights and remedies available to them with respect to the Lugano Events of Default until the earliest of: (a) 11:59 p.m. (Eastern Time) on July 25, 2025; (b) the occurrence of any event of default other than a Lugano Event of Default;</w:t>
      </w:r>
    </w:p>
    <w:p>
      <w:pPr>
        <w:spacing w:after="0" w:line="2" w:lineRule="exact"/>
        <w:rPr>
          <w:sz w:val="20"/>
          <w:szCs w:val="20"/>
          <w:color w:val="auto"/>
        </w:rPr>
      </w:pPr>
    </w:p>
    <w:p>
      <w:pPr>
        <w:jc w:val="both"/>
        <w:ind w:firstLine="8"/>
        <w:spacing w:after="0" w:line="254" w:lineRule="auto"/>
        <w:tabs>
          <w:tab w:leader="none" w:pos="2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breach by the LLC of any covenant or provision of the Second Amendment; (d) a declaration by any holders of the LLC’s 2029 Senior Unsecured Notes of any default or event of default under the Indenture dated as of March 23, 2021 between the LLC and U.S. Bank National Association, as Trustee; and (e) the declaration by the Trustee or any holder of the 2032 Senior Unsecured Notes of any default or event of default under the Indenture dated as of November 27, 2021 between the Borrower and U.S. Bank National Association, as Trustee (the “First Forbearance Period”).</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Forbearance Period, the Lenders under the Credit Agreement agreed to honor requests for credit extensions from the LLC for revolving loans composed of term SOFR loans with an applicable rate of 2.50% per annum and an interest period of one month; provided, however, that such credit extensions were not to cause the Lenders’ revolving credit exposures (inclusive of letters of credit obligations) to exceed $40 million. Lenders representing at least 50% of the total credit exposure of all Lenders under the Credit Agreement were able, in their discretion, to approve additional revolving borrowings by the LLC in an amount not to exceed an aggregate of $10 million. The funds provided were able to be used by the LLC for working capital, capital expenditures, general corporate purposes, and any other purpose of the LLC not otherwise prohibited under the Credit Agreement.</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forbearance of the lenders described above, the First Forbearance Agreement also amended the Credit Agreement to, among other modifications: (i) reduce the aggregate borrowing amount available for revolving commitments to $100 million; (ii) limit the management fees that could be paid by the LLC to Compass Group Management LLC (the "Manager") to no more than $10.5 million per fiscal quarter (with the amount of such management fees that could not be paid due to this limitation being available to offset any potential future reduction in management fees as a result of any adjustments for deemed overpayments); (iii) limit the management fees that may be paid by the LLC’s subsidiaries to the Manager to no more than $2.0 million per fiscal quarter; (iv) restrict investments by the LLC into Lugano to no more than $5 million in the aggregate; (v) impose additional reporting requirements on the LLC; (vi) prohibit certain acquisitions and dispositions; and (vii) require that cash-on hand in excess of $10 million as of the last business day of any week be paid by the LLC to the Administrative Agent, for the account of the lenders, which payments would be applied to the outstanding revolving loans owing by the LLC and (ix) terminate the commitment of the Lenders to advance Incremental Delayed Draw Term Loans. On May 22, 2025, the Manager delivered to the Company a waiver agreeing to the management fee limitations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Forbearance Agreement and Third Amendment of Credit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25, 2025, the LLC entered into a Second Forbearance Agreement and Third Amendment to Credit Agreement (the “Third Amendment”) to its Credit Agreement. The Third Amendment was by and among the LLC, the lenders party thereto, and the Administrative Agent.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Third Amendment provided that the Administrative Agent and the Lenders would refrain from exercising rights and remedies available to them with respect to the Lugano Events of Default until the earliest of: (a) 11:59 p.m. (Eastern Time) on October 24, 2025; (b) the occurrence of any event of default other than a Lugano Event of Default; (c) the breach by the LLC of any covenant or provision of the Third Amendment;</w:t>
      </w:r>
    </w:p>
    <w:p>
      <w:pPr>
        <w:spacing w:after="0" w:line="1" w:lineRule="exact"/>
        <w:rPr>
          <w:sz w:val="20"/>
          <w:szCs w:val="20"/>
          <w:color w:val="auto"/>
        </w:rPr>
      </w:pPr>
    </w:p>
    <w:p>
      <w:pPr>
        <w:jc w:val="both"/>
        <w:ind w:firstLine="8"/>
        <w:spacing w:after="0" w:line="253" w:lineRule="auto"/>
        <w:tabs>
          <w:tab w:leader="none" w:pos="2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declaration by the trustee or any holders of the LLC’s 2029 Senior Unsecured Notes of any default or event of default under the Indenture dated as of March 23, 2021 between the LLC and U.S. Bank National Association, as trustee, for which a forbearance agreement was not executed with the LLC within five business days after the date of such declaration; and (e) the declaration by the trustee or any holder of the 2032 Senior Unsecured Notes of any default or event of default under the Indenture dated as of November 27, 2021 between the LLC and U.S. Bank National Association, as trustee, for which a forbearance agreement was not executed with the LLC within five business days after the date of such declaration (the period from July 25, 2025 through the earliest of events (a) through (e) above, the “Second Forbearance Period”).</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Forbearance Period, the Lenders under the Credit Agreement would honor requests for credit extensions from the LLC for revolving loans composed of term SOFR loans with an applicable rate of 2.50% per annum and an interest period of one month; provided, however, that such credit extensions would not cause the Lenders’ revolving credit exposures (inclusive of letters of credit obligations) to exceed $60 million. Lenders representing at least 50% of the total credit exposure of all Lenders under the Credit Agreement were able, in their discretion, to approve additional revolving borrowings by the LLC in an amount not to exceed an aggregate of $10 million. During the Second Forbearance Period, the LLC was able to make Restricted Payments (as defined in the Credit Agreement), including any dividend or other distribution with respect to equity interests, if, after giving effect to any indebtedness incurred in connection with such payment (a) all cash of the LLC on deposit with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1" w:name="page92"/>
    <w:bookmarkEnd w:id="91"/>
    <w:p>
      <w:pPr>
        <w:jc w:val="both"/>
        <w:spacing w:after="0" w:line="287" w:lineRule="auto"/>
        <w:rPr>
          <w:sz w:val="20"/>
          <w:szCs w:val="20"/>
          <w:color w:val="auto"/>
        </w:rPr>
      </w:pPr>
      <w:r>
        <w:rPr>
          <w:rFonts w:ascii="Arial" w:cs="Arial" w:eastAsia="Arial" w:hAnsi="Arial"/>
          <w:sz w:val="18"/>
          <w:szCs w:val="18"/>
          <w:color w:val="auto"/>
        </w:rPr>
        <w:t>Administrative Agent or subject to a qualifying control account, plus (b) unused borrowing availability, was not less than $10 million; provided, however, that the forgoing was not the exclusive method by which the LLC was able to make Restricted Payments.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forbearance of the Lenders described above, the Third Amendment also amended the Credit Agreement to (i) limit the management fees that were able to be paid by the LLC to CGM to no more than $5 million per fiscal quarter (with the amount of such management fees that could not be paid due to this limitation being available to offset any potential future reduction in management fees as a result of any adjustments for deemed overpayments) and (ii) limit the management fees that could be paid by the LLC’s subsidiaries to the Manager to no more than $2.0 million per fiscal quarter. The Third Amendment contains customary representations and warranties.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availability under the 2022 Revolving Credit Facility after giving effect to the First Forbearance Agreement and during the First Forbearance Period was approximately $ 30.0 million at September 30, 2025. The outstanding borrowings under the 2022 Revolving Credit Facility include $4.0 million of outstanding letters of credit at September 30, 2025, which are not reflected on our balance sheet.</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in the "Notes to the Condensed Consolidated Financial Statements" in this Form 10-Q for additional information concerning the 2022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Notes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17, 2021, we consummated the issuance and sale of $300 million aggregate principal amount of our 5.000% Senior Notes due 2032 (the "2032 Notes") offered pursuant to a private offering to qualified institutional buyers in accordance with Rule 144A under the Securities Act of 1933 (the "Securities Act"), and to non-U.S. persons under Regulation S under the Securities Act. The 2032 Notes were issued pursuant to an indenture, dated as of November 17, 2021 (the “2032 Notes Indenture”), between the LLC and U.S. Bank National Association, as trustee. The 2032 Notes bear interest at the rate of 5.000% per annum and will mature on January 15, 2032. Interest on the 2032 Notes is payable in cash on July 15th and January 15th of each year. The 2032 Notes are general unsecured obligations of the LLC and are not guaranteed by our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Notes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and, together with the 2032 Notes, the “Notes”) offered pursuant to a private offering to qualified institutional buyers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144A under the Securities Act, and to non-U.S. persons under Regulation S under the Securities Act. The 2029 Notes were issued pursuant to an indenture, dated as of March 23, 2021 (the “2029 Notes Indenture” and, together with the 2032 Notes Indenture, the “Indentures”), between the LLC and U.S. Bank National Association, as trustee. The 2029 Notes bear interest at the rate of 5.250% per annum and will mature on April 15, 2029. Interest on the 2029 Notes is payable in cash on April 15th and October 15th of each year. The 2029 Notes are general unsecured obligations of the LLC and are not guaranteed by our subsidiaries.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Forbearance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Lugano matters, the LLC maintained regular communication with holders of the LLC’s Notes concerning the existence of the potential for default under the terms of the Indentures in respect of the Lugano matters. To provide the Company with adequate time to complete the restatement of its 2022, 2023, and 2024 financial statements and to file its quarterly reports for the first and second quarters of 2025, on August 29, 2025, the LLC entered into a Forbearance Agreement (the “Indenture Forbearance Agreement”) with certain holders of the Notes (collectively, the “Supporting Holders”) and, for certain limited purposes described therein, the Trustee, pursuant to which, during the Indenture Forbearance Period (as defined below), the Supporting Holders agreed to forbear, and to direct the Trustee to forbear, from exercising rights and remedies available to them with respect to (i) actual or potential defaults or events of default under the Indentures resulting from any breach of the Indentures’ requirement to provide certain financial within specified time periods, and (ii) any other default or event of default mutually agreed upon between the Supporting Holders and the LLC in writing and delivered to the Trustee (events (i) and (ii), collectively, the “Specified Defaults”) until the earliest of: (a) the occurrence or existence of any event of default under the Indentures, other than the Specified Defaults, that is not cured or waived within any applicable grace or cure period under the Indentures; (b) the failure of the LLC to timely comply with any term, condition, or covenant of the Indenture Forbearance Agreement; (c) the termination of the forbearance period provided under the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2" w:name="page93"/>
    <w:bookmarkEnd w:id="92"/>
    <w:p>
      <w:pPr>
        <w:jc w:val="both"/>
        <w:spacing w:after="0" w:line="255" w:lineRule="auto"/>
        <w:rPr>
          <w:sz w:val="20"/>
          <w:szCs w:val="20"/>
          <w:color w:val="auto"/>
        </w:rPr>
      </w:pPr>
      <w:r>
        <w:rPr>
          <w:rFonts w:ascii="Arial" w:cs="Arial" w:eastAsia="Arial" w:hAnsi="Arial"/>
          <w:sz w:val="18"/>
          <w:szCs w:val="18"/>
          <w:color w:val="auto"/>
        </w:rPr>
        <w:t>Second Forbearance Agreement with respect to the Credit Agreement, such forbearance period having not been extended or replaced by another forbearance or similar agreement among the parties thereto within three (3) business days of such termination; (d) the cure of any Specified Default related to any breach of the requirement to provide certain financial information within specified time periods pursuant to Section 4.03 of the Indentures; (e) the LLC’s failure to cause the execution and the delivery of supplemental indentures in respect of each series of Notes substantially in the form provided in the Indenture Forbearance Agreement providing for the payment to the holders of the Notes of the fees specified in the Indenture Forbearance Agreement (or another form reasonably acceptable to the Supporting Holders providing for the payment of the same fees) (the “Supplemental Indentures”), or alternatively the LLC failed to make certain cash fee payment within fifteen business days of August 29, 2025, and (f) 11:59 p.m. ET on October 24, 2025 (the period from August 29, 2025 through the earliest of events (a) through (f) above, the “Indenture Forbearance Period”).</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Indenture Forbearance Period, the Supporting Holders also agreed (1) in the event that the Trustee or any holder or group of holders of the Notes declared the 2029 Notes and/or the 2032 Notes to be due and payable immediately solely as a result of any Specified Default (an “Acceleration”), the Supporting Holders would (a) deliver written notice and direction to the Trustee to rescind and not seek any remedy under the Indenture in connection with such Acceleration in accordance with the terms of the Indentures and (b) take all other action in the Supporting Holders’ power to cause such Acceleration to be rescinded and cancelled, to the extent permitted by the Indentures, and</w:t>
      </w:r>
    </w:p>
    <w:p>
      <w:pPr>
        <w:spacing w:after="0" w:line="3" w:lineRule="exact"/>
        <w:rPr>
          <w:sz w:val="20"/>
          <w:szCs w:val="20"/>
          <w:color w:val="auto"/>
        </w:rPr>
      </w:pPr>
    </w:p>
    <w:p>
      <w:pPr>
        <w:jc w:val="both"/>
        <w:ind w:firstLine="8"/>
        <w:spacing w:after="0" w:line="258" w:lineRule="auto"/>
        <w:tabs>
          <w:tab w:leader="none" w:pos="2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to transfer any right, title or interest in their respective Notes, unless (x) such transferee was a party to the Indenture Forbearance Agreement or (y) the transferee executed a joinder agreeing to be bound by the terms of the Indenture Forbearance Agreement if such transferee was not already a party to the Indenture Forbearance Agreement.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consideration for entering into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Indentures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9, 2025, the LLC entered into (a) a second supplemental indenture by and between the LLC and the Trustee amending and supplementing the 2029 Notes Indenture (the “2029 Second Supplemental Indenture”); and (b) a second supplemental indenture (the “2032 Second Supplemental Indenture” and, together with the 2029 Second Supplemental Indenture, the “Supplemental Indentures”) by and between the LLC and the Trustee, amending and supplementing the 2032 Notes Indenture.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Supplemental Indentures: (a) amended and restated Section 2.01(a) of each of the Indentures to (i) require all Notes to be in minimum denominations of $1.00 and integral multiples of $1.00 in excess thereof and (ii) authorize the payment of the PIK Payments (defined below), payable in kind as an increase in the principal amount of the Global Notes (as defined in the Indentures) held by Cede &amp; Co., as nominee for the Depositary (as defined in the Indentures); and (b) added a new Section 4.19 to each of the Indentures (i) requiring the LLC to make (A) a special one-time payment in kind (the “Fixed PIK Payment”) on September 17, 2025 (the “Fixed PIK Payment Date”) in an amount equal to $17.50 per $1,000 of the principal amount of the Notes outstanding to the holders of such Notes as of September 16, 2025; and (B) an additional interest payment on the Notes (the “Interest PIK Payment” and, together with the Fixed PIK Payment, the “PIK Payments”) at a rate of 5.00% per annum for each day during the period beginning on, and including, August 1, 2025 and ending on the earlier of (X) October 24, 2025 and (Y) the date of delivery to the Trustee of restated audited annual financials for fiscal years 2022, 2023, and 2024 and unaudited financials for the first quarter of fiscal year 2025.</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4.19(c), PIK Payments on the Notes were payable by increasing the principal amount of the outstanding Global Notes by an amount equal to the amount of the applicable PIK Payment (rounded down to the nearest whole dollar) as directed by the LLC. Such increased principal amount is fungible with the Notes issued prior to the applicable date of such PIK Payment and will bear interest from the most recent interest payment date on the Notes prior to the applicable date of such PIK Payment. The principal of all Notes resulting from a PIK Payment will mature on the maturity dates of the Notes.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27, 2025, the Trustee delivered a notice of default under the Indentures related to the Company’s failure to deliver to the Trustee the Company’s consolidated financial statements for the fiscal quarter ending March 31, 2025 within the time period required under the Indenture Forbearance Agreement. The Company completed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3" w:name="page94"/>
    <w:bookmarkEnd w:id="93"/>
    <w:p>
      <w:pPr>
        <w:jc w:val="both"/>
        <w:ind w:right="20"/>
        <w:spacing w:after="0" w:line="287" w:lineRule="auto"/>
        <w:rPr>
          <w:sz w:val="20"/>
          <w:szCs w:val="20"/>
          <w:color w:val="auto"/>
        </w:rPr>
      </w:pPr>
      <w:r>
        <w:rPr>
          <w:rFonts w:ascii="Arial" w:cs="Arial" w:eastAsia="Arial" w:hAnsi="Arial"/>
          <w:sz w:val="18"/>
          <w:szCs w:val="18"/>
          <w:color w:val="auto"/>
        </w:rPr>
        <w:t>delivery of its consolidated financial statements for the fiscal quarter ending March 31, 2025 on December 19, 2025, within a sixty (60) day cure period provided under the Indentures to remedy such defaults.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our 2022 Credit Facility are subject to certain conditions and customary events of default, including, without limitation, failure to make payments, cross-default to certain other debt, breaches of covenants, breaches of representations and warranties, a change in control, certain monetary judgments, and bankruptcy and ERISA events. Upon any such event of default, the principal amount of any unpaid loans and all other obligations under the 2022 Credit Facility may be declared immediately due and payable and any letters of credit then outstanding may be required to be cash collateralized, and the Agent and the Lenders may exercise any rights or remedies available to them under the 2022 Credit Facility.</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restatement of financial information as of December 31, 2024, 2023, and 2022 and for the fiscal years ended December 31, 2024, 2023, and 2022 as well as the interim periods in the fiscal years ended December 31, 2024, 2023, and 2022, the Company was not in compliance with the financial covenants in the 2022 Credit Facility as of the year ended December 31, 2024, and had not received forbearance or other relief from its lenders as of that date. The Company entered into the First Forbearance Agreement on May 22, 2025, which waived an event of default related to the Company's failure to comply with the financial covenants in the 2022 Credit Facility as of June 30, 2025. The Company entered into the Second Forbearance Agreement on July 25, 2025, which waived an event of default related to the Company's failure to comply with the financial covenants in the 2022 Credit Facility as of September 30, 2025. However, the Company would have been in violation of the financial covenants in the 2022 Credit Facility without the relief granted by the First Forbearance Agreement and the Third Amendment and Second Forbearance Agreement. Accordingly, the Company has classified outstanding borrowings under the 2022 Term Loan and 2022 Revolving Credit facility as current at September 30, 2025 and December 31, 2024 in the Consolidated Financial Statements. Furthermore, because the 2029 Notes and 2032 Notes may have been subject to acceleration had the lenders under the 2022 Credit Facility exercised their acceleration rights, the 2029 Notes and 2032 Notes have also been classified as current at September 30, 2025 and December 31, 2024 in the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3680" w:type="dxa"/>
            <w:vAlign w:val="bottom"/>
            <w:tcBorders>
              <w:top w:val="single" w:sz="8" w:color="auto"/>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3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20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credit facilities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26,978</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Interest on Senior Notes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84,874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50,625</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Unused fee on Revolving Credit Facility</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r>
      <w:tr>
        <w:trPr>
          <w:trHeight w:val="216"/>
        </w:trPr>
        <w:tc>
          <w:tcPr>
            <w:tcW w:w="5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interest expense </w:t>
            </w:r>
            <w:r>
              <w:rPr>
                <w:rFonts w:ascii="Arial" w:cs="Arial" w:eastAsia="Arial" w:hAnsi="Arial"/>
                <w:sz w:val="21"/>
                <w:szCs w:val="21"/>
                <w:b w:val="1"/>
                <w:bCs w:val="1"/>
                <w:color w:val="auto"/>
                <w:vertAlign w:val="superscript"/>
              </w:rPr>
              <w:t>(1)</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9,263</w:t>
            </w: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w:t>
            </w:r>
          </w:p>
        </w:tc>
      </w:tr>
      <w:tr>
        <w:trPr>
          <w:trHeight w:val="210"/>
        </w:trPr>
        <w:tc>
          <w:tcPr>
            <w:tcW w:w="5380" w:type="dxa"/>
            <w:vAlign w:val="bottom"/>
          </w:tcPr>
          <w:p>
            <w:pPr>
              <w:ind w:left="340"/>
              <w:spacing w:after="0"/>
              <w:rPr>
                <w:sz w:val="20"/>
                <w:szCs w:val="20"/>
                <w:color w:val="auto"/>
              </w:rPr>
            </w:pPr>
            <w:r>
              <w:rPr>
                <w:rFonts w:ascii="Arial" w:cs="Arial" w:eastAsia="Arial" w:hAnsi="Arial"/>
                <w:sz w:val="16"/>
                <w:szCs w:val="16"/>
                <w:color w:val="auto"/>
              </w:rPr>
              <w:t>Interest expense, net</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136,668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86,483</w:t>
            </w:r>
          </w:p>
        </w:tc>
      </w:tr>
      <w:tr>
        <w:trPr>
          <w:trHeight w:val="20"/>
        </w:trPr>
        <w:tc>
          <w:tcPr>
            <w:tcW w:w="5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1"/>
          <w:szCs w:val="21"/>
          <w:b w:val="1"/>
          <w:bCs w:val="1"/>
          <w:color w:val="auto"/>
          <w:vertAlign w:val="superscript"/>
        </w:rPr>
      </w:pPr>
      <w:r>
        <w:rPr>
          <w:rFonts w:ascii="Arial" w:cs="Arial" w:eastAsia="Arial" w:hAnsi="Arial"/>
          <w:sz w:val="16"/>
          <w:szCs w:val="16"/>
          <w:color w:val="auto"/>
        </w:rPr>
        <w:t>Other interest expense includes interest amounts related to Lugano financing arrangements.</w:t>
      </w: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310" w:lineRule="exact"/>
        <w:rPr>
          <w:rFonts w:ascii="Arial" w:cs="Arial" w:eastAsia="Arial" w:hAnsi="Arial"/>
          <w:sz w:val="21"/>
          <w:szCs w:val="21"/>
          <w:b w:val="1"/>
          <w:bCs w:val="1"/>
          <w:color w:val="auto"/>
          <w:vertAlign w:val="superscript"/>
        </w:rPr>
      </w:pPr>
    </w:p>
    <w:p>
      <w:pPr>
        <w:ind w:left="5540"/>
        <w:spacing w:after="0"/>
        <w:rPr>
          <w:rFonts w:ascii="Arial" w:cs="Arial" w:eastAsia="Arial" w:hAnsi="Arial"/>
          <w:sz w:val="21"/>
          <w:szCs w:val="21"/>
          <w:b w:val="1"/>
          <w:bCs w:val="1"/>
          <w:color w:val="auto"/>
          <w:vertAlign w:val="superscript"/>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4" w:name="page95"/>
    <w:bookmarkEnd w:id="94"/>
    <w:p>
      <w:pPr>
        <w:jc w:val="both"/>
        <w:spacing w:after="0" w:line="287" w:lineRule="auto"/>
        <w:rPr>
          <w:sz w:val="20"/>
          <w:szCs w:val="20"/>
          <w:color w:val="auto"/>
        </w:rPr>
      </w:pPr>
      <w:r>
        <w:rPr>
          <w:rFonts w:ascii="Arial" w:cs="Arial" w:eastAsia="Arial" w:hAnsi="Arial"/>
          <w:sz w:val="18"/>
          <w:szCs w:val="18"/>
          <w:color w:val="auto"/>
        </w:rPr>
        <w:t xml:space="preserve">The following table provides the effective interest rate of the Company’s outstanding debt at September 30, 2025 and December 31, 2024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 2025</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2024</w:t>
            </w:r>
          </w:p>
        </w:tc>
        <w:tc>
          <w:tcPr>
            <w:tcW w:w="1020" w:type="dxa"/>
            <w:vAlign w:val="bottom"/>
            <w:tcBorders>
              <w:bottom w:val="single" w:sz="8" w:color="auto"/>
            </w:tcBorders>
          </w:tcPr>
          <w:p>
            <w:pPr>
              <w:spacing w:after="0"/>
              <w:rPr>
                <w:sz w:val="18"/>
                <w:szCs w:val="18"/>
                <w:color w:val="auto"/>
              </w:rPr>
            </w:pPr>
          </w:p>
        </w:tc>
      </w:tr>
      <w:tr>
        <w:trPr>
          <w:trHeight w:val="195"/>
        </w:trPr>
        <w:tc>
          <w:tcPr>
            <w:tcW w:w="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Effective Interest Rate</w:t>
            </w:r>
          </w:p>
        </w:tc>
        <w:tc>
          <w:tcPr>
            <w:tcW w:w="28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Effective Interest Rate</w:t>
            </w:r>
          </w:p>
        </w:tc>
        <w:tc>
          <w:tcPr>
            <w:tcW w:w="400" w:type="dxa"/>
            <w:vAlign w:val="bottom"/>
          </w:tcPr>
          <w:p>
            <w:pPr>
              <w:spacing w:after="0"/>
              <w:rPr>
                <w:sz w:val="16"/>
                <w:szCs w:val="16"/>
                <w:color w:val="auto"/>
              </w:rPr>
            </w:pPr>
          </w:p>
        </w:tc>
        <w:tc>
          <w:tcPr>
            <w:tcW w:w="1020" w:type="dxa"/>
            <w:vAlign w:val="bottom"/>
          </w:tcPr>
          <w:p>
            <w:pPr>
              <w:jc w:val="right"/>
              <w:ind w:right="3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w:t>
            </w: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8.76%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1,017,500</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5"/>
        </w:trPr>
        <w:tc>
          <w:tcPr>
            <w:tcW w:w="400" w:type="dxa"/>
            <w:vAlign w:val="bottom"/>
          </w:tcPr>
          <w:p>
            <w:pPr>
              <w:ind w:left="20"/>
              <w:spacing w:after="0"/>
              <w:rPr>
                <w:sz w:val="20"/>
                <w:szCs w:val="20"/>
                <w:color w:val="auto"/>
              </w:rPr>
            </w:pPr>
            <w:r>
              <w:rPr>
                <w:rFonts w:ascii="Arial" w:cs="Arial" w:eastAsia="Arial" w:hAnsi="Arial"/>
                <w:sz w:val="16"/>
                <w:szCs w:val="16"/>
                <w:color w:val="auto"/>
              </w:rPr>
              <w:t>2032</w:t>
            </w:r>
          </w:p>
        </w:tc>
        <w:tc>
          <w:tcPr>
            <w:tcW w:w="3920" w:type="dxa"/>
            <w:vAlign w:val="bottom"/>
          </w:tcPr>
          <w:p>
            <w:pPr>
              <w:ind w:left="40"/>
              <w:spacing w:after="0"/>
              <w:rPr>
                <w:sz w:val="20"/>
                <w:szCs w:val="20"/>
                <w:color w:val="auto"/>
              </w:rPr>
            </w:pPr>
            <w:r>
              <w:rPr>
                <w:rFonts w:ascii="Arial" w:cs="Arial" w:eastAsia="Arial" w:hAnsi="Arial"/>
                <w:sz w:val="16"/>
                <w:szCs w:val="16"/>
                <w:color w:val="auto"/>
              </w:rPr>
              <w:t>Senior Notes</w:t>
            </w:r>
          </w:p>
        </w:tc>
        <w:tc>
          <w:tcPr>
            <w:tcW w:w="2000" w:type="dxa"/>
            <w:vAlign w:val="bottom"/>
          </w:tcPr>
          <w:p>
            <w:pPr>
              <w:jc w:val="center"/>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305,250</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7"/>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560,000</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r>
      <w:tr>
        <w:trPr>
          <w:trHeight w:val="215"/>
        </w:trPr>
        <w:tc>
          <w:tcPr>
            <w:tcW w:w="400" w:type="dxa"/>
            <w:vAlign w:val="bottom"/>
          </w:tcPr>
          <w:p>
            <w:pPr>
              <w:ind w:left="20"/>
              <w:spacing w:after="0"/>
              <w:rPr>
                <w:sz w:val="20"/>
                <w:szCs w:val="20"/>
                <w:color w:val="auto"/>
              </w:rPr>
            </w:pPr>
            <w:r>
              <w:rPr>
                <w:rFonts w:ascii="Arial" w:cs="Arial" w:eastAsia="Arial" w:hAnsi="Arial"/>
                <w:sz w:val="16"/>
                <w:szCs w:val="16"/>
                <w:color w:val="auto"/>
              </w:rPr>
              <w:t>2022</w:t>
            </w:r>
          </w:p>
        </w:tc>
        <w:tc>
          <w:tcPr>
            <w:tcW w:w="3920" w:type="dxa"/>
            <w:vAlign w:val="bottom"/>
          </w:tcPr>
          <w:p>
            <w:pPr>
              <w:ind w:left="40"/>
              <w:spacing w:after="0"/>
              <w:rPr>
                <w:sz w:val="20"/>
                <w:szCs w:val="20"/>
                <w:color w:val="auto"/>
              </w:rPr>
            </w:pPr>
            <w:r>
              <w:rPr>
                <w:rFonts w:ascii="Arial" w:cs="Arial" w:eastAsia="Arial" w:hAnsi="Arial"/>
                <w:sz w:val="16"/>
                <w:szCs w:val="16"/>
                <w:color w:val="auto"/>
              </w:rPr>
              <w:t>Revolving Credit Facility</w:t>
            </w:r>
          </w:p>
        </w:tc>
        <w:tc>
          <w:tcPr>
            <w:tcW w:w="2000" w:type="dxa"/>
            <w:vAlign w:val="bottom"/>
          </w:tcPr>
          <w:p>
            <w:pPr>
              <w:jc w:val="center"/>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6,000</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110,000</w:t>
            </w: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(9,898)</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(10,710)</w:t>
            </w:r>
          </w:p>
        </w:tc>
      </w:tr>
      <w:tr>
        <w:trPr>
          <w:trHeight w:val="210"/>
        </w:trPr>
        <w:tc>
          <w:tcPr>
            <w:tcW w:w="4320" w:type="dxa"/>
            <w:vAlign w:val="bottom"/>
            <w:gridSpan w:val="2"/>
          </w:tcPr>
          <w:p>
            <w:pPr>
              <w:ind w:left="360"/>
              <w:spacing w:after="0"/>
              <w:rPr>
                <w:sz w:val="20"/>
                <w:szCs w:val="20"/>
                <w:color w:val="auto"/>
              </w:rPr>
            </w:pPr>
            <w:r>
              <w:rPr>
                <w:rFonts w:ascii="Arial" w:cs="Arial" w:eastAsia="Arial" w:hAnsi="Arial"/>
                <w:sz w:val="16"/>
                <w:szCs w:val="16"/>
                <w:color w:val="auto"/>
              </w:rPr>
              <w:t>Total debt outstanding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1,878,852</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1,774,290</w:t>
            </w:r>
          </w:p>
        </w:tc>
      </w:tr>
      <w:tr>
        <w:trPr>
          <w:trHeight w:val="21"/>
        </w:trPr>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included information to reconcile non-GAAP financial measures for the periods presented to the most directly comparable GAAP financial measure. We use non-GAAP information for financial and operational decision-making purposes and as a means to evaluate the underlying performance of our business and/or in forecasting our business. We believe that the presentation of such non-GAAP information, when considered in conjunction with the most directly comparable GAAP information, provides additional useful information for investors in their assessment of the underlying performance of our business. The presentation of these non-GAAP financial measures supplements other metrics we use to internally evaluate our subsidiary businesses and facilitate the comparison of past and present operations. These measures are not intended to replace the presentation of financial results in accordance with U.S. GAAP, and may be different from or otherwise inconsistent with non-GAAP financial measures used by other companies.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tables below reconcile the most directly comparable GAAP financial measures to Adjusted earnings before Interest, Income Taxes, Depreciation and Amortization ("Adjusted EBITDA") and Adjusted Earnings.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 EBITDA is calculated as net income (loss) from continuing operations before interest expense, income 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(benefit), depreciation expense and amortization expense. Amortization expenses consist of amortization of intangibles, amortization of inventory step-up associated with purchase price allocations of our acquisitions, and debt charges, including debt issuance costs. Adjusted EBITDA is calculated utilizing the same calculation as described in arriving at EBITDA further adjusted 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(iii) impairment charges, which reflect write downs to goodwill or other intangible assets;</w:t>
      </w:r>
    </w:p>
    <w:p>
      <w:pPr>
        <w:spacing w:after="0" w:line="3" w:lineRule="exact"/>
        <w:rPr>
          <w:sz w:val="20"/>
          <w:szCs w:val="20"/>
          <w:color w:val="auto"/>
        </w:rPr>
      </w:pPr>
    </w:p>
    <w:p>
      <w:pPr>
        <w:jc w:val="both"/>
        <w:ind w:firstLine="8"/>
        <w:spacing w:after="0" w:line="258" w:lineRule="auto"/>
        <w:tabs>
          <w:tab w:leader="none" w:pos="3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subsequent to initial purchase accounting, (v) integration service fees, which reflect fees paid by newly acquired companies to the Manager for integration services performed during the first year of ownership; and (vi) items of other income or expense that are material to a subsidiary and non-recurring in nature.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Adjusted Earnings </w:t>
      </w:r>
      <w:r>
        <w:rPr>
          <w:rFonts w:ascii="Arial" w:cs="Arial" w:eastAsia="Arial" w:hAnsi="Arial"/>
          <w:sz w:val="18"/>
          <w:szCs w:val="18"/>
          <w:color w:val="auto"/>
        </w:rPr>
        <w:t>–– Adjusted earnings is calculated as net income (loss) adjusted to include the cost of the distributions to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and adjusted to exclude the impact of certain costs, expenses, gains and losses and other specified items the exclusion of which management believes provides insight regarding our ongoing operating performance. Depending on the period presented, these adjusted measures exclude the impact of certain of the following items: gains (losses) and income (loss) from discontinued operations, income (loss) from noncontrolling interest, amortization expense, subsidiary stock compensation expense, acquisition-related expenses and items of other income or expense that may be material to a subsidiary and non-recurring in nature.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5" w:name="page96"/>
    <w:bookmarkEnd w:id="95"/>
    <w:p>
      <w:pPr>
        <w:jc w:val="both"/>
        <w:spacing w:after="0" w:line="257" w:lineRule="auto"/>
        <w:rPr>
          <w:sz w:val="20"/>
          <w:szCs w:val="20"/>
          <w:color w:val="auto"/>
        </w:rPr>
      </w:pPr>
      <w:r>
        <w:rPr>
          <w:rFonts w:ascii="Arial" w:cs="Arial" w:eastAsia="Arial" w:hAnsi="Arial"/>
          <w:sz w:val="18"/>
          <w:szCs w:val="18"/>
          <w:color w:val="auto"/>
        </w:rPr>
        <w:t>Adjusted EBITDA and Adjusted Earnings are non-GAAP measures used by the Company to assess its performance. We believe that Adjusted EBITDA and Adjusted Earnings provide useful information to investors and reflect important financial measures that are used by management in the monthly analysis of our operating results and in preparation of our annual budgets. We believe that investors’ understanding of our performance is enhanced by disclosing these performance measures as this presentation allows investors to view the performance of our businesses in a manner similar to the methods used by us and the management of our subsidiary businesses, provides additional insight into our operating results and provides a measure for evaluating targeted businesses for acquisition.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and Adjusted Earnings exclude the effects of items which reflect the impact of long-term investment decisions, rather than the performance of near-term operations. When compared to net income (loss) and net income (loss) from continuing operations, Adjusted Earnings and Adjusted EBITDA, respectively, are each limited in that they do not reflect the periodic costs of certain capital assets used in generating revenues of our subsidiary businesses or the non-cash charges associated with impairments, as well as certain cash charges. The presentation of Adjusted Earnings provides insight into our operating results. Adjusted EBITDA and Adjusted Earnings are not meant to be a substitute for GAAP, and may be different from or otherwise inconsistent with non-GAAP financial measures used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Net income (loss) from continuing operations to Adjusted EBITDA</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tables reconcile </w:t>
      </w:r>
      <w:r>
        <w:rPr>
          <w:rFonts w:ascii="Arial" w:cs="Arial" w:eastAsia="Arial" w:hAnsi="Arial"/>
          <w:sz w:val="18"/>
          <w:szCs w:val="18"/>
          <w:i w:val="1"/>
          <w:iCs w:val="1"/>
          <w:color w:val="auto"/>
        </w:rPr>
        <w:t>Adj</w:t>
      </w:r>
      <w:r>
        <w:rPr>
          <w:rFonts w:ascii="Arial" w:cs="Arial" w:eastAsia="Arial" w:hAnsi="Arial"/>
          <w:sz w:val="18"/>
          <w:szCs w:val="18"/>
          <w:color w:val="auto"/>
        </w:rPr>
        <w:t>u</w:t>
      </w:r>
      <w:r>
        <w:rPr>
          <w:rFonts w:ascii="Arial" w:cs="Arial" w:eastAsia="Arial" w:hAnsi="Arial"/>
          <w:sz w:val="18"/>
          <w:szCs w:val="18"/>
          <w:i w:val="1"/>
          <w:iCs w:val="1"/>
          <w:color w:val="auto"/>
        </w:rPr>
        <w:t>sted EBITDA</w:t>
      </w:r>
      <w:r>
        <w:rPr>
          <w:rFonts w:ascii="Arial" w:cs="Arial" w:eastAsia="Arial" w:hAnsi="Arial"/>
          <w:sz w:val="18"/>
          <w:szCs w:val="18"/>
          <w:color w:val="auto"/>
        </w:rPr>
        <w:t xml:space="preserve"> to net income (loss) from continuing operations,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6" w:name="page97"/>
    <w:bookmarkEnd w:id="96"/>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988695</wp:posOffset>
            </wp:positionV>
            <wp:extent cx="64719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jc w:val="center"/>
        <w:ind w:right="700"/>
        <w:spacing w:after="0"/>
        <w:rPr>
          <w:sz w:val="20"/>
          <w:szCs w:val="20"/>
          <w:color w:val="auto"/>
        </w:rPr>
      </w:pPr>
      <w:r>
        <w:rPr>
          <w:rFonts w:ascii="Arial" w:cs="Arial" w:eastAsia="Arial" w:hAnsi="Arial"/>
          <w:sz w:val="16"/>
          <w:szCs w:val="16"/>
          <w:b w:val="1"/>
          <w:bCs w:val="1"/>
          <w:color w:val="auto"/>
        </w:rPr>
        <w:t>Adjusted EBITDA</w:t>
      </w:r>
    </w:p>
    <w:p>
      <w:pPr>
        <w:spacing w:after="0" w:line="39"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Nine months ended September 30,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6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rPr>
              <w:t>Corporate</w:t>
            </w:r>
          </w:p>
        </w:tc>
        <w:tc>
          <w:tcPr>
            <w:tcW w:w="6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3"/>
                <w:szCs w:val="13"/>
                <w:b w:val="1"/>
                <w:bCs w:val="1"/>
                <w:color w:val="auto"/>
              </w:rPr>
              <w:t>5.11</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BOA</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Lugano</w:t>
            </w:r>
          </w:p>
        </w:tc>
        <w:tc>
          <w:tcPr>
            <w:tcW w:w="8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rPr>
              <w:t>PrimaLoft</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THP</w:t>
            </w:r>
          </w:p>
        </w:tc>
        <w:tc>
          <w:tcPr>
            <w:tcW w:w="78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Velocity</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Altor</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Arnold</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Sterno</w:t>
            </w:r>
          </w:p>
        </w:tc>
        <w:tc>
          <w:tcPr>
            <w:tcW w:w="9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Outdoor</w:t>
            </w: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0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Net income (loss) from</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(105,368)</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w w:val="99"/>
              </w:rPr>
              <w:t>$ 18,392</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22,656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(154,653)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(4,710)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2,785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(5,413)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(7,395)</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15,963</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(217,251)</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continuing operations</w:t>
            </w: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20"/>
                <w:szCs w:val="20"/>
                <w:color w:val="auto"/>
              </w:rPr>
            </w:pPr>
            <w:r>
              <w:rPr>
                <w:rFonts w:ascii="Arial" w:cs="Arial" w:eastAsia="Arial" w:hAnsi="Arial"/>
                <w:sz w:val="14"/>
                <w:szCs w:val="14"/>
                <w:color w:val="auto"/>
              </w:rPr>
              <w:t>Adjusted for:</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200"/>
              <w:spacing w:after="0" w:line="153" w:lineRule="exact"/>
              <w:rPr>
                <w:sz w:val="20"/>
                <w:szCs w:val="20"/>
                <w:color w:val="auto"/>
              </w:rPr>
            </w:pPr>
            <w:r>
              <w:rPr>
                <w:rFonts w:ascii="Arial" w:cs="Arial" w:eastAsia="Arial" w:hAnsi="Arial"/>
                <w:sz w:val="14"/>
                <w:szCs w:val="14"/>
                <w:color w:val="auto"/>
              </w:rPr>
              <w:t>Provision (benefit) for</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9,601</w:t>
            </w: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5,468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3,796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846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1,172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5,124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25,659</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0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115,406</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20,846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136,668</w:t>
            </w: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200"/>
              <w:spacing w:after="0" w:line="153" w:lineRule="exact"/>
              <w:rPr>
                <w:sz w:val="20"/>
                <w:szCs w:val="20"/>
                <w:color w:val="auto"/>
              </w:rPr>
            </w:pPr>
            <w:r>
              <w:rPr>
                <w:rFonts w:ascii="Arial" w:cs="Arial" w:eastAsia="Arial" w:hAnsi="Arial"/>
                <w:sz w:val="14"/>
                <w:szCs w:val="14"/>
                <w:color w:val="auto"/>
              </w:rPr>
              <w:t>Intercompany</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(121,688)</w:t>
            </w: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10,910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11,235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48,360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12,180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7,371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5,004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13,980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6,186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6,462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0"/>
              <w:spacing w:after="0" w:line="149" w:lineRule="exact"/>
              <w:rPr>
                <w:sz w:val="20"/>
                <w:szCs w:val="20"/>
                <w:color w:val="auto"/>
              </w:rPr>
            </w:pPr>
            <w:r>
              <w:rPr>
                <w:rFonts w:ascii="Arial" w:cs="Arial" w:eastAsia="Arial" w:hAnsi="Arial"/>
                <w:sz w:val="14"/>
                <w:szCs w:val="14"/>
                <w:color w:val="auto"/>
              </w:rPr>
              <w:t>Loss on debt</w:t>
            </w:r>
          </w:p>
        </w:tc>
        <w:tc>
          <w:tcPr>
            <w:tcW w:w="100" w:type="dxa"/>
            <w:vAlign w:val="bottom"/>
          </w:tcPr>
          <w:p>
            <w:pPr>
              <w:spacing w:after="0"/>
              <w:rPr>
                <w:sz w:val="12"/>
                <w:szCs w:val="12"/>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2,827</w:t>
            </w:r>
          </w:p>
        </w:tc>
        <w:tc>
          <w:tcPr>
            <w:tcW w:w="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189"/>
        </w:trPr>
        <w:tc>
          <w:tcPr>
            <w:tcW w:w="1600" w:type="dxa"/>
            <w:vAlign w:val="bottom"/>
          </w:tcPr>
          <w:p>
            <w:pPr>
              <w:ind w:left="200"/>
              <w:spacing w:after="0"/>
              <w:rPr>
                <w:sz w:val="20"/>
                <w:szCs w:val="20"/>
                <w:color w:val="auto"/>
              </w:rPr>
            </w:pPr>
            <w:r>
              <w:rPr>
                <w:rFonts w:ascii="Arial" w:cs="Arial" w:eastAsia="Arial" w:hAnsi="Arial"/>
                <w:sz w:val="14"/>
                <w:szCs w:val="14"/>
                <w:color w:val="auto"/>
              </w:rPr>
              <w:t>modification</w:t>
            </w: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16,746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15,749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15,950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w w:val="97"/>
              </w:rPr>
              <w:t>12,475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4,090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8,062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10,522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106,891</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20"/>
                <w:szCs w:val="20"/>
                <w:color w:val="auto"/>
              </w:rPr>
            </w:pPr>
            <w:r>
              <w:rPr>
                <w:rFonts w:ascii="Arial" w:cs="Arial" w:eastAsia="Arial" w:hAnsi="Arial"/>
                <w:sz w:val="14"/>
                <w:szCs w:val="14"/>
                <w:b w:val="1"/>
                <w:bCs w:val="1"/>
                <w:i w:val="1"/>
                <w:iCs w:val="1"/>
                <w:color w:val="auto"/>
              </w:rPr>
              <w:t>EBITDA</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(99,505)</w:t>
            </w:r>
          </w:p>
        </w:tc>
        <w:tc>
          <w:tcPr>
            <w:tcW w:w="8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51,513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53,433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(81,909)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22,887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w w:val="97"/>
              </w:rPr>
              <w:t>23,469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3,730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34,636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8,469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38,071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54,794</w:t>
            </w:r>
          </w:p>
        </w:tc>
        <w:tc>
          <w:tcPr>
            <w:tcW w:w="0" w:type="dxa"/>
            <w:vAlign w:val="bottom"/>
          </w:tcPr>
          <w:p>
            <w:pPr>
              <w:spacing w:after="0"/>
              <w:rPr>
                <w:sz w:val="1"/>
                <w:szCs w:val="1"/>
                <w:color w:val="auto"/>
              </w:rPr>
            </w:pPr>
          </w:p>
        </w:tc>
      </w:tr>
      <w:tr>
        <w:trPr>
          <w:trHeight w:val="150"/>
        </w:trPr>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(income)</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13,017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14,311</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200"/>
              <w:spacing w:after="0" w:line="14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Pr>
          <w:p>
            <w:pPr>
              <w:ind w:left="200"/>
              <w:spacing w:after="0" w:line="139" w:lineRule="exact"/>
              <w:rPr>
                <w:sz w:val="20"/>
                <w:szCs w:val="20"/>
                <w:color w:val="auto"/>
              </w:rPr>
            </w:pPr>
            <w:r>
              <w:rPr>
                <w:rFonts w:ascii="Arial" w:cs="Arial" w:eastAsia="Arial" w:hAnsi="Arial"/>
                <w:sz w:val="14"/>
                <w:szCs w:val="14"/>
                <w:color w:val="auto"/>
              </w:rPr>
              <w:t>shareholder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0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1,738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4,089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1,753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826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818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12,274</w:t>
            </w: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Impairment expense</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31,515</w:t>
            </w:r>
          </w:p>
        </w:tc>
        <w:tc>
          <w:tcPr>
            <w:tcW w:w="0" w:type="dxa"/>
            <w:vAlign w:val="bottom"/>
          </w:tcPr>
          <w:p>
            <w:pPr>
              <w:spacing w:after="0"/>
              <w:rPr>
                <w:sz w:val="1"/>
                <w:szCs w:val="1"/>
                <w:color w:val="auto"/>
              </w:rPr>
            </w:pPr>
          </w:p>
        </w:tc>
      </w:tr>
      <w:tr>
        <w:trPr>
          <w:trHeight w:val="148"/>
        </w:trPr>
        <w:tc>
          <w:tcPr>
            <w:tcW w:w="1600" w:type="dxa"/>
            <w:vAlign w:val="bottom"/>
          </w:tcPr>
          <w:p>
            <w:pPr>
              <w:ind w:left="200"/>
              <w:spacing w:after="0" w:line="149" w:lineRule="exact"/>
              <w:rPr>
                <w:sz w:val="20"/>
                <w:szCs w:val="20"/>
                <w:color w:val="auto"/>
              </w:rPr>
            </w:pPr>
            <w:r>
              <w:rPr>
                <w:rFonts w:ascii="Arial" w:cs="Arial" w:eastAsia="Arial" w:hAnsi="Arial"/>
                <w:sz w:val="14"/>
                <w:szCs w:val="14"/>
                <w:color w:val="auto"/>
              </w:rPr>
              <w:t>Integration services</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1600" w:type="dxa"/>
            <w:vAlign w:val="bottom"/>
          </w:tcPr>
          <w:p>
            <w:pPr>
              <w:ind w:left="200"/>
              <w:spacing w:after="0"/>
              <w:rPr>
                <w:sz w:val="20"/>
                <w:szCs w:val="20"/>
                <w:color w:val="auto"/>
              </w:rPr>
            </w:pPr>
            <w:r>
              <w:rPr>
                <w:rFonts w:ascii="Arial" w:cs="Arial" w:eastAsia="Arial" w:hAnsi="Arial"/>
                <w:sz w:val="14"/>
                <w:szCs w:val="14"/>
                <w:color w:val="auto"/>
              </w:rPr>
              <w:t>fee</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0"/>
              <w:spacing w:after="0" w:line="20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b w:val="1"/>
                <w:bCs w:val="1"/>
                <w:color w:val="auto"/>
                <w:vertAlign w:val="superscript"/>
              </w:rPr>
              <w:t>(1)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8,582</w:t>
            </w:r>
          </w:p>
        </w:tc>
        <w:tc>
          <w:tcPr>
            <w:tcW w:w="0" w:type="dxa"/>
            <w:vAlign w:val="bottom"/>
          </w:tcPr>
          <w:p>
            <w:pPr>
              <w:spacing w:after="0"/>
              <w:rPr>
                <w:sz w:val="1"/>
                <w:szCs w:val="1"/>
                <w:color w:val="auto"/>
              </w:rPr>
            </w:pPr>
          </w:p>
        </w:tc>
      </w:tr>
      <w:tr>
        <w:trPr>
          <w:trHeight w:val="182"/>
        </w:trPr>
        <w:tc>
          <w:tcPr>
            <w:tcW w:w="1600" w:type="dxa"/>
            <w:vAlign w:val="bottom"/>
          </w:tcPr>
          <w:p>
            <w:pPr>
              <w:spacing w:after="0"/>
              <w:rPr>
                <w:sz w:val="20"/>
                <w:szCs w:val="20"/>
                <w:color w:val="auto"/>
              </w:rPr>
            </w:pPr>
            <w:r>
              <w:rPr>
                <w:rFonts w:ascii="Arial" w:cs="Arial" w:eastAsia="Arial" w:hAnsi="Arial"/>
                <w:sz w:val="14"/>
                <w:szCs w:val="14"/>
                <w:b w:val="1"/>
                <w:bCs w:val="1"/>
                <w:i w:val="1"/>
                <w:i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(99,493)</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9"/>
              </w:rPr>
              <w:t>$ 52,857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57,745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(35,192)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24,660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7"/>
              </w:rPr>
              <w:t>25,188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3,379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43,482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10,865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38,860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122,351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80" w:hanging="4"/>
        <w:spacing w:after="0" w:line="277" w:lineRule="auto"/>
        <w:tabs>
          <w:tab w:leader="none" w:pos="455" w:val="left"/>
        </w:tabs>
        <w:numPr>
          <w:ilvl w:val="0"/>
          <w:numId w:val="37"/>
        </w:numPr>
        <w:rPr>
          <w:rFonts w:ascii="Arial" w:cs="Arial" w:eastAsia="Arial" w:hAnsi="Arial"/>
          <w:sz w:val="21"/>
          <w:szCs w:val="21"/>
          <w:b w:val="1"/>
          <w:bCs w:val="1"/>
          <w:color w:val="auto"/>
          <w:vertAlign w:val="superscript"/>
        </w:rPr>
      </w:pPr>
      <w:r>
        <w:rPr>
          <w:rFonts w:ascii="Arial" w:cs="Arial" w:eastAsia="Arial" w:hAnsi="Arial"/>
          <w:sz w:val="16"/>
          <w:szCs w:val="16"/>
          <w:color w:val="auto"/>
        </w:rPr>
        <w:t>Other represents non-recurring operating expenses that are included by management in the calculation of Adjusted EBITDA when analyzing monthly operating results of our subsidiaries. In the current year, the calculation of Adjusted EBITDA for Arnold includes the add-back of certain expenses that have been incurred related to the relocation of two of Arnold's facilities in the United States and costs related to the retirement of the chief executive officer at Arnold. For Altor, other includes the add-back of certain expenses incurred related to restructuring of their facilities after the acquisition of Lifoam.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111125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1194435</wp:posOffset>
            </wp:positionV>
            <wp:extent cx="65919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Adjusted EBITDA</w:t>
      </w:r>
    </w:p>
    <w:p>
      <w:pPr>
        <w:spacing w:after="0" w:line="39"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65919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6"/>
                <w:szCs w:val="16"/>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rPr>
              <w:t>5.11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BOA</w:t>
            </w: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Lugano</w:t>
            </w: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PrimaLoft</w:t>
            </w:r>
          </w:p>
        </w:tc>
        <w:tc>
          <w:tcPr>
            <w:tcW w:w="140" w:type="dxa"/>
            <w:vAlign w:val="bottom"/>
          </w:tcPr>
          <w:p>
            <w:pPr>
              <w:spacing w:after="0"/>
              <w:rPr>
                <w:sz w:val="16"/>
                <w:szCs w:val="1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THP</w:t>
            </w:r>
          </w:p>
        </w:tc>
        <w:tc>
          <w:tcPr>
            <w:tcW w:w="80" w:type="dxa"/>
            <w:vAlign w:val="bottom"/>
          </w:tcPr>
          <w:p>
            <w:pPr>
              <w:spacing w:after="0"/>
              <w:rPr>
                <w:sz w:val="16"/>
                <w:szCs w:val="16"/>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Velocity</w:t>
            </w:r>
          </w:p>
        </w:tc>
        <w:tc>
          <w:tcPr>
            <w:tcW w:w="120" w:type="dxa"/>
            <w:vAlign w:val="bottom"/>
          </w:tcPr>
          <w:p>
            <w:pPr>
              <w:spacing w:after="0"/>
              <w:rPr>
                <w:sz w:val="16"/>
                <w:szCs w:val="16"/>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Altor</w:t>
            </w:r>
          </w:p>
        </w:tc>
        <w:tc>
          <w:tcPr>
            <w:tcW w:w="100" w:type="dxa"/>
            <w:vAlign w:val="bottom"/>
          </w:tcPr>
          <w:p>
            <w:pPr>
              <w:spacing w:after="0"/>
              <w:rPr>
                <w:sz w:val="16"/>
                <w:szCs w:val="16"/>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Arnold</w:t>
            </w:r>
          </w:p>
        </w:tc>
        <w:tc>
          <w:tcPr>
            <w:tcW w:w="100" w:type="dxa"/>
            <w:vAlign w:val="bottom"/>
          </w:tcPr>
          <w:p>
            <w:pPr>
              <w:spacing w:after="0"/>
              <w:rPr>
                <w:sz w:val="16"/>
                <w:szCs w:val="1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Sterno</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44"/>
        </w:trPr>
        <w:tc>
          <w:tcPr>
            <w:tcW w:w="170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(As</w:t>
            </w: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Outdoor</w:t>
            </w: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91"/>
              <w:spacing w:after="0" w:line="135" w:lineRule="exact"/>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Restated)</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91"/>
              <w:spacing w:after="0"/>
              <w:rPr>
                <w:sz w:val="20"/>
                <w:szCs w:val="20"/>
                <w:color w:val="auto"/>
              </w:rPr>
            </w:pPr>
            <w:r>
              <w:rPr>
                <w:rFonts w:ascii="Arial" w:cs="Arial" w:eastAsia="Arial" w:hAnsi="Arial"/>
                <w:sz w:val="13"/>
                <w:szCs w:val="13"/>
                <w:b w:val="1"/>
                <w:bCs w:val="1"/>
                <w:color w:val="auto"/>
              </w:rPr>
              <w:t>Restated)</w:t>
            </w:r>
          </w:p>
        </w:tc>
        <w:tc>
          <w:tcPr>
            <w:tcW w:w="0" w:type="dxa"/>
            <w:vAlign w:val="bottom"/>
          </w:tcPr>
          <w:p>
            <w:pPr>
              <w:spacing w:after="0"/>
              <w:rPr>
                <w:sz w:val="1"/>
                <w:szCs w:val="1"/>
                <w:color w:val="auto"/>
              </w:rPr>
            </w:pPr>
          </w:p>
        </w:tc>
      </w:tr>
      <w:tr>
        <w:trPr>
          <w:trHeight w:val="134"/>
        </w:trPr>
        <w:tc>
          <w:tcPr>
            <w:tcW w:w="17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Net income (loss) from</w:t>
            </w: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continuing operations</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18,594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7,711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(257,350)</w:t>
            </w:r>
          </w:p>
        </w:tc>
        <w:tc>
          <w:tcPr>
            <w:tcW w:w="0" w:type="dxa"/>
            <w:vAlign w:val="bottom"/>
          </w:tcPr>
          <w:p>
            <w:pPr>
              <w:spacing w:after="0"/>
              <w:rPr>
                <w:sz w:val="1"/>
                <w:szCs w:val="1"/>
                <w:color w:val="auto"/>
              </w:rPr>
            </w:pPr>
          </w:p>
        </w:tc>
      </w:tr>
      <w:tr>
        <w:trPr>
          <w:trHeight w:val="198"/>
        </w:trPr>
        <w:tc>
          <w:tcPr>
            <w:tcW w:w="1700" w:type="dxa"/>
            <w:vAlign w:val="bottom"/>
          </w:tcPr>
          <w:p>
            <w:pPr>
              <w:spacing w:after="0"/>
              <w:rPr>
                <w:sz w:val="20"/>
                <w:szCs w:val="20"/>
                <w:color w:val="auto"/>
              </w:rPr>
            </w:pPr>
            <w:r>
              <w:rPr>
                <w:rFonts w:ascii="Arial" w:cs="Arial" w:eastAsia="Arial" w:hAnsi="Arial"/>
                <w:sz w:val="14"/>
                <w:szCs w:val="14"/>
                <w:color w:val="auto"/>
              </w:rPr>
              <w:t>Adjusted for:</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180"/>
              <w:spacing w:after="0" w:line="153" w:lineRule="exact"/>
              <w:rPr>
                <w:sz w:val="20"/>
                <w:szCs w:val="20"/>
                <w:color w:val="auto"/>
              </w:rPr>
            </w:pPr>
            <w:r>
              <w:rPr>
                <w:rFonts w:ascii="Arial" w:cs="Arial" w:eastAsia="Arial" w:hAnsi="Arial"/>
                <w:sz w:val="14"/>
                <w:szCs w:val="14"/>
                <w:color w:val="auto"/>
              </w:rPr>
              <w:t>Provision (benefit) for</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4,792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1,041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7,074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3,192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2,594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21,475</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18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7"/>
                <w:szCs w:val="17"/>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77,280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8,992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86,483</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interest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(115,845)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10,114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40,417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7,827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w:t>
            </w:r>
          </w:p>
        </w:tc>
        <w:tc>
          <w:tcPr>
            <w:tcW w:w="10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624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17,198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16,251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3,865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15,987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14,811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6,679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12,250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6,754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14,850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109,269</w:t>
            </w:r>
          </w:p>
        </w:tc>
        <w:tc>
          <w:tcPr>
            <w:tcW w:w="0" w:type="dxa"/>
            <w:vAlign w:val="bottom"/>
          </w:tcPr>
          <w:p>
            <w:pPr>
              <w:spacing w:after="0"/>
              <w:rPr>
                <w:sz w:val="1"/>
                <w:szCs w:val="1"/>
                <w:color w:val="auto"/>
              </w:rPr>
            </w:pPr>
          </w:p>
        </w:tc>
      </w:tr>
      <w:tr>
        <w:trPr>
          <w:trHeight w:val="189"/>
        </w:trPr>
        <w:tc>
          <w:tcPr>
            <w:tcW w:w="1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EBITDA</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50,695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27,130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34,855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(40,123)</w:t>
            </w: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Other (income)</w:t>
            </w:r>
          </w:p>
        </w:tc>
        <w:tc>
          <w:tcPr>
            <w:tcW w:w="10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121,477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25,734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150,071</w:t>
            </w:r>
          </w:p>
        </w:tc>
        <w:tc>
          <w:tcPr>
            <w:tcW w:w="0" w:type="dxa"/>
            <w:vAlign w:val="bottom"/>
          </w:tcPr>
          <w:p>
            <w:pPr>
              <w:spacing w:after="0"/>
              <w:rPr>
                <w:sz w:val="1"/>
                <w:szCs w:val="1"/>
                <w:color w:val="auto"/>
              </w:rPr>
            </w:pPr>
          </w:p>
        </w:tc>
      </w:tr>
      <w:tr>
        <w:trPr>
          <w:trHeight w:val="189"/>
        </w:trPr>
        <w:tc>
          <w:tcPr>
            <w:tcW w:w="1700" w:type="dxa"/>
            <w:vAlign w:val="bottom"/>
          </w:tcPr>
          <w:p>
            <w:pPr>
              <w:ind w:left="18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shareholder</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1,662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12,288</w:t>
            </w:r>
          </w:p>
        </w:tc>
        <w:tc>
          <w:tcPr>
            <w:tcW w:w="0" w:type="dxa"/>
            <w:vAlign w:val="bottom"/>
          </w:tcPr>
          <w:p>
            <w:pPr>
              <w:spacing w:after="0"/>
              <w:rPr>
                <w:sz w:val="1"/>
                <w:szCs w:val="1"/>
                <w:color w:val="auto"/>
              </w:rPr>
            </w:pPr>
          </w:p>
        </w:tc>
      </w:tr>
      <w:tr>
        <w:trPr>
          <w:trHeight w:val="215"/>
        </w:trPr>
        <w:tc>
          <w:tcPr>
            <w:tcW w:w="1700" w:type="dxa"/>
            <w:vAlign w:val="bottom"/>
          </w:tcPr>
          <w:p>
            <w:pPr>
              <w:ind w:left="180"/>
              <w:spacing w:after="0"/>
              <w:rPr>
                <w:sz w:val="20"/>
                <w:szCs w:val="20"/>
                <w:color w:val="auto"/>
              </w:rPr>
            </w:pPr>
            <w:r>
              <w:rPr>
                <w:rFonts w:ascii="Arial" w:cs="Arial" w:eastAsia="Arial" w:hAnsi="Arial"/>
                <w:sz w:val="14"/>
                <w:szCs w:val="14"/>
                <w:color w:val="auto"/>
              </w:rPr>
              <w:t>Impairment expense</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8,182</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expenses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3,479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3,479</w:t>
            </w:r>
          </w:p>
        </w:tc>
        <w:tc>
          <w:tcPr>
            <w:tcW w:w="0" w:type="dxa"/>
            <w:vAlign w:val="bottom"/>
          </w:tcPr>
          <w:p>
            <w:pPr>
              <w:spacing w:after="0"/>
              <w:rPr>
                <w:sz w:val="1"/>
                <w:szCs w:val="1"/>
                <w:color w:val="auto"/>
              </w:rPr>
            </w:pPr>
          </w:p>
        </w:tc>
      </w:tr>
      <w:tr>
        <w:trPr>
          <w:trHeight w:val="198"/>
        </w:trPr>
        <w:tc>
          <w:tcPr>
            <w:tcW w:w="1700" w:type="dxa"/>
            <w:vAlign w:val="bottom"/>
          </w:tcPr>
          <w:p>
            <w:pPr>
              <w:ind w:left="180"/>
              <w:spacing w:after="0"/>
              <w:rPr>
                <w:sz w:val="20"/>
                <w:szCs w:val="20"/>
                <w:color w:val="auto"/>
              </w:rPr>
            </w:pPr>
            <w:r>
              <w:rPr>
                <w:rFonts w:ascii="Arial" w:cs="Arial" w:eastAsia="Arial" w:hAnsi="Arial"/>
                <w:sz w:val="14"/>
                <w:szCs w:val="14"/>
                <w:color w:val="auto"/>
              </w:rPr>
              <w:t>Integration services fee</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1,750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83"/>
        </w:trPr>
        <w:tc>
          <w:tcPr>
            <w:tcW w:w="1700" w:type="dxa"/>
            <w:vAlign w:val="bottom"/>
          </w:tcPr>
          <w:p>
            <w:pPr>
              <w:spacing w:after="0" w:line="183" w:lineRule="exact"/>
              <w:rPr>
                <w:sz w:val="20"/>
                <w:szCs w:val="20"/>
                <w:color w:val="auto"/>
              </w:rPr>
            </w:pPr>
            <w:r>
              <w:rPr>
                <w:rFonts w:ascii="Arial" w:cs="Arial" w:eastAsia="Arial" w:hAnsi="Arial"/>
                <w:sz w:val="13"/>
                <w:szCs w:val="13"/>
                <w:b w:val="1"/>
                <w:bCs w:val="1"/>
                <w:i w:val="1"/>
                <w:iCs w:val="1"/>
                <w:color w:val="auto"/>
              </w:rPr>
              <w:t xml:space="preserve">Adjusted EBITDA </w:t>
            </w:r>
            <w:r>
              <w:rPr>
                <w:rFonts w:ascii="Arial" w:cs="Arial" w:eastAsia="Arial" w:hAnsi="Arial"/>
                <w:sz w:val="21"/>
                <w:szCs w:val="21"/>
                <w:b w:val="1"/>
                <w:bCs w:val="1"/>
                <w:i w:val="1"/>
                <w:iCs w:val="1"/>
                <w:color w:val="auto"/>
                <w:vertAlign w:val="superscript"/>
              </w:rPr>
              <w:t>(1)</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(65,068)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52,411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56,493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(40,712)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24,334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18,728</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30,593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22,522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35,184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137,015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328"/>
        <w:spacing w:after="0" w:line="278" w:lineRule="auto"/>
        <w:tabs>
          <w:tab w:leader="none" w:pos="231" w:val="left"/>
        </w:tabs>
        <w:numPr>
          <w:ilvl w:val="0"/>
          <w:numId w:val="38"/>
        </w:numPr>
        <w:rPr>
          <w:rFonts w:ascii="Arial" w:cs="Arial" w:eastAsia="Arial" w:hAnsi="Arial"/>
          <w:sz w:val="21"/>
          <w:szCs w:val="21"/>
          <w:b w:val="1"/>
          <w:bCs w:val="1"/>
          <w:color w:val="auto"/>
          <w:vertAlign w:val="superscript"/>
        </w:rPr>
      </w:pPr>
      <w:r>
        <w:rPr>
          <w:rFonts w:ascii="Arial" w:cs="Arial" w:eastAsia="Arial" w:hAnsi="Arial"/>
          <w:sz w:val="16"/>
          <w:szCs w:val="16"/>
          <w:color w:val="auto"/>
        </w:rPr>
        <w:t>As a result of the sale of Ergobaby in December 2024, Adjusted EBITDA does not include $7.7 million that was previously included in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111125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4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u w:val="single" w:color="auto"/>
          <w:color w:val="auto"/>
        </w:rPr>
        <w:t>Reconciliation of Net income (loss) to Adjusted Earnings and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Adjusted Earnings to Net income (loss), which we consider the most comparable GAAP financial measure,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Adjusted Earnings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3900" w:type="dxa"/>
            <w:vAlign w:val="bottom"/>
            <w:tcBorders>
              <w:top w:val="single" w:sz="8" w:color="auto"/>
              <w:bottom w:val="single" w:sz="8" w:color="auto"/>
            </w:tcBorders>
            <w:gridSpan w:val="5"/>
          </w:tcPr>
          <w:p>
            <w:pPr>
              <w:jc w:val="right"/>
              <w:ind w:right="5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b w:val="1"/>
                <w:bCs w:val="1"/>
                <w:color w:val="auto"/>
              </w:rPr>
              <w:t>(As Restated)</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(214,925)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(253,904)</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discontinued operations, net of tax</w:t>
            </w:r>
          </w:p>
        </w:tc>
        <w:tc>
          <w:tcPr>
            <w:tcW w:w="1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6"/>
                <w:szCs w:val="16"/>
                <w:color w:val="auto"/>
              </w:rPr>
              <w:t>Net loss from continuing operations</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(217,251)</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(257,350)</w:t>
            </w:r>
          </w:p>
        </w:tc>
        <w:tc>
          <w:tcPr>
            <w:tcW w:w="0" w:type="dxa"/>
            <w:vAlign w:val="bottom"/>
          </w:tcPr>
          <w:p>
            <w:pPr>
              <w:spacing w:after="0"/>
              <w:rPr>
                <w:sz w:val="1"/>
                <w:szCs w:val="1"/>
                <w:color w:val="auto"/>
              </w:rPr>
            </w:pPr>
          </w:p>
        </w:tc>
      </w:tr>
      <w:tr>
        <w:trPr>
          <w:trHeight w:val="163"/>
        </w:trPr>
        <w:tc>
          <w:tcPr>
            <w:tcW w:w="55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loss from continuing operations attributable to noncontrolling</w:t>
            </w:r>
          </w:p>
        </w:tc>
        <w:tc>
          <w:tcPr>
            <w:tcW w:w="1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(59,700)</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(87,480)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1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6"/>
                <w:szCs w:val="16"/>
                <w:color w:val="auto"/>
              </w:rPr>
              <w:t>Net loss attributable to Holdings - continuing operations</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(157,551)</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(169,870)</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Distributions paid - preferred shares</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(27,863)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(18,491)</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expense - intangibles and inventory step-up</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69,722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75,006</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Impairment expense</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8,182</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of Crosman</w:t>
            </w:r>
          </w:p>
        </w:tc>
        <w:tc>
          <w:tcPr>
            <w:tcW w:w="1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24,218</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Tax effect - loss on sale of Crosman</w:t>
            </w: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7,254</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12,288</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Acquisition expenses</w:t>
            </w: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Integration Services Fee</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Earnings</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(62,446)</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(54,816)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Plus (less):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expense</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31,249</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21,475</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86,483</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Amortization of debt issuance costs</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modification</w:t>
            </w:r>
          </w:p>
        </w:tc>
        <w:tc>
          <w:tcPr>
            <w:tcW w:w="1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Tax effect - loss on sale of Crosman</w:t>
            </w: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(7,254)</w:t>
            </w:r>
          </w:p>
        </w:tc>
        <w:tc>
          <w:tcPr>
            <w:tcW w:w="0" w:type="dxa"/>
            <w:vAlign w:val="bottom"/>
          </w:tcPr>
          <w:p>
            <w:pPr>
              <w:spacing w:after="0"/>
              <w:rPr>
                <w:sz w:val="1"/>
                <w:szCs w:val="1"/>
                <w:color w:val="auto"/>
              </w:rPr>
            </w:pPr>
          </w:p>
        </w:tc>
      </w:tr>
      <w:tr>
        <w:trPr>
          <w:trHeight w:val="163"/>
        </w:trPr>
        <w:tc>
          <w:tcPr>
            <w:tcW w:w="55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Income from continuing operations attributable to noncontrolling</w:t>
            </w:r>
          </w:p>
        </w:tc>
        <w:tc>
          <w:tcPr>
            <w:tcW w:w="1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(59,700)</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(87,480)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1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Distributions paid - preferred shares</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27,863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18,491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125,853</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122,351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entered into the MSA with CGM effective May 16, 2006. The MSA provides for, among other things, CGM to perform services for the LLC in exchange for a management fee paid quarterly, as defined in the MSA. Our Chief Executive Officer is a partner of CGM.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99" w:name="page100"/>
    <w:bookmarkEnd w:id="99"/>
    <w:p>
      <w:pPr>
        <w:jc w:val="both"/>
        <w:spacing w:after="0" w:line="257" w:lineRule="auto"/>
        <w:rPr>
          <w:sz w:val="20"/>
          <w:szCs w:val="20"/>
          <w:color w:val="auto"/>
        </w:rPr>
      </w:pPr>
      <w:r>
        <w:rPr>
          <w:rFonts w:ascii="Arial" w:cs="Arial" w:eastAsia="Arial" w:hAnsi="Arial"/>
          <w:sz w:val="18"/>
          <w:szCs w:val="18"/>
          <w:color w:val="auto"/>
        </w:rPr>
        <w:t>In January 2025, the LLC and the Manager amended the Sixth Amended and Restated Management Services Agreement by entering into a Seventh Amended and Restated Management Services Agreement (the “MSA Amendment”), which restructures the management fee to consist of a base management fee and an incentive management fee. Pursuant to the MSA Amendment, the base management fee will be</w:t>
      </w:r>
    </w:p>
    <w:p>
      <w:pPr>
        <w:spacing w:after="0" w:line="1" w:lineRule="exact"/>
        <w:rPr>
          <w:sz w:val="20"/>
          <w:szCs w:val="20"/>
          <w:color w:val="auto"/>
        </w:rPr>
      </w:pPr>
    </w:p>
    <w:p>
      <w:pPr>
        <w:jc w:val="both"/>
        <w:ind w:firstLine="8"/>
        <w:spacing w:after="0" w:line="252" w:lineRule="auto"/>
        <w:tabs>
          <w:tab w:leader="none" w:pos="2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2% the Company’s adjusted net assets when the adjusted net assets are less than or equal to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of directors. The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the three and nine months ended September 30, 2025 and 2024, the Company incurred the following management fees to CGM, by entity:</w:t>
      </w:r>
    </w:p>
    <w:p>
      <w:pPr>
        <w:spacing w:after="0" w:line="7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BOA</w:t>
            </w:r>
          </w:p>
        </w:tc>
        <w:tc>
          <w:tcPr>
            <w:tcW w:w="240" w:type="dxa"/>
            <w:vAlign w:val="bottom"/>
          </w:tcPr>
          <w:p>
            <w:pPr>
              <w:spacing w:after="0"/>
              <w:rPr>
                <w:sz w:val="18"/>
                <w:szCs w:val="18"/>
                <w:color w:val="auto"/>
              </w:rPr>
            </w:pPr>
          </w:p>
        </w:tc>
        <w:tc>
          <w:tcPr>
            <w:tcW w:w="1460" w:type="dxa"/>
            <w:vAlign w:val="bottom"/>
          </w:tcPr>
          <w:p>
            <w:pPr>
              <w:jc w:val="center"/>
              <w:ind w:left="1079"/>
              <w:spacing w:after="0"/>
              <w:rPr>
                <w:sz w:val="20"/>
                <w:szCs w:val="20"/>
                <w:color w:val="auto"/>
              </w:rPr>
            </w:pPr>
            <w:r>
              <w:rPr>
                <w:rFonts w:ascii="Arial" w:cs="Arial" w:eastAsia="Arial" w:hAnsi="Arial"/>
                <w:sz w:val="16"/>
                <w:szCs w:val="16"/>
                <w:color w:val="auto"/>
                <w:w w:val="97"/>
              </w:rPr>
              <w:t>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7"/>
        </w:trPr>
        <w:tc>
          <w:tcPr>
            <w:tcW w:w="36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Lugano </w:t>
            </w:r>
            <w:r>
              <w:rPr>
                <w:rFonts w:ascii="Arial" w:cs="Arial" w:eastAsia="Arial" w:hAnsi="Arial"/>
                <w:sz w:val="21"/>
                <w:szCs w:val="21"/>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999"/>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PrimaLoft</w:t>
            </w:r>
          </w:p>
        </w:tc>
        <w:tc>
          <w:tcPr>
            <w:tcW w:w="240" w:type="dxa"/>
            <w:vAlign w:val="bottom"/>
          </w:tcPr>
          <w:p>
            <w:pPr>
              <w:spacing w:after="0"/>
              <w:rPr>
                <w:sz w:val="18"/>
                <w:szCs w:val="18"/>
                <w:color w:val="auto"/>
              </w:rPr>
            </w:pPr>
          </w:p>
        </w:tc>
        <w:tc>
          <w:tcPr>
            <w:tcW w:w="1460" w:type="dxa"/>
            <w:vAlign w:val="bottom"/>
          </w:tcPr>
          <w:p>
            <w:pPr>
              <w:jc w:val="center"/>
              <w:ind w:left="1079"/>
              <w:spacing w:after="0"/>
              <w:rPr>
                <w:sz w:val="20"/>
                <w:szCs w:val="20"/>
                <w:color w:val="auto"/>
              </w:rPr>
            </w:pPr>
            <w:r>
              <w:rPr>
                <w:rFonts w:ascii="Arial" w:cs="Arial" w:eastAsia="Arial" w:hAnsi="Arial"/>
                <w:sz w:val="16"/>
                <w:szCs w:val="16"/>
                <w:color w:val="auto"/>
                <w:w w:val="97"/>
              </w:rPr>
              <w:t>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Velocity</w:t>
            </w:r>
          </w:p>
        </w:tc>
        <w:tc>
          <w:tcPr>
            <w:tcW w:w="240" w:type="dxa"/>
            <w:vAlign w:val="bottom"/>
          </w:tcPr>
          <w:p>
            <w:pPr>
              <w:spacing w:after="0"/>
              <w:rPr>
                <w:sz w:val="18"/>
                <w:szCs w:val="18"/>
                <w:color w:val="auto"/>
              </w:rPr>
            </w:pPr>
          </w:p>
        </w:tc>
        <w:tc>
          <w:tcPr>
            <w:tcW w:w="1460" w:type="dxa"/>
            <w:vAlign w:val="bottom"/>
          </w:tcPr>
          <w:p>
            <w:pPr>
              <w:jc w:val="center"/>
              <w:ind w:left="1079"/>
              <w:spacing w:after="0"/>
              <w:rPr>
                <w:sz w:val="20"/>
                <w:szCs w:val="20"/>
                <w:color w:val="auto"/>
              </w:rPr>
            </w:pPr>
            <w:r>
              <w:rPr>
                <w:rFonts w:ascii="Arial" w:cs="Arial" w:eastAsia="Arial" w:hAnsi="Arial"/>
                <w:sz w:val="16"/>
                <w:szCs w:val="16"/>
                <w:color w:val="auto"/>
                <w:w w:val="97"/>
              </w:rPr>
              <w:t>125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079"/>
              <w:spacing w:after="0"/>
              <w:rPr>
                <w:sz w:val="20"/>
                <w:szCs w:val="20"/>
                <w:color w:val="auto"/>
              </w:rPr>
            </w:pPr>
            <w:r>
              <w:rPr>
                <w:rFonts w:ascii="Arial" w:cs="Arial" w:eastAsia="Arial" w:hAnsi="Arial"/>
                <w:sz w:val="16"/>
                <w:szCs w:val="16"/>
                <w:color w:val="auto"/>
                <w:w w:val="97"/>
              </w:rPr>
              <w:t>188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Arnold Magnetics</w:t>
            </w:r>
          </w:p>
        </w:tc>
        <w:tc>
          <w:tcPr>
            <w:tcW w:w="240" w:type="dxa"/>
            <w:vAlign w:val="bottom"/>
          </w:tcPr>
          <w:p>
            <w:pPr>
              <w:spacing w:after="0"/>
              <w:rPr>
                <w:sz w:val="18"/>
                <w:szCs w:val="18"/>
                <w:color w:val="auto"/>
              </w:rPr>
            </w:pPr>
          </w:p>
        </w:tc>
        <w:tc>
          <w:tcPr>
            <w:tcW w:w="1460" w:type="dxa"/>
            <w:vAlign w:val="bottom"/>
          </w:tcPr>
          <w:p>
            <w:pPr>
              <w:jc w:val="center"/>
              <w:ind w:left="1079"/>
              <w:spacing w:after="0"/>
              <w:rPr>
                <w:sz w:val="20"/>
                <w:szCs w:val="20"/>
                <w:color w:val="auto"/>
              </w:rPr>
            </w:pPr>
            <w:r>
              <w:rPr>
                <w:rFonts w:ascii="Arial" w:cs="Arial" w:eastAsia="Arial" w:hAnsi="Arial"/>
                <w:sz w:val="16"/>
                <w:szCs w:val="16"/>
                <w:color w:val="auto"/>
                <w:w w:val="97"/>
              </w:rPr>
              <w:t>125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079"/>
              <w:spacing w:after="0"/>
              <w:rPr>
                <w:sz w:val="20"/>
                <w:szCs w:val="20"/>
                <w:color w:val="auto"/>
              </w:rPr>
            </w:pPr>
            <w:r>
              <w:rPr>
                <w:rFonts w:ascii="Arial" w:cs="Arial" w:eastAsia="Arial" w:hAnsi="Arial"/>
                <w:sz w:val="16"/>
                <w:szCs w:val="16"/>
                <w:color w:val="auto"/>
                <w:w w:val="97"/>
              </w:rPr>
              <w:t>125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50,313</w:t>
            </w:r>
          </w:p>
        </w:tc>
      </w:tr>
      <w:tr>
        <w:trPr>
          <w:trHeight w:val="234"/>
        </w:trPr>
        <w:tc>
          <w:tcPr>
            <w:tcW w:w="3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54,111</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55,314</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b w:val="1"/>
          <w:bCs w:val="1"/>
          <w:color w:val="auto"/>
          <w:vertAlign w:val="superscript"/>
        </w:rPr>
      </w:pPr>
      <w:r>
        <w:rPr>
          <w:rFonts w:ascii="Arial" w:cs="Arial" w:eastAsia="Arial" w:hAnsi="Arial"/>
          <w:sz w:val="16"/>
          <w:szCs w:val="16"/>
          <w:color w:val="auto"/>
        </w:rPr>
        <w:t>Lugano ceased paying a management fee to CGM upon the Lugano Event of Default (as previously defined) in June 2025.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Restatement on Management Fees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estimated the aggregate amount of overpaid management fees as of March 31, 2025 was approximately $42.7 million, which amount will reduce future payments on a dollar-for-dollar basis. The Company's board of directors intends to direct the Company to pursue its right to recover all such excess management fees paid to the Manager as soon as is reasonably practicable in light of the facts and circumstances.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entry into the Forbearance Agreement and Second Amendment to Credit Agreement (the “First Forbearance Agreement”) on May 22, 2025, the Credit Agreement was modified to (i) limit the management fees that may be paid by the LLC to Compass Group Management LLC (the "Manager") to no more than $10.5 million per fiscal quarter (with the amount of such management fees that could not be paid due to this limitation being available to offset any potential future reduction in management fees as a result of any adjustments for deemed overpayments) and (ii) limit the management fees that could be paid by the LLC’s subsidiaries to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0" w:name="page101"/>
    <w:bookmarkEnd w:id="100"/>
    <w:p>
      <w:pPr>
        <w:jc w:val="both"/>
        <w:spacing w:after="0" w:line="262" w:lineRule="auto"/>
        <w:rPr>
          <w:sz w:val="20"/>
          <w:szCs w:val="20"/>
          <w:color w:val="auto"/>
        </w:rPr>
      </w:pPr>
      <w:r>
        <w:rPr>
          <w:rFonts w:ascii="Arial" w:cs="Arial" w:eastAsia="Arial" w:hAnsi="Arial"/>
          <w:sz w:val="18"/>
          <w:szCs w:val="18"/>
          <w:color w:val="auto"/>
        </w:rPr>
        <w:t>Manager to no more than $2.0 million per fiscal quarter. Due to the restrictions imposed by the First Forbearance Agreement, the total amount paid to the Manager for the quarter ended June 30, 2025 was $12.2 million. The difference between the amount of the adjusted management fee due to the Manager of $14.0 million and the actual amount paid of $12.2 million is an underpayment of $1.8 million in the second quarter of 2025. This amount will offset the reduction of future payments to the Manager.</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entry into the Second Forbearance Agreement and Third Amendment to Credit Agreement (the “Third Amendment”) on July 25, 2025, the Credit Agreement was further modified to (i) limit the management fees that were able to be paid by the LLC to the "Manager to no more than $ 5.0 million per fiscal quarter (with the amount of such management fees that could not be paid due to this limitation being available to offset any potential future reduction in management fees as a result of any adjustments for deemed overpayments) and (ii) limit the management fees that may be paid by the LLC’s subsidiaries to the Manager to no more than $2.0 million per fiscal quarter. Due to the restrictions imposed by the Third Amendment, the total amount paid to the Manager for the quarter ended September 30, 2025 was $6.6 million. The difference between the amount of the adjusted management fee due to the Manager of $13.8 million and the actual amount paid of $6.6 million is an underpayment of $7.2 million in the third quarter of 2025. This amount will offset the reduction of future payments to the Manager as a result of the restated financial statements for the years ending December 31, 2024, 2023 and 2022, and the revisions made in the quarter ended March 31,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Integration services represent fees paid by newly acquired companies to the Manager for integration services performed during the first year of ownership. Under the Integration Services Agreement ("ISA"),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Integration services fees are recorded as selling, general and administrative expense in the consolidated statement of operations. The amendment to the Management Service Agreement entered into in January 2025 eliminated the payment of integration services for future acquisitions.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which was acquired in January 2024, entered into an ISA with CGM whereby The Honey Pot Co. paid CGM a total integration services fee of $ 3.5 million, payable quarterly over a twelve -month period beginning June 30, 2024 and ending in the quarter ended March 31, 2025. THP paid CGM $0.9 million in integration service fees in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Allocation Interests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our Initial Public Offering, we issued Allocation Interests governed by our LLC agreement that entitled the holders (the "Holders") to receive distributions pursuant to a profit allocation formula upon the occurrence of certain events. The Holders are entitled to receive, if due pursuant to the profit allocation formula, an allocation payment upon the sale of a business (a "Sale Event") and upon election of the Holder during the 30-day period following the fifth anniversary of the date upon which we acquired a controlling interest in a business (a "Holding Event"). Payments of profit allocation to the Holders are accounted for as dividends declared on Allocation Interests and recorded in stockholders' equity once they are approved by the Company’s board of directors.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sale of Marucci in November 2023 represented a Sale Event and the Company's board of directors approved a distribution of $48.9 million in the first quarter of 2024. This distribution was paid to the Holders of the Allocation Interests in February 2024.</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sale of Ergobaby in December 2024 represented a Sale Event, however the calculation of the profit allocation payment resulted in a negative amount therefore no profit allocation payment was due to the Holders. The negative amount will offset future profit allocation payments due to the Holders.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Lugano Bankruptcy will be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financial statements as described in the 2024 Form 10-K/A.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5.11 purchased approximately $0.3 million and $ 0.8 million during the three and nine months ended September 30, 2025, respectively and approximately $0.4 million and $1.0 million during the three and nine months ended September 30, 2024, respectively in inventory from the vendor.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purchased approximately $10.1 million and $33.2 million from this supplier during the three and nine months ended September 30, 2025, respectively and approximately $11.7 million and $35.9 million from this supplier during the three and nine months ended September 30, 2024,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Lugano</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Related Party Transaction - </w:t>
      </w:r>
      <w:r>
        <w:rPr>
          <w:rFonts w:ascii="Arial" w:cs="Arial" w:eastAsia="Arial" w:hAnsi="Arial"/>
          <w:sz w:val="18"/>
          <w:szCs w:val="18"/>
          <w:color w:val="auto"/>
        </w:rPr>
        <w:t>In the first quarter of 2025, the former Chief Executive Officer of Lugano represented that he had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Lugano purchases inventory from a vendor who is a related party to Lugano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Lugano. The related party relationship commenced in the second quarter of 2024 and ended in the fourth quarter of 2025. Lugano had approximately $18 thousand and $0.3 million in net purchases during the three and nine months ended September 30, 2025, respectively and approximately $ 1.2 million and $5.2 million in net purchases during the three and nine months ended September 30, 2024, respectively in inventory from the vendor. The total purchases are net of returns to the vendor.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the 2024 Form 10-K/A.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 Testing</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Each of our subsidiary businesses represents a reporting unit.</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goodwill impairment testing. The qualitative factors we consider include, in part, the general macroeconomic environment, industry and market specific conditions for each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2" w:name="page103"/>
    <w:bookmarkEnd w:id="102"/>
    <w:p>
      <w:pPr>
        <w:jc w:val="both"/>
        <w:spacing w:after="0" w:line="252" w:lineRule="auto"/>
        <w:rPr>
          <w:sz w:val="20"/>
          <w:szCs w:val="20"/>
          <w:color w:val="auto"/>
        </w:rPr>
      </w:pPr>
      <w:r>
        <w:rPr>
          <w:rFonts w:ascii="Arial" w:cs="Arial" w:eastAsia="Arial" w:hAnsi="Arial"/>
          <w:sz w:val="18"/>
          <w:szCs w:val="18"/>
          <w:color w:val="auto"/>
        </w:rPr>
        <w:t>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 The valuation approaches are subject to key judgments and assumptions that are sensitive to change such as judgments and assumptions about appropriate sales growth rates, operating margins, weighted average cost of capital, and comparable company market multiples. When developing these key judgments and assumptions, we consider economic, operational and market conditions that could impact the fair value of the reporting unit. Estimates are inherently uncertain and represent only management’s reasonable expectations regarding future developments. These estimates and the judgments and assumptions upon which the estimates are based will most likely differ from actual future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Annual Impairment Testing</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annual impairment testing at March 31, 2025, we performed a qualitative assessment of our reporting units with goodwill balances. The results of the qualitative analysis indicated that it was more-likely-than-not that the fair value of each of our reporting units except PrimaLoft exceeded their carrying value. Based on our analysis, we determined that the PrimaLoft operating segment required quantitative testing because we could not conclude that the fair value of the reporting unit significantly exceeded the carrying value based on qualitative factors alone. We 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Annual Impairment Testing</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annual impairment testing at March 31, 2024, we performed a qualitative assessment of our reporting units. The results of the qualitative analysis indicated that it was more-likely-than-not that the fair value of each of our reporting units except Velocity exceeded their carrying value. Based on our analysis, we determined that the Velocity operating segment required quantitative testing because we could not conclude that the fair value of this reporting unit significantly exceeded the carrying value based on qualitative factors alone. We performed a quantitative test of Velocity and the results of the testing indicated that the fair value of Velocity did not exceed the carrying value, resulting in goodwill impairment expense of $8.2 million as of March 31, 2024, which represented the remaining balance of goodwill at Velocity.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 consists of a trade name with a carrying value of approximately $ 30.8 million. The results of the qualitative analysis of our reporting unit's indefinite-lived intangible asset, which we completed as of March 31, 2025, indicated that the fair value of the indefinite lived intangible asset exceeded its carrying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A - "Presentation and Principles of Consolidation"</w:t>
      </w:r>
      <w:r>
        <w:rPr>
          <w:rFonts w:ascii="Arial" w:cs="Arial" w:eastAsia="Arial" w:hAnsi="Arial"/>
          <w:sz w:val="18"/>
          <w:szCs w:val="18"/>
          <w:color w:val="auto"/>
        </w:rPr>
        <w:t xml:space="preserve"> of the condensed consolidated financial statements for a discussion of recent accounting pronouncements.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Legislation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3" w:name="page104"/>
    <w:bookmarkEnd w:id="103"/>
    <w:p>
      <w:pPr>
        <w:jc w:val="both"/>
        <w:spacing w:after="0" w:line="257" w:lineRule="auto"/>
        <w:rPr>
          <w:sz w:val="20"/>
          <w:szCs w:val="20"/>
          <w:color w:val="auto"/>
        </w:rPr>
      </w:pPr>
      <w:r>
        <w:rPr>
          <w:rFonts w:ascii="Arial" w:cs="Arial" w:eastAsia="Arial" w:hAnsi="Arial"/>
          <w:sz w:val="18"/>
          <w:szCs w:val="18"/>
          <w:color w:val="auto"/>
        </w:rPr>
        <w:t>On July 4, 2025, H.R. 1, “An Act to provide for reconciliation pursuant to title II of H. Con. Res. 14,” commonly referred to as the One Big Beautiful Bill Act (OBBBA), was enacted. The OBBBA includes significant federal tax law changes which, among other impacts, modify and make permanent certain business tax provisions originally enacted in the 2017 Tax Cuts and Jobs Act. The OBBBA is subject to further clarification from the issuance of future technical guidance by the U.S. Department of Treasury. We are currently evaluating the impact of the OBBBA, but do not expect it to have a material impact on our results of operations or financial condition.. Any effects will be recorded in the period the law was enacted.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our market risk since December 31, 2024. For a further discussion of our exposure to market risk, refer to the section entitled "Quantitative and Qualitative Disclosures about Market Risk" that was disclosed in Part II, Item 7A of our Form 10-K/A.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the Company’s Chief Executive Officer and Chief Financial Officer, evaluated the effectiveness of the Company’s disclosure controls and procedures as of the end of the period covered by this Form 10-Q. As previously disclosed in the 2024 Form 10-K/A, management identified material weaknesses in internal control over financial reporting. Because these material weaknesses had not been fully remediated as of September 30, 2025, management concluded that the Company’s disclosure controls and procedures were not effective as of that date.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identified material weaknesses, our management, including our Chief Executive Officer and Chief Financial Officer, believes that the condensed consolidated financial statements fairly present, in all material respects, our financial position, results of operations and cash flows for the periods presented in this Quarterly Report on Form 10-Q, in accordance with accounting principles generally accepted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September 30, 2025, there were no changes in the Company’s internal control over financial reporting that have materially affected, or are reasonably likely to materially affect, the Company’s internal control over financial reporting. Following the identification of the material weaknesses described in the 2024 Form 10-K/A, management began developing a remediation plan, as described in the 2024 Form 10-K/A. The Company has not had sufficient time to fully design and implement remediation activities to address the material weaknesses and therefore these remediation activities are not reflected as changes in internal control over financial reporting for the quarter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regarding the Company's legal proceedings can be found in Note N - Commitments and Contingencies of the accompanying Notes to the condensed consolidated financial statements and in the section entitled "Legal Proceedings" that was disclosed in Part I, Item 3 of the 2024 Form 10-K/A, as filed with the SEC on December 8,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 factors disclosed in our 2024 Form 10-K/A for the fiscal year ended December 31, 2024 should be considered together with information included in this Quarterly Report on Form 10-Q for the quarter ended September 30, 2025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5" w:name="page106"/>
    <w:bookmarkEnd w:id="105"/>
    <w:p>
      <w:pPr>
        <w:ind w:left="20"/>
        <w:spacing w:after="0"/>
        <w:rPr>
          <w:sz w:val="20"/>
          <w:szCs w:val="20"/>
          <w:color w:val="auto"/>
        </w:rPr>
      </w:pPr>
      <w:r>
        <w:rPr>
          <w:rFonts w:ascii="Arial" w:cs="Arial" w:eastAsia="Arial" w:hAnsi="Arial"/>
          <w:sz w:val="17"/>
          <w:szCs w:val="17"/>
          <w:b w:val="1"/>
          <w:bCs w:val="1"/>
          <w:color w:val="auto"/>
        </w:rPr>
        <w:t>ITEM 6.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000" w:type="dxa"/>
            <w:vAlign w:val="bottom"/>
            <w:gridSpan w:val="28"/>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7">
              <w:r>
                <w:rPr>
                  <w:rFonts w:ascii="Arial" w:cs="Arial" w:eastAsia="Arial" w:hAnsi="Arial"/>
                  <w:sz w:val="16"/>
                  <w:szCs w:val="16"/>
                  <w:color w:val="0000FF"/>
                </w:rPr>
                <w:t>Third Amended and Restated Trust Agreement of the Trust (incorporated by reference to Exhibit 3.1 of the Form 8-K filed on</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August 4, 2021 (File No. 001-34927)).</w:t>
              </w:r>
            </w:hyperlink>
          </w:p>
        </w:tc>
        <w:tc>
          <w:tcPr>
            <w:tcW w:w="6180" w:type="dxa"/>
            <w:vAlign w:val="bottom"/>
            <w:tcBorders>
              <w:top w:val="single" w:sz="8" w:color="0000FF"/>
            </w:tcBorders>
            <w:gridSpan w:val="24"/>
          </w:tcPr>
          <w:p>
            <w:pPr>
              <w:spacing w:after="0"/>
              <w:rPr>
                <w:sz w:val="12"/>
                <w:szCs w:val="12"/>
                <w:color w:val="auto"/>
              </w:rPr>
            </w:pPr>
          </w:p>
        </w:tc>
        <w:tc>
          <w:tcPr>
            <w:tcW w:w="100" w:type="dxa"/>
            <w:vAlign w:val="bottom"/>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3.2</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8">
              <w:r>
                <w:rPr>
                  <w:rFonts w:ascii="Arial" w:cs="Arial" w:eastAsia="Arial" w:hAnsi="Arial"/>
                  <w:sz w:val="16"/>
                  <w:szCs w:val="16"/>
                  <w:color w:val="0000FF"/>
                </w:rPr>
                <w:t>First amendment to Third Amended and Restated Trust Agreement of the Trust (incorporated by reference to Exhibit 3.1 of</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the Form 8-K filed on September 3, 2024 (File No. 001-34926)).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3.3</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7">
              <w:r>
                <w:rPr>
                  <w:rFonts w:ascii="Arial" w:cs="Arial" w:eastAsia="Arial" w:hAnsi="Arial"/>
                  <w:sz w:val="16"/>
                  <w:szCs w:val="16"/>
                  <w:color w:val="0000FF"/>
                </w:rPr>
                <w:t>Sixth Amended and Restated Operating Agreement of the Company (incorporated by reference to Exhibit 3.2 of the Form 8-</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K filed on August 4, 2021 (File No. 001-34927)).</w:t>
              </w:r>
            </w:hyperlink>
          </w:p>
        </w:tc>
        <w:tc>
          <w:tcPr>
            <w:tcW w:w="5440" w:type="dxa"/>
            <w:vAlign w:val="bottom"/>
            <w:tcBorders>
              <w:top w:val="single" w:sz="8" w:color="0000FF"/>
            </w:tcBorders>
            <w:gridSpan w:val="22"/>
          </w:tcPr>
          <w:p>
            <w:pPr>
              <w:spacing w:after="0"/>
              <w:rPr>
                <w:sz w:val="12"/>
                <w:szCs w:val="12"/>
                <w:color w:val="auto"/>
              </w:rPr>
            </w:pPr>
          </w:p>
        </w:tc>
        <w:tc>
          <w:tcPr>
            <w:tcW w:w="120" w:type="dxa"/>
            <w:vAlign w:val="bottom"/>
            <w:gridSpan w:val="2"/>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3.4</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9">
              <w:r>
                <w:rPr>
                  <w:rFonts w:ascii="Arial" w:cs="Arial" w:eastAsia="Arial" w:hAnsi="Arial"/>
                  <w:sz w:val="16"/>
                  <w:szCs w:val="16"/>
                  <w:color w:val="0000FF"/>
                </w:rPr>
                <w:t>First Amendment to the Sixth Amended and Restated Operating Agreement of the Company (incorporated by reference to</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Exhibit 3.1 of the Form 8-K filed on February 14, 2022 (File No. 001-34927)).</w:t>
              </w:r>
            </w:hyperlink>
          </w:p>
        </w:tc>
        <w:tc>
          <w:tcPr>
            <w:tcW w:w="32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3.5</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8">
              <w:r>
                <w:rPr>
                  <w:rFonts w:ascii="Arial" w:cs="Arial" w:eastAsia="Arial" w:hAnsi="Arial"/>
                  <w:sz w:val="16"/>
                  <w:szCs w:val="16"/>
                  <w:color w:val="0000FF"/>
                </w:rPr>
                <w:t>Second Amendment to the Sixth Amended and Restated Trust agreement of the Trust (incorporated by reference to Exhibit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3.</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of the Form 8-K filed on September 3, 2024 (File No. 001-34926)).</w:t>
              </w:r>
            </w:hyperlink>
          </w:p>
        </w:tc>
        <w:tc>
          <w:tcPr>
            <w:tcW w:w="3820" w:type="dxa"/>
            <w:vAlign w:val="bottom"/>
            <w:tcBorders>
              <w:top w:val="single" w:sz="8" w:color="0000FF"/>
            </w:tcBorders>
            <w:gridSpan w:val="19"/>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3.6</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7">
              <w:r>
                <w:rPr>
                  <w:rFonts w:ascii="Arial" w:cs="Arial" w:eastAsia="Arial" w:hAnsi="Arial"/>
                  <w:sz w:val="16"/>
                  <w:szCs w:val="16"/>
                  <w:color w:val="0000FF"/>
                </w:rPr>
                <w:t>Amended and Restated Share Designation of Compass Diversified Holdings with respect to Series A Preferred Shares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3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(incorporated by reference to Exhibit 3.3 of the Form 8-K filed on August 4, 2021 (File No. 001-34927))</w:t>
              </w:r>
            </w:hyperlink>
          </w:p>
        </w:tc>
        <w:tc>
          <w:tcPr>
            <w:tcW w:w="11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r>
      <w:tr>
        <w:trPr>
          <w:trHeight w:val="399"/>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3.7</w:t>
            </w:r>
          </w:p>
        </w:tc>
        <w:tc>
          <w:tcPr>
            <w:tcW w:w="1020" w:type="dxa"/>
            <w:vAlign w:val="bottom"/>
          </w:tcPr>
          <w:p>
            <w:pPr>
              <w:spacing w:after="0"/>
              <w:rPr>
                <w:sz w:val="24"/>
                <w:szCs w:val="24"/>
                <w:color w:val="auto"/>
              </w:rPr>
            </w:pPr>
          </w:p>
        </w:tc>
        <w:tc>
          <w:tcPr>
            <w:tcW w:w="8680" w:type="dxa"/>
            <w:vAlign w:val="bottom"/>
            <w:tcBorders>
              <w:bottom w:val="single" w:sz="8" w:color="0000FF"/>
            </w:tcBorders>
            <w:gridSpan w:val="17"/>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Amended and Restated Share Designation of Compass Diversified Holdings with respect to Series A</w:t>
              </w:r>
            </w:hyperlink>
          </w:p>
        </w:tc>
        <w:tc>
          <w:tcPr>
            <w:tcW w:w="320" w:type="dxa"/>
            <w:vAlign w:val="bottom"/>
            <w:gridSpan w:val="11"/>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20" w:type="dxa"/>
            <w:vAlign w:val="bottom"/>
            <w:tcBorders>
              <w:bottom w:val="single" w:sz="8" w:color="0000FF"/>
            </w:tcBorders>
            <w:gridSpan w:val="19"/>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Preferred Shares (incorporated by reference to Exhibit 3.1 of the Form 8-K filed on March 20, 2024 (File No. 001-34926)).</w:t>
              </w:r>
            </w:hyperlink>
          </w:p>
        </w:tc>
        <w:tc>
          <w:tcPr>
            <w:tcW w:w="280" w:type="dxa"/>
            <w:vAlign w:val="bottom"/>
            <w:gridSpan w:val="9"/>
          </w:tcPr>
          <w:p>
            <w:pPr>
              <w:spacing w:after="0"/>
              <w:rPr>
                <w:sz w:val="12"/>
                <w:szCs w:val="12"/>
                <w:color w:val="auto"/>
              </w:rPr>
            </w:pPr>
          </w:p>
        </w:tc>
      </w:tr>
      <w:tr>
        <w:trPr>
          <w:trHeight w:val="344"/>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3.8</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91">
              <w:r>
                <w:rPr>
                  <w:rFonts w:ascii="Arial" w:cs="Arial" w:eastAsia="Arial" w:hAnsi="Arial"/>
                  <w:sz w:val="16"/>
                  <w:szCs w:val="16"/>
                  <w:color w:val="0000FF"/>
                </w:rPr>
                <w:t>Second Amendment to Amended and Restated Share Designation of Compass Diversified Holdings with respect to Series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A Preferred Shares (incorporated by reference Exhibit 4.11 of the Form S-3 filed on September 4, 2024 (File No. 333-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91">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4"/>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3.9</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92">
              <w:r>
                <w:rPr>
                  <w:rFonts w:ascii="Arial" w:cs="Arial" w:eastAsia="Arial" w:hAnsi="Arial"/>
                  <w:sz w:val="16"/>
                  <w:szCs w:val="16"/>
                  <w:color w:val="0000FF"/>
                </w:rPr>
                <w:t>Compass Group Diversified Holdings LLC Trust Interest Designation of Series A Trust Preferred Interests (incorporated by</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reference to Exhibit 3.2 of the Form 8-K filed on June 28, 2017 (File No. 001-34927))</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60" w:type="dxa"/>
            <w:vAlign w:val="bottom"/>
            <w:gridSpan w:val="8"/>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3.10</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Trust Interest Designation of Compass Group Diversified Holdings LLC with respect to Series A Trust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Preferred Interests (incorporated by reference to Exhibit 3.4 of the Form 8-K filed on March 20, 2024 (File No. 001-34926))</w:t>
              </w:r>
            </w:hyperlink>
          </w:p>
        </w:tc>
        <w:tc>
          <w:tcPr>
            <w:tcW w:w="120" w:type="dxa"/>
            <w:vAlign w:val="bottom"/>
            <w:tcBorders>
              <w:bottom w:val="single" w:sz="8" w:color="0000FF"/>
            </w:tcBorders>
            <w:gridSpan w:val="6"/>
          </w:tcPr>
          <w:p>
            <w:pPr>
              <w:jc w:val="right"/>
              <w:ind w:right="20"/>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w:t>
              </w:r>
            </w:hyperlink>
          </w:p>
        </w:tc>
        <w:tc>
          <w:tcPr>
            <w:tcW w:w="180" w:type="dxa"/>
            <w:vAlign w:val="bottom"/>
            <w:gridSpan w:val="4"/>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3.11</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93">
              <w:r>
                <w:rPr>
                  <w:rFonts w:ascii="Arial" w:cs="Arial" w:eastAsia="Arial" w:hAnsi="Arial"/>
                  <w:sz w:val="16"/>
                  <w:szCs w:val="16"/>
                  <w:color w:val="0000FF"/>
                </w:rPr>
                <w:t>Second Amendment to Trust Interest Designation of Compass Group Diversified Holdings LLC with respect to Series A</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Trust Preferred Interests (incorporated by reference Exhibit 4.14 of the Form S-3 filed on September 4, 2024 (File No.</w:t>
              </w:r>
            </w:hyperlink>
          </w:p>
        </w:tc>
        <w:tc>
          <w:tcPr>
            <w:tcW w:w="280" w:type="dxa"/>
            <w:vAlign w:val="bottom"/>
            <w:gridSpan w:val="8"/>
          </w:tcPr>
          <w:p>
            <w:pPr>
              <w:jc w:val="right"/>
              <w:ind w:right="20"/>
              <w:spacing w:after="0" w:line="142" w:lineRule="exact"/>
              <w:rPr>
                <w:rFonts w:ascii="Arial" w:cs="Arial" w:eastAsia="Arial" w:hAnsi="Arial"/>
                <w:sz w:val="16"/>
                <w:szCs w:val="16"/>
                <w:color w:val="0000FF"/>
                <w:w w:val="74"/>
              </w:rPr>
            </w:pPr>
            <w:hyperlink r:id="rId193">
              <w:r>
                <w:rPr>
                  <w:rFonts w:ascii="Arial" w:cs="Arial" w:eastAsia="Arial" w:hAnsi="Arial"/>
                  <w:sz w:val="16"/>
                  <w:szCs w:val="16"/>
                  <w:color w:val="0000FF"/>
                  <w:w w:val="74"/>
                </w:rPr>
                <w:t>333-</w:t>
              </w:r>
            </w:hyperlink>
          </w:p>
        </w:tc>
        <w:tc>
          <w:tcPr>
            <w:tcW w:w="200" w:type="dxa"/>
            <w:vAlign w:val="bottom"/>
            <w:gridSpan w:val="5"/>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93">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3.12</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7">
              <w:r>
                <w:rPr>
                  <w:rFonts w:ascii="Arial" w:cs="Arial" w:eastAsia="Arial" w:hAnsi="Arial"/>
                  <w:sz w:val="16"/>
                  <w:szCs w:val="16"/>
                  <w:color w:val="0000FF"/>
                </w:rPr>
                <w:t>Amended and Restated Share Designation of Compass Diversified Holdings with respect to Series B Preferred Shares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(incorporated by reference to Exhibit 3.4 of the Form 8-K filed on August 4, 2021 (File No. 001-34927)).</w:t>
              </w:r>
            </w:hyperlink>
          </w:p>
        </w:tc>
        <w:tc>
          <w:tcPr>
            <w:tcW w:w="120" w:type="dxa"/>
            <w:vAlign w:val="bottom"/>
            <w:gridSpan w:val="2"/>
          </w:tcPr>
          <w:p>
            <w:pPr>
              <w:spacing w:after="0"/>
              <w:rPr>
                <w:sz w:val="12"/>
                <w:szCs w:val="12"/>
                <w:color w:val="auto"/>
              </w:rPr>
            </w:pPr>
          </w:p>
        </w:tc>
        <w:tc>
          <w:tcPr>
            <w:tcW w:w="380" w:type="dxa"/>
            <w:vAlign w:val="bottom"/>
            <w:gridSpan w:val="12"/>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8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3.13</w:t>
            </w:r>
          </w:p>
        </w:tc>
        <w:tc>
          <w:tcPr>
            <w:tcW w:w="1020" w:type="dxa"/>
            <w:vAlign w:val="bottom"/>
          </w:tcPr>
          <w:p>
            <w:pPr>
              <w:spacing w:after="0"/>
              <w:rPr>
                <w:sz w:val="24"/>
                <w:szCs w:val="24"/>
                <w:color w:val="auto"/>
              </w:rPr>
            </w:pPr>
          </w:p>
        </w:tc>
        <w:tc>
          <w:tcPr>
            <w:tcW w:w="8680" w:type="dxa"/>
            <w:vAlign w:val="bottom"/>
            <w:tcBorders>
              <w:bottom w:val="single" w:sz="8" w:color="0000FF"/>
            </w:tcBorders>
            <w:gridSpan w:val="17"/>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Amended and Restated Share Designation of Compass Diversified Holdings with respect to Series B</w:t>
              </w:r>
            </w:hyperlink>
          </w:p>
        </w:tc>
        <w:tc>
          <w:tcPr>
            <w:tcW w:w="320" w:type="dxa"/>
            <w:vAlign w:val="bottom"/>
            <w:gridSpan w:val="11"/>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20" w:type="dxa"/>
            <w:vAlign w:val="bottom"/>
            <w:tcBorders>
              <w:bottom w:val="single" w:sz="8" w:color="0000FF"/>
            </w:tcBorders>
            <w:gridSpan w:val="19"/>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Preferred Shares (incorporated by reference to Exhibit 3.2 of the Form 8-K filed on March 20, 2024 (File No. 001-34926)).</w:t>
              </w:r>
            </w:hyperlink>
          </w:p>
        </w:tc>
        <w:tc>
          <w:tcPr>
            <w:tcW w:w="280" w:type="dxa"/>
            <w:vAlign w:val="bottom"/>
            <w:gridSpan w:val="9"/>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3.14</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94">
              <w:r>
                <w:rPr>
                  <w:rFonts w:ascii="Arial" w:cs="Arial" w:eastAsia="Arial" w:hAnsi="Arial"/>
                  <w:sz w:val="16"/>
                  <w:szCs w:val="16"/>
                  <w:color w:val="0000FF"/>
                </w:rPr>
                <w:t>Second Amendment to Amended and Restated Share Designation of Compass Diversified Holdings with respect to Series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B Preferred Shares (incorporated by reference Exhibit 4.17 of the Form S-3 filed on September 4, 2024 (File No. 333-</w:t>
              </w:r>
            </w:hyperlink>
          </w:p>
        </w:tc>
        <w:tc>
          <w:tcPr>
            <w:tcW w:w="220" w:type="dxa"/>
            <w:vAlign w:val="bottom"/>
            <w:gridSpan w:val="6"/>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94">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3.15</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95">
              <w:r>
                <w:rPr>
                  <w:rFonts w:ascii="Arial" w:cs="Arial" w:eastAsia="Arial" w:hAnsi="Arial"/>
                  <w:sz w:val="16"/>
                  <w:szCs w:val="16"/>
                  <w:color w:val="0000FF"/>
                </w:rPr>
                <w:t>Trust Interest Designation of Compass Group Diversified Holdings LLC with respect to Series B Trust Preferred Interests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(incorporated by reference to Exhibit 3.2 of the Form 8-K filed on March 13, 2018 (File No. 001-34927)),</w:t>
              </w:r>
            </w:hyperlink>
          </w:p>
        </w:tc>
        <w:tc>
          <w:tcPr>
            <w:tcW w:w="1200" w:type="dxa"/>
            <w:vAlign w:val="bottom"/>
            <w:tcBorders>
              <w:top w:val="single" w:sz="8" w:color="0000FF"/>
            </w:tcBorders>
            <w:gridSpan w:val="5"/>
          </w:tcPr>
          <w:p>
            <w:pPr>
              <w:spacing w:after="0"/>
              <w:rPr>
                <w:sz w:val="12"/>
                <w:szCs w:val="12"/>
                <w:color w:val="auto"/>
              </w:rPr>
            </w:pPr>
          </w:p>
        </w:tc>
        <w:tc>
          <w:tcPr>
            <w:tcW w:w="380" w:type="dxa"/>
            <w:vAlign w:val="bottom"/>
            <w:gridSpan w:val="12"/>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3.16</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Trust Interest Designation of Compass Group Diversified Holdings LLC with respect to Series B Trust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Preferred Interests (incorporated by reference to Exhibit 3.5 of the Form 8-K filed on March 20, 2024 (File No. 001-34926))</w:t>
              </w:r>
            </w:hyperlink>
          </w:p>
        </w:tc>
        <w:tc>
          <w:tcPr>
            <w:tcW w:w="120" w:type="dxa"/>
            <w:vAlign w:val="bottom"/>
            <w:tcBorders>
              <w:bottom w:val="single" w:sz="8" w:color="0000FF"/>
            </w:tcBorders>
            <w:gridSpan w:val="6"/>
          </w:tcPr>
          <w:p>
            <w:pPr>
              <w:jc w:val="right"/>
              <w:ind w:right="20"/>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w:t>
              </w:r>
            </w:hyperlink>
          </w:p>
        </w:tc>
        <w:tc>
          <w:tcPr>
            <w:tcW w:w="180" w:type="dxa"/>
            <w:vAlign w:val="bottom"/>
            <w:gridSpan w:val="4"/>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3.17</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96">
              <w:r>
                <w:rPr>
                  <w:rFonts w:ascii="Arial" w:cs="Arial" w:eastAsia="Arial" w:hAnsi="Arial"/>
                  <w:sz w:val="16"/>
                  <w:szCs w:val="16"/>
                  <w:color w:val="0000FF"/>
                </w:rPr>
                <w:t>Second Amendment to Trust Interest Designation of Compass Group Diversified Holdings LLC with respect to Series B</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Trust Preferred Interests (incorporated by reference Exhibit 4.20 of the Form S-3 filed on September 4, 2024 (File No.</w:t>
              </w:r>
            </w:hyperlink>
          </w:p>
        </w:tc>
        <w:tc>
          <w:tcPr>
            <w:tcW w:w="480" w:type="dxa"/>
            <w:vAlign w:val="bottom"/>
            <w:gridSpan w:val="13"/>
          </w:tcPr>
          <w:p>
            <w:pPr>
              <w:jc w:val="right"/>
              <w:ind w:right="220"/>
              <w:spacing w:after="0" w:line="142" w:lineRule="exact"/>
              <w:rPr>
                <w:rFonts w:ascii="Arial" w:cs="Arial" w:eastAsia="Arial" w:hAnsi="Arial"/>
                <w:sz w:val="16"/>
                <w:szCs w:val="16"/>
                <w:color w:val="0000FF"/>
                <w:w w:val="74"/>
              </w:rPr>
            </w:pPr>
            <w:hyperlink r:id="rId196">
              <w:r>
                <w:rPr>
                  <w:rFonts w:ascii="Arial" w:cs="Arial" w:eastAsia="Arial" w:hAnsi="Arial"/>
                  <w:sz w:val="16"/>
                  <w:szCs w:val="16"/>
                  <w:color w:val="0000FF"/>
                  <w:w w:val="74"/>
                </w:rPr>
                <w:t>333-</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96">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82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60" w:type="dxa"/>
            <w:vAlign w:val="bottom"/>
            <w:gridSpan w:val="5"/>
          </w:tcPr>
          <w:p>
            <w:pPr>
              <w:ind w:left="3240"/>
              <w:spacing w:after="0"/>
              <w:rPr>
                <w:sz w:val="20"/>
                <w:szCs w:val="20"/>
                <w:color w:val="auto"/>
              </w:rPr>
            </w:pPr>
            <w:r>
              <w:rPr>
                <w:rFonts w:ascii="Arial" w:cs="Arial" w:eastAsia="Arial" w:hAnsi="Arial"/>
                <w:sz w:val="16"/>
                <w:szCs w:val="16"/>
                <w:color w:val="auto"/>
              </w:rPr>
              <w:t>106</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2220" w:type="dxa"/>
            <w:vAlign w:val="bottom"/>
          </w:tcPr>
          <w:p>
            <w:pPr>
              <w:ind w:left="120"/>
              <w:spacing w:after="0"/>
              <w:rPr>
                <w:sz w:val="20"/>
                <w:szCs w:val="20"/>
                <w:color w:val="auto"/>
              </w:rPr>
            </w:pPr>
            <w:r>
              <w:rPr>
                <w:rFonts w:ascii="Arial" w:cs="Arial" w:eastAsia="Arial" w:hAnsi="Arial"/>
                <w:sz w:val="16"/>
                <w:szCs w:val="16"/>
                <w:color w:val="auto"/>
              </w:rPr>
              <w:t>3.18</w:t>
            </w:r>
          </w:p>
        </w:tc>
        <w:tc>
          <w:tcPr>
            <w:tcW w:w="8880" w:type="dxa"/>
            <w:vAlign w:val="bottom"/>
            <w:gridSpan w:val="28"/>
          </w:tcPr>
          <w:p>
            <w:pPr>
              <w:spacing w:after="0"/>
              <w:rPr>
                <w:rFonts w:ascii="Arial" w:cs="Arial" w:eastAsia="Arial" w:hAnsi="Arial"/>
                <w:sz w:val="16"/>
                <w:szCs w:val="16"/>
                <w:color w:val="0000FF"/>
              </w:rPr>
            </w:pPr>
            <w:hyperlink r:id="rId187">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4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(incorporated by reference to Exhibit 3.5 of the Form 8-K filed on August 4, 2021 (File No. 001-34927)).</w:t>
              </w:r>
            </w:hyperlink>
          </w:p>
        </w:tc>
        <w:tc>
          <w:tcPr>
            <w:tcW w:w="11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20" w:type="dxa"/>
            <w:vAlign w:val="bottom"/>
          </w:tcPr>
          <w:p>
            <w:pPr>
              <w:ind w:left="120"/>
              <w:spacing w:after="0"/>
              <w:rPr>
                <w:sz w:val="20"/>
                <w:szCs w:val="20"/>
                <w:color w:val="auto"/>
              </w:rPr>
            </w:pPr>
            <w:r>
              <w:rPr>
                <w:rFonts w:ascii="Arial" w:cs="Arial" w:eastAsia="Arial" w:hAnsi="Arial"/>
                <w:sz w:val="16"/>
                <w:szCs w:val="16"/>
                <w:color w:val="auto"/>
              </w:rPr>
              <w:t>3.19</w:t>
            </w:r>
          </w:p>
        </w:tc>
        <w:tc>
          <w:tcPr>
            <w:tcW w:w="8680" w:type="dxa"/>
            <w:vAlign w:val="bottom"/>
            <w:tcBorders>
              <w:bottom w:val="single" w:sz="8" w:color="0000FF"/>
            </w:tcBorders>
            <w:gridSpan w:val="20"/>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Amended and Restated Share Designation of Compass Diversified Holdings with respect to Series C</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720" w:type="dxa"/>
            <w:vAlign w:val="bottom"/>
            <w:tcBorders>
              <w:bottom w:val="single" w:sz="8" w:color="0000FF"/>
            </w:tcBorders>
            <w:gridSpan w:val="22"/>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Preferred Shares (incorporated by reference to Exhibit 3.3 of the Form 8-K filed on March 20, 2024 (File No. 001-34926)).</w:t>
              </w:r>
            </w:hyperlink>
          </w:p>
        </w:tc>
        <w:tc>
          <w:tcPr>
            <w:tcW w:w="1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20" w:type="dxa"/>
            <w:vAlign w:val="bottom"/>
          </w:tcPr>
          <w:p>
            <w:pPr>
              <w:ind w:left="120"/>
              <w:spacing w:after="0"/>
              <w:rPr>
                <w:sz w:val="20"/>
                <w:szCs w:val="20"/>
                <w:color w:val="auto"/>
              </w:rPr>
            </w:pPr>
            <w:r>
              <w:rPr>
                <w:rFonts w:ascii="Arial" w:cs="Arial" w:eastAsia="Arial" w:hAnsi="Arial"/>
                <w:sz w:val="16"/>
                <w:szCs w:val="16"/>
                <w:color w:val="auto"/>
              </w:rPr>
              <w:t>3.20</w:t>
            </w:r>
          </w:p>
        </w:tc>
        <w:tc>
          <w:tcPr>
            <w:tcW w:w="8880" w:type="dxa"/>
            <w:vAlign w:val="bottom"/>
            <w:gridSpan w:val="28"/>
          </w:tcPr>
          <w:p>
            <w:pPr>
              <w:spacing w:after="0"/>
              <w:rPr>
                <w:rFonts w:ascii="Arial" w:cs="Arial" w:eastAsia="Arial" w:hAnsi="Arial"/>
                <w:sz w:val="16"/>
                <w:szCs w:val="16"/>
                <w:color w:val="0000FF"/>
              </w:rPr>
            </w:pPr>
            <w:hyperlink r:id="rId199">
              <w:r>
                <w:rPr>
                  <w:rFonts w:ascii="Arial" w:cs="Arial" w:eastAsia="Arial" w:hAnsi="Arial"/>
                  <w:sz w:val="16"/>
                  <w:szCs w:val="16"/>
                  <w:color w:val="0000FF"/>
                </w:rPr>
                <w:t>Second Amendment to Amended and Restated Share Designation of Compass Diversified Holdings with respect to Series</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7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C Preferred Shares (incorporated by reference Exhibit 4.23 of the Form S-3 filed on September 4, 2024 (File No. 333-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99">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17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5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20" w:type="dxa"/>
            <w:vAlign w:val="bottom"/>
          </w:tcPr>
          <w:p>
            <w:pPr>
              <w:ind w:left="120"/>
              <w:spacing w:after="0"/>
              <w:rPr>
                <w:sz w:val="20"/>
                <w:szCs w:val="20"/>
                <w:color w:val="auto"/>
              </w:rPr>
            </w:pPr>
            <w:r>
              <w:rPr>
                <w:rFonts w:ascii="Arial" w:cs="Arial" w:eastAsia="Arial" w:hAnsi="Arial"/>
                <w:sz w:val="16"/>
                <w:szCs w:val="16"/>
                <w:color w:val="auto"/>
              </w:rPr>
              <w:t>3.21</w:t>
            </w:r>
          </w:p>
        </w:tc>
        <w:tc>
          <w:tcPr>
            <w:tcW w:w="8880" w:type="dxa"/>
            <w:vAlign w:val="bottom"/>
            <w:gridSpan w:val="28"/>
          </w:tcPr>
          <w:p>
            <w:pPr>
              <w:spacing w:after="0"/>
              <w:rPr>
                <w:rFonts w:ascii="Arial" w:cs="Arial" w:eastAsia="Arial" w:hAnsi="Arial"/>
                <w:sz w:val="16"/>
                <w:szCs w:val="16"/>
                <w:color w:val="0000FF"/>
              </w:rPr>
            </w:pPr>
            <w:hyperlink r:id="rId200">
              <w:r>
                <w:rPr>
                  <w:rFonts w:ascii="Arial" w:cs="Arial" w:eastAsia="Arial" w:hAnsi="Arial"/>
                  <w:sz w:val="16"/>
                  <w:szCs w:val="16"/>
                  <w:color w:val="0000FF"/>
                </w:rPr>
                <w:t>Trust Interest Designation of Compass Group Diversified Holdings LLC with respect to Series C Trust Preferred Interests</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(incorporated by reference to Exhibit 3.2 of the Form 8-K filed on November 20, 2019 (File No. 001-34927)).</w:t>
              </w:r>
            </w:hyperlink>
          </w:p>
        </w:tc>
        <w:tc>
          <w:tcPr>
            <w:tcW w:w="94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20" w:type="dxa"/>
            <w:vAlign w:val="bottom"/>
          </w:tcPr>
          <w:p>
            <w:pPr>
              <w:ind w:left="120"/>
              <w:spacing w:after="0"/>
              <w:rPr>
                <w:sz w:val="20"/>
                <w:szCs w:val="20"/>
                <w:color w:val="auto"/>
              </w:rPr>
            </w:pPr>
            <w:r>
              <w:rPr>
                <w:rFonts w:ascii="Arial" w:cs="Arial" w:eastAsia="Arial" w:hAnsi="Arial"/>
                <w:sz w:val="16"/>
                <w:szCs w:val="16"/>
                <w:color w:val="auto"/>
              </w:rPr>
              <w:t>3.22</w:t>
            </w:r>
          </w:p>
        </w:tc>
        <w:tc>
          <w:tcPr>
            <w:tcW w:w="8880" w:type="dxa"/>
            <w:vAlign w:val="bottom"/>
            <w:gridSpan w:val="28"/>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Trust Interest Designation of Compass Group Diversified Holdings LLC with respect to Series C Trust</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Preferred Interests (incorporated by reference to Exhibit 3.6 of the Form 8-K filed on March 20, 2024 (File No. 001-34926))</w:t>
              </w:r>
            </w:hyperlink>
          </w:p>
        </w:tc>
        <w:tc>
          <w:tcPr>
            <w:tcW w:w="120" w:type="dxa"/>
            <w:vAlign w:val="bottom"/>
            <w:tcBorders>
              <w:bottom w:val="single" w:sz="8" w:color="0000FF"/>
            </w:tcBorders>
            <w:gridSpan w:val="5"/>
          </w:tcPr>
          <w:p>
            <w:pPr>
              <w:jc w:val="right"/>
              <w:ind w:right="20"/>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20" w:type="dxa"/>
            <w:vAlign w:val="bottom"/>
          </w:tcPr>
          <w:p>
            <w:pPr>
              <w:ind w:left="120"/>
              <w:spacing w:after="0"/>
              <w:rPr>
                <w:sz w:val="20"/>
                <w:szCs w:val="20"/>
                <w:color w:val="auto"/>
              </w:rPr>
            </w:pPr>
            <w:r>
              <w:rPr>
                <w:rFonts w:ascii="Arial" w:cs="Arial" w:eastAsia="Arial" w:hAnsi="Arial"/>
                <w:sz w:val="16"/>
                <w:szCs w:val="16"/>
                <w:color w:val="auto"/>
              </w:rPr>
              <w:t>3.23</w:t>
            </w:r>
          </w:p>
        </w:tc>
        <w:tc>
          <w:tcPr>
            <w:tcW w:w="8560" w:type="dxa"/>
            <w:vAlign w:val="bottom"/>
            <w:tcBorders>
              <w:bottom w:val="single" w:sz="8" w:color="0000FF"/>
            </w:tcBorders>
            <w:gridSpan w:val="16"/>
          </w:tcPr>
          <w:p>
            <w:pPr>
              <w:spacing w:after="0"/>
              <w:rPr>
                <w:rFonts w:ascii="Arial" w:cs="Arial" w:eastAsia="Arial" w:hAnsi="Arial"/>
                <w:sz w:val="16"/>
                <w:szCs w:val="16"/>
                <w:color w:val="0000FF"/>
              </w:rPr>
            </w:pPr>
            <w:hyperlink r:id="rId201">
              <w:r>
                <w:rPr>
                  <w:rFonts w:ascii="Arial" w:cs="Arial" w:eastAsia="Arial" w:hAnsi="Arial"/>
                  <w:sz w:val="16"/>
                  <w:szCs w:val="16"/>
                  <w:color w:val="0000FF"/>
                </w:rPr>
                <w:t>Second Amendment to Trust Interest Designation of Compass Group Diversified Holdings LLC with respect to Series C</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880" w:type="dxa"/>
            <w:vAlign w:val="bottom"/>
            <w:gridSpan w:val="28"/>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Trust Preferred Interests (incorporated by reference Exhibit 4.26 of the Form S-3 filed on September 4, 2024 (File No. 333-</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201">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17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5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20" w:type="dxa"/>
            <w:vAlign w:val="bottom"/>
          </w:tcPr>
          <w:p>
            <w:pPr>
              <w:ind w:left="120"/>
              <w:spacing w:after="0"/>
              <w:rPr>
                <w:sz w:val="20"/>
                <w:szCs w:val="20"/>
                <w:color w:val="auto"/>
              </w:rPr>
            </w:pPr>
            <w:r>
              <w:rPr>
                <w:rFonts w:ascii="Arial" w:cs="Arial" w:eastAsia="Arial" w:hAnsi="Arial"/>
                <w:sz w:val="16"/>
                <w:szCs w:val="16"/>
                <w:color w:val="auto"/>
              </w:rPr>
              <w:t>4.1</w:t>
            </w:r>
          </w:p>
        </w:tc>
        <w:tc>
          <w:tcPr>
            <w:tcW w:w="8140" w:type="dxa"/>
            <w:vAlign w:val="bottom"/>
            <w:tcBorders>
              <w:bottom w:val="single" w:sz="8" w:color="0000FF"/>
            </w:tcBorders>
            <w:gridSpan w:val="11"/>
          </w:tcPr>
          <w:p>
            <w:pPr>
              <w:spacing w:after="0"/>
              <w:rPr>
                <w:rFonts w:ascii="Arial" w:cs="Arial" w:eastAsia="Arial" w:hAnsi="Arial"/>
                <w:sz w:val="16"/>
                <w:szCs w:val="16"/>
                <w:color w:val="0000FF"/>
              </w:rPr>
            </w:pPr>
            <w:hyperlink r:id="rId202">
              <w:r>
                <w:rPr>
                  <w:rFonts w:ascii="Arial" w:cs="Arial" w:eastAsia="Arial" w:hAnsi="Arial"/>
                  <w:sz w:val="16"/>
                  <w:szCs w:val="16"/>
                  <w:color w:val="0000FF"/>
                </w:rPr>
                <w:t>Second Supplemental Indenture, dated as of September 9, 2025, to the Indenture dated as of March 23, 2021, as</w:t>
              </w:r>
            </w:hyperlink>
          </w:p>
        </w:tc>
        <w:tc>
          <w:tcPr>
            <w:tcW w:w="7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880" w:type="dxa"/>
            <w:vAlign w:val="bottom"/>
            <w:gridSpan w:val="28"/>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amended, by and between Compass Group Diversified Holdings LLC and U.S. Bank Trust Company, National Association,</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54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as trustee (incorporated by reference to Exhibit 4.1 of the Form 8-K filed on September 10, 2025 (File No. 001-34927)).</w:t>
              </w:r>
            </w:hyperlink>
          </w:p>
        </w:tc>
        <w:tc>
          <w:tcPr>
            <w:tcW w:w="2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20" w:type="dxa"/>
            <w:vAlign w:val="bottom"/>
          </w:tcPr>
          <w:p>
            <w:pPr>
              <w:ind w:left="120"/>
              <w:spacing w:after="0"/>
              <w:rPr>
                <w:sz w:val="20"/>
                <w:szCs w:val="20"/>
                <w:color w:val="auto"/>
              </w:rPr>
            </w:pPr>
            <w:r>
              <w:rPr>
                <w:rFonts w:ascii="Arial" w:cs="Arial" w:eastAsia="Arial" w:hAnsi="Arial"/>
                <w:sz w:val="16"/>
                <w:szCs w:val="16"/>
                <w:color w:val="auto"/>
              </w:rPr>
              <w:t>4.2</w:t>
            </w:r>
          </w:p>
        </w:tc>
        <w:tc>
          <w:tcPr>
            <w:tcW w:w="8880" w:type="dxa"/>
            <w:vAlign w:val="bottom"/>
            <w:gridSpan w:val="28"/>
          </w:tcPr>
          <w:p>
            <w:pPr>
              <w:spacing w:after="0"/>
              <w:rPr>
                <w:rFonts w:ascii="Arial" w:cs="Arial" w:eastAsia="Arial" w:hAnsi="Arial"/>
                <w:sz w:val="16"/>
                <w:szCs w:val="16"/>
                <w:color w:val="0000FF"/>
              </w:rPr>
            </w:pPr>
            <w:hyperlink r:id="rId203">
              <w:r>
                <w:rPr>
                  <w:rFonts w:ascii="Arial" w:cs="Arial" w:eastAsia="Arial" w:hAnsi="Arial"/>
                  <w:sz w:val="16"/>
                  <w:szCs w:val="16"/>
                  <w:color w:val="0000FF"/>
                </w:rPr>
                <w:t>Second Supplemental Indenture, dated as of September 9, 2025, to the Indenture dated as of November 17, 2021, as</w:t>
              </w:r>
            </w:hyperlink>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Pr>
          <w:p>
            <w:pPr>
              <w:spacing w:after="0"/>
              <w:rPr>
                <w:sz w:val="12"/>
                <w:szCs w:val="12"/>
                <w:color w:val="auto"/>
              </w:rPr>
            </w:pPr>
          </w:p>
        </w:tc>
        <w:tc>
          <w:tcPr>
            <w:tcW w:w="8880" w:type="dxa"/>
            <w:vAlign w:val="bottom"/>
            <w:gridSpan w:val="28"/>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amended, by and between Compass Group Diversified Holdings LLC and U.S. Bank Trust Company, National Association,</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54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as trustee (incorporated by reference to Exhibit 4.2 of the Form 8-K filed on September 10, 2025 (File No. 001-34927)).</w:t>
              </w:r>
            </w:hyperlink>
          </w:p>
        </w:tc>
        <w:tc>
          <w:tcPr>
            <w:tcW w:w="2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20" w:type="dxa"/>
            <w:vAlign w:val="bottom"/>
          </w:tcPr>
          <w:p>
            <w:pPr>
              <w:ind w:left="120"/>
              <w:spacing w:after="0"/>
              <w:rPr>
                <w:sz w:val="20"/>
                <w:szCs w:val="20"/>
                <w:color w:val="auto"/>
              </w:rPr>
            </w:pPr>
            <w:r>
              <w:rPr>
                <w:rFonts w:ascii="Arial" w:cs="Arial" w:eastAsia="Arial" w:hAnsi="Arial"/>
                <w:sz w:val="16"/>
                <w:szCs w:val="16"/>
                <w:color w:val="auto"/>
              </w:rPr>
              <w:t>10.1</w:t>
            </w:r>
          </w:p>
        </w:tc>
        <w:tc>
          <w:tcPr>
            <w:tcW w:w="8880" w:type="dxa"/>
            <w:vAlign w:val="bottom"/>
            <w:gridSpan w:val="28"/>
          </w:tcPr>
          <w:p>
            <w:pPr>
              <w:spacing w:after="0"/>
              <w:rPr>
                <w:rFonts w:ascii="Arial" w:cs="Arial" w:eastAsia="Arial" w:hAnsi="Arial"/>
                <w:sz w:val="16"/>
                <w:szCs w:val="16"/>
                <w:color w:val="0000FF"/>
              </w:rPr>
            </w:pPr>
            <w:hyperlink r:id="rId204">
              <w:r>
                <w:rPr>
                  <w:rFonts w:ascii="Arial" w:cs="Arial" w:eastAsia="Arial" w:hAnsi="Arial"/>
                  <w:sz w:val="16"/>
                  <w:szCs w:val="16"/>
                  <w:color w:val="0000FF"/>
                </w:rPr>
                <w:t>Second Forbearance Agreement and Third Amendment to Credit Agreement, dated July 25, 2025, by and among Compass</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5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Group Diversified Holdings LLC, the Lenders party thereto, and Bank of America, N.A., in its capacity as Administrative</w:t>
              </w:r>
            </w:hyperlink>
          </w:p>
        </w:tc>
        <w:tc>
          <w:tcPr>
            <w:tcW w:w="320" w:type="dxa"/>
            <w:vAlign w:val="bottom"/>
            <w:tcBorders>
              <w:top w:val="single" w:sz="8" w:color="0000FF"/>
            </w:tcBorders>
            <w:gridSpan w:val="1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880" w:type="dxa"/>
            <w:vAlign w:val="bottom"/>
            <w:gridSpan w:val="28"/>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Agent for the Lenders, Swing Line Lender and L/C Issuer (incorporated by reference to Exhibit 10.1 of the Form 8-K filed on</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July 28, 2025 (File No. 001-34927)).</w:t>
              </w:r>
            </w:hyperlink>
          </w:p>
        </w:tc>
        <w:tc>
          <w:tcPr>
            <w:tcW w:w="6240" w:type="dxa"/>
            <w:vAlign w:val="bottom"/>
            <w:tcBorders>
              <w:top w:val="single" w:sz="8" w:color="0000FF"/>
            </w:tcBorders>
            <w:gridSpan w:val="24"/>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20" w:type="dxa"/>
            <w:vAlign w:val="bottom"/>
          </w:tcPr>
          <w:p>
            <w:pPr>
              <w:ind w:left="120"/>
              <w:spacing w:after="0"/>
              <w:rPr>
                <w:sz w:val="20"/>
                <w:szCs w:val="20"/>
                <w:color w:val="auto"/>
              </w:rPr>
            </w:pPr>
            <w:r>
              <w:rPr>
                <w:rFonts w:ascii="Arial" w:cs="Arial" w:eastAsia="Arial" w:hAnsi="Arial"/>
                <w:sz w:val="16"/>
                <w:szCs w:val="16"/>
                <w:color w:val="auto"/>
              </w:rPr>
              <w:t>10.2</w:t>
            </w:r>
          </w:p>
        </w:tc>
        <w:tc>
          <w:tcPr>
            <w:tcW w:w="8880" w:type="dxa"/>
            <w:vAlign w:val="bottom"/>
            <w:gridSpan w:val="28"/>
          </w:tcPr>
          <w:p>
            <w:pPr>
              <w:spacing w:after="0"/>
              <w:rPr>
                <w:rFonts w:ascii="Arial" w:cs="Arial" w:eastAsia="Arial" w:hAnsi="Arial"/>
                <w:sz w:val="16"/>
                <w:szCs w:val="16"/>
                <w:color w:val="0000FF"/>
              </w:rPr>
            </w:pPr>
            <w:hyperlink r:id="rId205">
              <w:r>
                <w:rPr>
                  <w:rFonts w:ascii="Arial" w:cs="Arial" w:eastAsia="Arial" w:hAnsi="Arial"/>
                  <w:sz w:val="16"/>
                  <w:szCs w:val="16"/>
                  <w:color w:val="0000FF"/>
                </w:rPr>
                <w:t>Forbearance Agreement, dated August 29, 2025, by and among Compass Group Diversified Holdings LLC, the Forbearing</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8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Noteholders thereto, and U.S. Bank National Association, in its capacity as Trustee under the Indenture dated March 23,</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6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2021 and Indenture dated November 17, 2021 (incorporated by reference to Exhibit 10.1 of the Form 8-K filed on</w:t>
              </w:r>
            </w:hyperlink>
          </w:p>
        </w:tc>
        <w:tc>
          <w:tcPr>
            <w:tcW w:w="20" w:type="dxa"/>
            <w:vAlign w:val="bottom"/>
          </w:tcPr>
          <w:p>
            <w:pPr>
              <w:spacing w:after="0"/>
              <w:rPr>
                <w:sz w:val="12"/>
                <w:szCs w:val="12"/>
                <w:color w:val="auto"/>
              </w:rPr>
            </w:pPr>
          </w:p>
        </w:tc>
        <w:tc>
          <w:tcPr>
            <w:tcW w:w="24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0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September 2, 2025 (File No. 001-34927)).</w:t>
              </w:r>
            </w:hyperlink>
          </w:p>
        </w:tc>
        <w:tc>
          <w:tcPr>
            <w:tcW w:w="560" w:type="dxa"/>
            <w:vAlign w:val="bottom"/>
            <w:gridSpan w:val="8"/>
          </w:tcPr>
          <w:p>
            <w:pPr>
              <w:spacing w:after="0"/>
              <w:rPr>
                <w:sz w:val="12"/>
                <w:szCs w:val="12"/>
                <w:color w:val="auto"/>
              </w:rPr>
            </w:pPr>
          </w:p>
        </w:tc>
        <w:tc>
          <w:tcPr>
            <w:tcW w:w="24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20" w:type="dxa"/>
            <w:vAlign w:val="bottom"/>
          </w:tcPr>
          <w:p>
            <w:pPr>
              <w:ind w:left="120"/>
              <w:spacing w:after="0"/>
              <w:rPr>
                <w:sz w:val="20"/>
                <w:szCs w:val="20"/>
                <w:color w:val="auto"/>
              </w:rPr>
            </w:pPr>
            <w:r>
              <w:rPr>
                <w:rFonts w:ascii="Arial" w:cs="Arial" w:eastAsia="Arial" w:hAnsi="Arial"/>
                <w:sz w:val="16"/>
                <w:szCs w:val="16"/>
                <w:color w:val="auto"/>
              </w:rPr>
              <w:t>31.1*</w:t>
            </w:r>
          </w:p>
        </w:tc>
        <w:tc>
          <w:tcPr>
            <w:tcW w:w="8880" w:type="dxa"/>
            <w:vAlign w:val="bottom"/>
            <w:gridSpan w:val="28"/>
          </w:tcPr>
          <w:p>
            <w:pPr>
              <w:spacing w:after="0"/>
              <w:rPr>
                <w:sz w:val="20"/>
                <w:szCs w:val="20"/>
                <w:color w:val="auto"/>
              </w:rPr>
            </w:pPr>
            <w:r>
              <w:rPr>
                <w:rFonts w:ascii="Arial" w:cs="Arial" w:eastAsia="Arial" w:hAnsi="Arial"/>
                <w:sz w:val="16"/>
                <w:szCs w:val="16"/>
                <w:color w:val="0000FF"/>
              </w:rPr>
              <w:t>Rule 13a-14(a)/15d-14(a) Certification of Chief Executive Officer of Registrant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20" w:type="dxa"/>
            <w:vAlign w:val="bottom"/>
          </w:tcPr>
          <w:p>
            <w:pPr>
              <w:ind w:left="120"/>
              <w:spacing w:after="0"/>
              <w:rPr>
                <w:sz w:val="20"/>
                <w:szCs w:val="20"/>
                <w:color w:val="auto"/>
              </w:rPr>
            </w:pPr>
            <w:r>
              <w:rPr>
                <w:rFonts w:ascii="Arial" w:cs="Arial" w:eastAsia="Arial" w:hAnsi="Arial"/>
                <w:sz w:val="16"/>
                <w:szCs w:val="16"/>
                <w:color w:val="auto"/>
              </w:rPr>
              <w:t>31.2*</w:t>
            </w:r>
          </w:p>
        </w:tc>
        <w:tc>
          <w:tcPr>
            <w:tcW w:w="8880" w:type="dxa"/>
            <w:vAlign w:val="bottom"/>
            <w:gridSpan w:val="28"/>
          </w:tcPr>
          <w:p>
            <w:pPr>
              <w:spacing w:after="0"/>
              <w:rPr>
                <w:sz w:val="20"/>
                <w:szCs w:val="20"/>
                <w:color w:val="auto"/>
              </w:rPr>
            </w:pPr>
            <w:r>
              <w:rPr>
                <w:rFonts w:ascii="Arial" w:cs="Arial" w:eastAsia="Arial" w:hAnsi="Arial"/>
                <w:sz w:val="16"/>
                <w:szCs w:val="16"/>
                <w:color w:val="0000FF"/>
              </w:rPr>
              <w:t>Rule 13a-14(a)/15d-14(a) Rule 13a-14(a)/15d-14(a) Certification of Chief Financial Officer of Registrant</w:t>
            </w:r>
          </w:p>
        </w:tc>
        <w:tc>
          <w:tcPr>
            <w:tcW w:w="0" w:type="dxa"/>
            <w:vAlign w:val="bottom"/>
          </w:tcPr>
          <w:p>
            <w:pPr>
              <w:spacing w:after="0"/>
              <w:rPr>
                <w:sz w:val="1"/>
                <w:szCs w:val="1"/>
                <w:color w:val="auto"/>
              </w:rPr>
            </w:pPr>
          </w:p>
        </w:tc>
      </w:tr>
      <w:tr>
        <w:trPr>
          <w:trHeight w:val="20"/>
        </w:trPr>
        <w:tc>
          <w:tcPr>
            <w:tcW w:w="222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2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20" w:type="dxa"/>
            <w:vAlign w:val="bottom"/>
            <w:vMerge w:val="continue"/>
          </w:tcPr>
          <w:p>
            <w:pPr>
              <w:spacing w:after="0"/>
              <w:rPr>
                <w:sz w:val="24"/>
                <w:szCs w:val="24"/>
                <w:color w:val="auto"/>
              </w:rPr>
            </w:pPr>
          </w:p>
        </w:tc>
        <w:tc>
          <w:tcPr>
            <w:tcW w:w="8880" w:type="dxa"/>
            <w:vAlign w:val="bottom"/>
            <w:gridSpan w:val="28"/>
          </w:tcPr>
          <w:p>
            <w:pPr>
              <w:spacing w:after="0"/>
              <w:rPr>
                <w:sz w:val="20"/>
                <w:szCs w:val="20"/>
                <w:color w:val="auto"/>
              </w:rPr>
            </w:pPr>
            <w:r>
              <w:rPr>
                <w:rFonts w:ascii="Arial" w:cs="Arial" w:eastAsia="Arial" w:hAnsi="Arial"/>
                <w:sz w:val="16"/>
                <w:szCs w:val="16"/>
                <w:color w:val="0000FF"/>
              </w:rPr>
              <w:t>Certification of Chief Executive Officer of Registrant pursuant to 18 U.S.C. Section 1350, as adopted pursuant to Section</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5840" w:type="dxa"/>
            <w:vAlign w:val="bottom"/>
            <w:tcBorders>
              <w:top w:val="single" w:sz="8" w:color="0000FF"/>
            </w:tcBorders>
            <w:gridSpan w:val="14"/>
          </w:tcPr>
          <w:p>
            <w:pPr>
              <w:spacing w:after="0"/>
              <w:rPr>
                <w:sz w:val="12"/>
                <w:szCs w:val="12"/>
                <w:color w:val="auto"/>
              </w:rPr>
            </w:pPr>
          </w:p>
        </w:tc>
        <w:tc>
          <w:tcPr>
            <w:tcW w:w="24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2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888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color w:val="0000FF"/>
              </w:rPr>
              <w:t>Certification of Chief Financial Officer of Registrant pursuant to 18 U.S.C. Section 1350, as adopted pursuant to Section 906</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4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of the Sarbanes-Oxley Act of 2002</w:t>
            </w:r>
          </w:p>
        </w:tc>
        <w:tc>
          <w:tcPr>
            <w:tcW w:w="6400" w:type="dxa"/>
            <w:vAlign w:val="bottom"/>
            <w:gridSpan w:val="26"/>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6"/>
                <w:szCs w:val="16"/>
                <w:color w:val="auto"/>
              </w:rPr>
              <w:t>101.INS*</w:t>
            </w:r>
          </w:p>
        </w:tc>
        <w:tc>
          <w:tcPr>
            <w:tcW w:w="8880" w:type="dxa"/>
            <w:vAlign w:val="bottom"/>
            <w:gridSpan w:val="28"/>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8880" w:type="dxa"/>
            <w:vAlign w:val="bottom"/>
            <w:gridSpan w:val="28"/>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377"/>
        </w:trPr>
        <w:tc>
          <w:tcPr>
            <w:tcW w:w="2220" w:type="dxa"/>
            <w:vAlign w:val="bottom"/>
          </w:tcPr>
          <w:p>
            <w:pPr>
              <w:spacing w:after="0"/>
              <w:rPr>
                <w:sz w:val="20"/>
                <w:szCs w:val="20"/>
                <w:color w:val="auto"/>
              </w:rPr>
            </w:pPr>
            <w:r>
              <w:rPr>
                <w:rFonts w:ascii="Arial" w:cs="Arial" w:eastAsia="Arial" w:hAnsi="Arial"/>
                <w:sz w:val="16"/>
                <w:szCs w:val="16"/>
                <w:color w:val="auto"/>
              </w:rPr>
              <w:t>101.SCH*</w:t>
            </w:r>
          </w:p>
        </w:tc>
        <w:tc>
          <w:tcPr>
            <w:tcW w:w="8880" w:type="dxa"/>
            <w:vAlign w:val="bottom"/>
            <w:gridSpan w:val="28"/>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18"/>
        </w:trPr>
        <w:tc>
          <w:tcPr>
            <w:tcW w:w="2220" w:type="dxa"/>
            <w:vAlign w:val="bottom"/>
          </w:tcPr>
          <w:p>
            <w:pPr>
              <w:spacing w:after="0"/>
              <w:rPr>
                <w:sz w:val="20"/>
                <w:szCs w:val="20"/>
                <w:color w:val="auto"/>
              </w:rPr>
            </w:pPr>
            <w:r>
              <w:rPr>
                <w:rFonts w:ascii="Arial" w:cs="Arial" w:eastAsia="Arial" w:hAnsi="Arial"/>
                <w:sz w:val="16"/>
                <w:szCs w:val="16"/>
                <w:color w:val="auto"/>
              </w:rPr>
              <w:t>101.CAL*</w:t>
            </w:r>
          </w:p>
        </w:tc>
        <w:tc>
          <w:tcPr>
            <w:tcW w:w="8880" w:type="dxa"/>
            <w:vAlign w:val="bottom"/>
            <w:gridSpan w:val="2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2220" w:type="dxa"/>
            <w:vAlign w:val="bottom"/>
          </w:tcPr>
          <w:p>
            <w:pPr>
              <w:spacing w:after="0"/>
              <w:rPr>
                <w:sz w:val="20"/>
                <w:szCs w:val="20"/>
                <w:color w:val="auto"/>
              </w:rPr>
            </w:pPr>
            <w:r>
              <w:rPr>
                <w:rFonts w:ascii="Arial" w:cs="Arial" w:eastAsia="Arial" w:hAnsi="Arial"/>
                <w:sz w:val="16"/>
                <w:szCs w:val="16"/>
                <w:color w:val="auto"/>
              </w:rPr>
              <w:t>101.DEF*</w:t>
            </w:r>
          </w:p>
        </w:tc>
        <w:tc>
          <w:tcPr>
            <w:tcW w:w="8880" w:type="dxa"/>
            <w:vAlign w:val="bottom"/>
            <w:gridSpan w:val="2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102235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184" w:right="45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00" w:lineRule="exact"/>
        <w:rPr>
          <w:sz w:val="20"/>
          <w:szCs w:val="20"/>
          <w:color w:val="auto"/>
        </w:rPr>
      </w:pPr>
    </w:p>
    <w:p>
      <w:pPr>
        <w:sectPr>
          <w:pgSz w:w="11900" w:h="16838" w:orient="portrait"/>
          <w:cols w:equalWidth="0" w:num="2">
            <w:col w:w="1500" w:space="720"/>
            <w:col w:w="8700"/>
          </w:cols>
          <w:pgMar w:left="340" w:top="1030" w:right="6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00" w:lineRule="exact"/>
        <w:rPr>
          <w:sz w:val="20"/>
          <w:szCs w:val="20"/>
          <w:color w:val="auto"/>
        </w:rPr>
      </w:pPr>
    </w:p>
    <w:p>
      <w:pPr>
        <w:sectPr>
          <w:pgSz w:w="11900" w:h="16838" w:orient="portrait"/>
          <w:cols w:equalWidth="0" w:num="2">
            <w:col w:w="1500" w:space="720"/>
            <w:col w:w="8700"/>
          </w:cols>
          <w:pgMar w:left="340" w:top="1030" w:right="6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Cover page formatted as Inline XBRL and contained in Exhibit 101</w:t>
      </w:r>
    </w:p>
    <w:p>
      <w:pPr>
        <w:spacing w:after="0" w:line="140" w:lineRule="exact"/>
        <w:rPr>
          <w:sz w:val="20"/>
          <w:szCs w:val="20"/>
          <w:color w:val="auto"/>
        </w:rPr>
      </w:pPr>
    </w:p>
    <w:p>
      <w:pPr>
        <w:sectPr>
          <w:pgSz w:w="11900" w:h="16838" w:orient="portrait"/>
          <w:cols w:equalWidth="0" w:num="2">
            <w:col w:w="1500" w:space="720"/>
            <w:col w:w="8700"/>
          </w:cols>
          <w:pgMar w:left="340" w:top="1030" w:right="639" w:bottom="1440" w:gutter="0" w:footer="0" w:header="0"/>
          <w:type w:val="continuous"/>
        </w:sectPr>
      </w:pPr>
    </w:p>
    <w:p>
      <w:pPr>
        <w:ind w:left="1400" w:hanging="1394"/>
        <w:spacing w:after="0"/>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jc w:val="both"/>
        <w:ind w:left="1400" w:hanging="1394"/>
        <w:spacing w:after="0" w:line="228" w:lineRule="auto"/>
        <w:tabs>
          <w:tab w:leader="none" w:pos="1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102235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030" w:right="639" w:bottom="1440" w:gutter="0" w:footer="0" w:header="0"/>
          <w:type w:val="continuous"/>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r>
              <w:rPr>
                <w:rFonts w:ascii="Arial" w:cs="Arial" w:eastAsia="Arial" w:hAnsi="Arial"/>
                <w:sz w:val="18"/>
                <w:szCs w:val="18"/>
                <w:color w:val="auto"/>
              </w:rPr>
              <w:t>Date: January 14, 2026</w:t>
            </w:r>
          </w:p>
        </w:tc>
        <w:tc>
          <w:tcPr>
            <w:tcW w:w="7260" w:type="dxa"/>
            <w:vAlign w:val="bottom"/>
            <w:gridSpan w:val="2"/>
          </w:tcPr>
          <w:p>
            <w:pPr>
              <w:ind w:left="2040"/>
              <w:spacing w:after="0"/>
              <w:rPr>
                <w:sz w:val="20"/>
                <w:szCs w:val="20"/>
                <w:color w:val="auto"/>
              </w:rPr>
            </w:pPr>
            <w:r>
              <w:rPr>
                <w:rFonts w:ascii="Arial" w:cs="Arial" w:eastAsia="Arial" w:hAnsi="Arial"/>
                <w:sz w:val="16"/>
                <w:szCs w:val="16"/>
                <w:color w:val="auto"/>
              </w:rPr>
              <w:t>COMPASS DIVERSIFIED HOLDINGS</w:t>
            </w:r>
          </w:p>
        </w:tc>
      </w:tr>
      <w:tr>
        <w:trPr>
          <w:trHeight w:val="481"/>
        </w:trPr>
        <w:tc>
          <w:tcPr>
            <w:tcW w:w="3920" w:type="dxa"/>
            <w:vAlign w:val="bottom"/>
          </w:tcPr>
          <w:p>
            <w:pPr>
              <w:spacing w:after="0"/>
              <w:rPr>
                <w:sz w:val="24"/>
                <w:szCs w:val="24"/>
                <w:color w:val="auto"/>
              </w:rPr>
            </w:pPr>
          </w:p>
        </w:tc>
        <w:tc>
          <w:tcPr>
            <w:tcW w:w="3100" w:type="dxa"/>
            <w:vAlign w:val="bottom"/>
          </w:tcPr>
          <w:p>
            <w:pPr>
              <w:ind w:left="204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Keller</w:t>
            </w:r>
          </w:p>
        </w:tc>
      </w:tr>
      <w:tr>
        <w:trPr>
          <w:trHeight w:val="209"/>
        </w:trPr>
        <w:tc>
          <w:tcPr>
            <w:tcW w:w="39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Stephen Keller</w:t>
            </w:r>
          </w:p>
        </w:tc>
      </w:tr>
      <w:tr>
        <w:trPr>
          <w:trHeight w:val="215"/>
        </w:trPr>
        <w:tc>
          <w:tcPr>
            <w:tcW w:w="39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r>
              <w:rPr>
                <w:rFonts w:ascii="Arial" w:cs="Arial" w:eastAsia="Arial" w:hAnsi="Arial"/>
                <w:sz w:val="18"/>
                <w:szCs w:val="18"/>
                <w:color w:val="auto"/>
              </w:rPr>
              <w:t>Date: January 14, 2026</w:t>
            </w:r>
          </w:p>
        </w:tc>
        <w:tc>
          <w:tcPr>
            <w:tcW w:w="7260" w:type="dxa"/>
            <w:vAlign w:val="bottom"/>
            <w:gridSpan w:val="2"/>
          </w:tcPr>
          <w:p>
            <w:pPr>
              <w:ind w:left="2040"/>
              <w:spacing w:after="0"/>
              <w:rPr>
                <w:sz w:val="20"/>
                <w:szCs w:val="20"/>
                <w:color w:val="auto"/>
              </w:rPr>
            </w:pPr>
            <w:r>
              <w:rPr>
                <w:rFonts w:ascii="Arial" w:cs="Arial" w:eastAsia="Arial" w:hAnsi="Arial"/>
                <w:sz w:val="16"/>
                <w:szCs w:val="16"/>
                <w:color w:val="auto"/>
              </w:rPr>
              <w:t>COMPASS GROUP DIVERSIFIED HOLDINGS LLC</w:t>
            </w:r>
          </w:p>
        </w:tc>
      </w:tr>
      <w:tr>
        <w:trPr>
          <w:trHeight w:val="481"/>
        </w:trPr>
        <w:tc>
          <w:tcPr>
            <w:tcW w:w="3920" w:type="dxa"/>
            <w:vAlign w:val="bottom"/>
          </w:tcPr>
          <w:p>
            <w:pPr>
              <w:spacing w:after="0"/>
              <w:rPr>
                <w:sz w:val="24"/>
                <w:szCs w:val="24"/>
                <w:color w:val="auto"/>
              </w:rPr>
            </w:pPr>
          </w:p>
        </w:tc>
        <w:tc>
          <w:tcPr>
            <w:tcW w:w="3100" w:type="dxa"/>
            <w:vAlign w:val="bottom"/>
          </w:tcPr>
          <w:p>
            <w:pPr>
              <w:ind w:left="204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Keller</w:t>
            </w:r>
          </w:p>
        </w:tc>
      </w:tr>
      <w:tr>
        <w:trPr>
          <w:trHeight w:val="209"/>
        </w:trPr>
        <w:tc>
          <w:tcPr>
            <w:tcW w:w="39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Stephen Keller</w:t>
            </w:r>
          </w:p>
        </w:tc>
      </w:tr>
    </w:tbl>
    <w:p>
      <w:pPr>
        <w:ind w:left="7060"/>
        <w:spacing w:after="0" w:line="233" w:lineRule="auto"/>
        <w:rPr>
          <w:sz w:val="20"/>
          <w:szCs w:val="20"/>
          <w:color w:val="auto"/>
        </w:rPr>
      </w:pPr>
      <w:r>
        <w:rPr>
          <w:rFonts w:ascii="Arial" w:cs="Arial" w:eastAsia="Arial" w:hAnsi="Arial"/>
          <w:sz w:val="16"/>
          <w:szCs w:val="16"/>
          <w:i w:val="1"/>
          <w:iCs w:val="1"/>
          <w:color w:val="auto"/>
        </w:rPr>
        <w:t>Chief Financial Officer</w:t>
      </w:r>
    </w:p>
    <w:p>
      <w:pPr>
        <w:ind w:left="70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5"/>
        </w:trPr>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60" w:type="dxa"/>
            <w:vAlign w:val="bottom"/>
            <w:gridSpan w:val="23"/>
          </w:tcPr>
          <w:p>
            <w:pPr>
              <w:ind w:left="1660"/>
              <w:spacing w:after="0"/>
              <w:rPr>
                <w:sz w:val="20"/>
                <w:szCs w:val="20"/>
                <w:color w:val="auto"/>
              </w:rPr>
            </w:pPr>
            <w:r>
              <w:rPr>
                <w:rFonts w:ascii="Arial" w:cs="Arial" w:eastAsia="Arial" w:hAnsi="Arial"/>
                <w:sz w:val="17"/>
                <w:szCs w:val="17"/>
                <w:b w:val="1"/>
                <w:bCs w:val="1"/>
                <w:color w:val="auto"/>
              </w:rPr>
              <w:t>EXHIBIT INDEX</w:t>
            </w:r>
          </w:p>
        </w:tc>
      </w:tr>
      <w:tr>
        <w:trPr>
          <w:trHeight w:val="287"/>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580" w:type="dxa"/>
            <w:vAlign w:val="bottom"/>
            <w:gridSpan w:val="27"/>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7">
              <w:r>
                <w:rPr>
                  <w:rFonts w:ascii="Arial" w:cs="Arial" w:eastAsia="Arial" w:hAnsi="Arial"/>
                  <w:sz w:val="16"/>
                  <w:szCs w:val="16"/>
                  <w:color w:val="0000FF"/>
                </w:rPr>
                <w:t>Third Amended and Restated Trust Agreement of the Trust (incorporated by reference to Exhibit 3.1 of the Form 8-K</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filed on August 4, 2021 (File No. 001-34927)).</w:t>
              </w:r>
            </w:hyperlink>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8">
              <w:r>
                <w:rPr>
                  <w:rFonts w:ascii="Arial" w:cs="Arial" w:eastAsia="Arial" w:hAnsi="Arial"/>
                  <w:sz w:val="16"/>
                  <w:szCs w:val="16"/>
                  <w:color w:val="0000FF"/>
                </w:rPr>
                <w:t>First amendment to Third Amended and Restated Trust Agreement of the Trust (incorporated by reference to Exhibit</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3.</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Form 8-K filed on September 3, 2024 (File No. 001-34926)).</w:t>
              </w:r>
            </w:hyperlink>
          </w:p>
        </w:tc>
        <w:tc>
          <w:tcPr>
            <w:tcW w:w="3300" w:type="dxa"/>
            <w:vAlign w:val="bottom"/>
            <w:tcBorders>
              <w:top w:val="single" w:sz="8" w:color="0000FF"/>
            </w:tcBorders>
            <w:gridSpan w:val="13"/>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3.3</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7">
              <w:r>
                <w:rPr>
                  <w:rFonts w:ascii="Arial" w:cs="Arial" w:eastAsia="Arial" w:hAnsi="Arial"/>
                  <w:sz w:val="16"/>
                  <w:szCs w:val="16"/>
                  <w:color w:val="0000FF"/>
                </w:rPr>
                <w:t>Sixth Amended and Restated Operating Agreement of the Company (incorporated by reference to Exhibit 3.2 of the</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Form 8-K filed on August 4, 2021 (File No. 001-34927)).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3.4</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9">
              <w:r>
                <w:rPr>
                  <w:rFonts w:ascii="Arial" w:cs="Arial" w:eastAsia="Arial" w:hAnsi="Arial"/>
                  <w:sz w:val="16"/>
                  <w:szCs w:val="16"/>
                  <w:color w:val="0000FF"/>
                </w:rPr>
                <w:t>First Amendment to the Sixth Amended and Restated Operating Agreement of the Company (incorporated by</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reference to Exhibit 3.1 of the Form 8-K filed on February 14, 2022 (File No. 001-34927)).</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3.5</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8">
              <w:r>
                <w:rPr>
                  <w:rFonts w:ascii="Arial" w:cs="Arial" w:eastAsia="Arial" w:hAnsi="Arial"/>
                  <w:sz w:val="16"/>
                  <w:szCs w:val="16"/>
                  <w:color w:val="0000FF"/>
                </w:rPr>
                <w:t>Second Amendment to the Sixth Amended and Restated Trust agreement of the Trust (incorporated by reference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Exhibit 3.2 of the Form 8-K filed on September 3, 2024 (File No. 001-34926)).</w:t>
              </w:r>
            </w:hyperlink>
          </w:p>
        </w:tc>
        <w:tc>
          <w:tcPr>
            <w:tcW w:w="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3.6</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7">
              <w:r>
                <w:rPr>
                  <w:rFonts w:ascii="Arial" w:cs="Arial" w:eastAsia="Arial" w:hAnsi="Arial"/>
                  <w:sz w:val="16"/>
                  <w:szCs w:val="16"/>
                  <w:color w:val="0000FF"/>
                </w:rPr>
                <w:t>Amended and Restated Share Designation of Compass Diversified Holdings with respect to Series A Preferred Shares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3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(incorporated by reference to Exhibit 3.3 of the Form 8-K filed on August 4, 2021 (File No. 001-34927))</w:t>
              </w:r>
            </w:hyperlink>
          </w:p>
        </w:tc>
        <w:tc>
          <w:tcPr>
            <w:tcW w:w="11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3.7</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Amended and Restated Share Designation of Compass Diversified Holdings with respect to Series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A Preferred Shares (incorporated by reference to Exhibit 3.1 of the Form 8-K filed on March 20, 2024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90">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66"/>
        </w:trPr>
        <w:tc>
          <w:tcPr>
            <w:tcW w:w="1200" w:type="dxa"/>
            <w:vAlign w:val="bottom"/>
          </w:tcPr>
          <w:p>
            <w:pPr>
              <w:ind w:left="120"/>
              <w:spacing w:after="0"/>
              <w:rPr>
                <w:sz w:val="20"/>
                <w:szCs w:val="20"/>
                <w:color w:val="auto"/>
              </w:rPr>
            </w:pPr>
            <w:r>
              <w:rPr>
                <w:rFonts w:ascii="Arial" w:cs="Arial" w:eastAsia="Arial" w:hAnsi="Arial"/>
                <w:sz w:val="16"/>
                <w:szCs w:val="16"/>
                <w:color w:val="auto"/>
              </w:rPr>
              <w:t>3.8</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1">
              <w:r>
                <w:rPr>
                  <w:rFonts w:ascii="Arial" w:cs="Arial" w:eastAsia="Arial" w:hAnsi="Arial"/>
                  <w:sz w:val="16"/>
                  <w:szCs w:val="16"/>
                  <w:color w:val="0000FF"/>
                </w:rPr>
                <w:t>Second Amendment to Amended and Restated Share Designation of Compass Diversified Holdings with respect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Series A Preferred Shares (incorporated by reference Exhibit 4.11 of the Form S-3 filed on September 4, 2024 (File</w:t>
              </w:r>
            </w:hyperlink>
          </w:p>
        </w:tc>
        <w:tc>
          <w:tcPr>
            <w:tcW w:w="40" w:type="dxa"/>
            <w:vAlign w:val="bottom"/>
            <w:tcBorders>
              <w:bottom w:val="single" w:sz="8" w:color="0000FF"/>
            </w:tcBorders>
            <w:gridSpan w:val="2"/>
          </w:tcPr>
          <w:p>
            <w:pPr>
              <w:spacing w:after="0"/>
              <w:rPr>
                <w:sz w:val="12"/>
                <w:szCs w:val="12"/>
                <w:color w:val="auto"/>
              </w:rPr>
            </w:pPr>
          </w:p>
        </w:tc>
        <w:tc>
          <w:tcPr>
            <w:tcW w:w="300" w:type="dxa"/>
            <w:vAlign w:val="bottom"/>
            <w:tcBorders>
              <w:bottom w:val="single" w:sz="8" w:color="0000FF"/>
            </w:tcBorders>
            <w:gridSpan w:val="9"/>
          </w:tcPr>
          <w:p>
            <w:pPr>
              <w:jc w:val="right"/>
              <w:ind w:right="40"/>
              <w:spacing w:after="0" w:line="142" w:lineRule="exact"/>
              <w:rPr>
                <w:rFonts w:ascii="Arial" w:cs="Arial" w:eastAsia="Arial" w:hAnsi="Arial"/>
                <w:sz w:val="16"/>
                <w:szCs w:val="16"/>
                <w:color w:val="0000FF"/>
                <w:w w:val="96"/>
              </w:rPr>
            </w:pPr>
            <w:hyperlink r:id="rId191">
              <w:r>
                <w:rPr>
                  <w:rFonts w:ascii="Arial" w:cs="Arial" w:eastAsia="Arial" w:hAnsi="Arial"/>
                  <w:sz w:val="16"/>
                  <w:szCs w:val="16"/>
                  <w:color w:val="0000FF"/>
                  <w:w w:val="96"/>
                </w:rPr>
                <w:t>No.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bottom w:val="single" w:sz="8" w:color="0000FF"/>
            </w:tcBorders>
            <w:gridSpan w:val="4"/>
          </w:tcPr>
          <w:p>
            <w:pPr>
              <w:spacing w:after="0" w:line="142" w:lineRule="exact"/>
              <w:rPr>
                <w:rFonts w:ascii="Arial" w:cs="Arial" w:eastAsia="Arial" w:hAnsi="Arial"/>
                <w:sz w:val="16"/>
                <w:szCs w:val="16"/>
                <w:color w:val="0000FF"/>
                <w:w w:val="99"/>
              </w:rPr>
            </w:pPr>
            <w:hyperlink r:id="rId191">
              <w:r>
                <w:rPr>
                  <w:rFonts w:ascii="Arial" w:cs="Arial" w:eastAsia="Arial" w:hAnsi="Arial"/>
                  <w:sz w:val="16"/>
                  <w:szCs w:val="16"/>
                  <w:color w:val="0000FF"/>
                  <w:w w:val="99"/>
                </w:rPr>
                <w:t>333-281931)).</w:t>
              </w:r>
            </w:hyperlink>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3.9</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2">
              <w:r>
                <w:rPr>
                  <w:rFonts w:ascii="Arial" w:cs="Arial" w:eastAsia="Arial" w:hAnsi="Arial"/>
                  <w:sz w:val="16"/>
                  <w:szCs w:val="16"/>
                  <w:color w:val="0000FF"/>
                </w:rPr>
                <w:t>Compass Group Diversified Holdings LLC Trust Interest Designation of Series A Trust Preferred Interests (incorporated</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by reference to Exhibit 3.2 of the Form 8-K filed on June 28, 2017 (File No. 001-34927))</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360" w:type="dxa"/>
            <w:vAlign w:val="bottom"/>
            <w:gridSpan w:val="6"/>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3.10</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Trust Interest Designation of Compass Group Diversified Holdings LLC with respect to Series A</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Trust Preferred Interests (incorporated by reference to Exhibit 3.4 of the Form 8-K filed on March 20, 2024 (File No.</w:t>
              </w:r>
            </w:hyperlink>
          </w:p>
        </w:tc>
        <w:tc>
          <w:tcPr>
            <w:tcW w:w="120" w:type="dxa"/>
            <w:vAlign w:val="bottom"/>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90">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3">
              <w:r>
                <w:rPr>
                  <w:rFonts w:ascii="Arial" w:cs="Arial" w:eastAsia="Arial" w:hAnsi="Arial"/>
                  <w:sz w:val="16"/>
                  <w:szCs w:val="16"/>
                  <w:color w:val="0000FF"/>
                </w:rPr>
                <w:t>Second Amendment to Trust Interest Designation of Compass Group Diversified Holdings LLC with respect to Series A</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Trust Preferred Interests (incorporated by reference Exhibit 4.14 of the Form S-3 filed on September 4, 2024 (File No.</w:t>
              </w:r>
            </w:hyperlink>
          </w:p>
        </w:tc>
        <w:tc>
          <w:tcPr>
            <w:tcW w:w="60" w:type="dxa"/>
            <w:vAlign w:val="bottom"/>
            <w:gridSpan w:val="3"/>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93">
              <w:r>
                <w:rPr>
                  <w:rFonts w:ascii="Arial" w:cs="Arial" w:eastAsia="Arial" w:hAnsi="Arial"/>
                  <w:sz w:val="16"/>
                  <w:szCs w:val="16"/>
                  <w:color w:val="0000FF"/>
                  <w:w w:val="99"/>
                </w:rPr>
                <w:t>333-281931)).</w:t>
              </w:r>
            </w:hyperlink>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66"/>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7">
              <w:r>
                <w:rPr>
                  <w:rFonts w:ascii="Arial" w:cs="Arial" w:eastAsia="Arial" w:hAnsi="Arial"/>
                  <w:sz w:val="16"/>
                  <w:szCs w:val="16"/>
                  <w:color w:val="0000FF"/>
                </w:rPr>
                <w:t>Amended and Restated Share Designation of Compass Diversified Holdings with respect to Series B Preferred Shares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(incorporated by reference to Exhibit 3.4 of the Form 8-K filed on August 4, 2021 (File No. 001-34927)).</w:t>
              </w:r>
            </w:hyperlink>
          </w:p>
        </w:tc>
        <w:tc>
          <w:tcPr>
            <w:tcW w:w="80" w:type="dxa"/>
            <w:vAlign w:val="bottom"/>
            <w:gridSpan w:val="4"/>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80" w:type="dxa"/>
            <w:vAlign w:val="bottom"/>
            <w:gridSpan w:val="1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3.13</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Amended and Restated Share Designation of Compass Diversified Holdings with respect to Series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B Preferred Shares (incorporated by reference to Exhibit 3.2 of the Form 8-K filed on March 20, 2024 (File No. 001-</w:t>
              </w:r>
            </w:hyperlink>
          </w:p>
        </w:tc>
        <w:tc>
          <w:tcPr>
            <w:tcW w:w="40" w:type="dxa"/>
            <w:vAlign w:val="bottom"/>
            <w:gridSpan w:val="2"/>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90">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3.14</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4">
              <w:r>
                <w:rPr>
                  <w:rFonts w:ascii="Arial" w:cs="Arial" w:eastAsia="Arial" w:hAnsi="Arial"/>
                  <w:sz w:val="16"/>
                  <w:szCs w:val="16"/>
                  <w:color w:val="0000FF"/>
                </w:rPr>
                <w:t>Second Amendment to Amended and Restated Share Designation of Compass Diversified Holdings with respect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Series B Preferred Shares (incorporated by reference Exhibit 4.17 of the Form S-3 filed on September 4, 2024 (File</w:t>
              </w:r>
            </w:hyperlink>
          </w:p>
        </w:tc>
        <w:tc>
          <w:tcPr>
            <w:tcW w:w="340" w:type="dxa"/>
            <w:vAlign w:val="bottom"/>
            <w:tcBorders>
              <w:bottom w:val="single" w:sz="8" w:color="0000FF"/>
            </w:tcBorders>
            <w:gridSpan w:val="11"/>
          </w:tcPr>
          <w:p>
            <w:pPr>
              <w:jc w:val="right"/>
              <w:ind w:right="40"/>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No.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bottom w:val="single" w:sz="8" w:color="0000FF"/>
            </w:tcBorders>
            <w:gridSpan w:val="4"/>
          </w:tcPr>
          <w:p>
            <w:pPr>
              <w:spacing w:after="0" w:line="142" w:lineRule="exact"/>
              <w:rPr>
                <w:rFonts w:ascii="Arial" w:cs="Arial" w:eastAsia="Arial" w:hAnsi="Arial"/>
                <w:sz w:val="16"/>
                <w:szCs w:val="16"/>
                <w:color w:val="0000FF"/>
                <w:w w:val="99"/>
              </w:rPr>
            </w:pPr>
            <w:hyperlink r:id="rId194">
              <w:r>
                <w:rPr>
                  <w:rFonts w:ascii="Arial" w:cs="Arial" w:eastAsia="Arial" w:hAnsi="Arial"/>
                  <w:sz w:val="16"/>
                  <w:szCs w:val="16"/>
                  <w:color w:val="0000FF"/>
                  <w:w w:val="99"/>
                </w:rPr>
                <w:t>333-281931)).</w:t>
              </w:r>
            </w:hyperlink>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3.15</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5">
              <w:r>
                <w:rPr>
                  <w:rFonts w:ascii="Arial" w:cs="Arial" w:eastAsia="Arial" w:hAnsi="Arial"/>
                  <w:sz w:val="16"/>
                  <w:szCs w:val="16"/>
                  <w:color w:val="0000FF"/>
                </w:rPr>
                <w:t>Trust Interest Designation of Compass Group Diversified Holdings LLC with respect to Series B Trust Preferred</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9"/>
              </w:rPr>
            </w:pPr>
            <w:hyperlink r:id="rId195">
              <w:r>
                <w:rPr>
                  <w:rFonts w:ascii="Arial" w:cs="Arial" w:eastAsia="Arial" w:hAnsi="Arial"/>
                  <w:sz w:val="16"/>
                  <w:szCs w:val="16"/>
                  <w:color w:val="0000FF"/>
                  <w:w w:val="99"/>
                </w:rPr>
                <w:t>Interests (incorporated by reference to Exhibit 3.2 of the Form 8-K filed on March 13, 2018 (File No. 001-34927)),</w:t>
              </w:r>
            </w:hyperlink>
          </w:p>
        </w:tc>
        <w:tc>
          <w:tcPr>
            <w:tcW w:w="140" w:type="dxa"/>
            <w:vAlign w:val="bottom"/>
            <w:tcBorders>
              <w:bottom w:val="single" w:sz="8" w:color="0000FF"/>
            </w:tcBorders>
          </w:tcPr>
          <w:p>
            <w:pPr>
              <w:spacing w:after="0"/>
              <w:rPr>
                <w:sz w:val="12"/>
                <w:szCs w:val="12"/>
                <w:color w:val="auto"/>
              </w:rPr>
            </w:pPr>
          </w:p>
        </w:tc>
        <w:tc>
          <w:tcPr>
            <w:tcW w:w="500" w:type="dxa"/>
            <w:vAlign w:val="bottom"/>
            <w:gridSpan w:val="12"/>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3.16</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Trust Interest Designation of Compass Group Diversified Holdings LLC with respect to Series B</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Trust Preferred Interests (incorporated by reference to Exhibit 3.5 of the Form 8-K filed on March 20, 2024 (File No.</w:t>
              </w:r>
            </w:hyperlink>
          </w:p>
        </w:tc>
        <w:tc>
          <w:tcPr>
            <w:tcW w:w="300" w:type="dxa"/>
            <w:vAlign w:val="bottom"/>
            <w:gridSpan w:val="9"/>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90">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3.17</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96">
              <w:r>
                <w:rPr>
                  <w:rFonts w:ascii="Arial" w:cs="Arial" w:eastAsia="Arial" w:hAnsi="Arial"/>
                  <w:sz w:val="16"/>
                  <w:szCs w:val="16"/>
                  <w:color w:val="0000FF"/>
                </w:rPr>
                <w:t>Second Amendment to Trust Interest Designation of Compass Group Diversified Holdings LLC with respect to Series B</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Trust Preferred Interests (incorporated by reference Exhibit 4.20 of the Form S-3 filed on September 4, 2024 (File No.</w:t>
              </w:r>
            </w:hyperlink>
          </w:p>
        </w:tc>
        <w:tc>
          <w:tcPr>
            <w:tcW w:w="60" w:type="dxa"/>
            <w:vAlign w:val="bottom"/>
            <w:gridSpan w:val="3"/>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96">
              <w:r>
                <w:rPr>
                  <w:rFonts w:ascii="Arial" w:cs="Arial" w:eastAsia="Arial" w:hAnsi="Arial"/>
                  <w:sz w:val="16"/>
                  <w:szCs w:val="16"/>
                  <w:color w:val="0000FF"/>
                  <w:w w:val="99"/>
                </w:rPr>
                <w:t>333-281931)).</w:t>
              </w:r>
            </w:hyperlink>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887" w:right="7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4"/>
        </w:trPr>
        <w:tc>
          <w:tcPr>
            <w:tcW w:w="2300" w:type="dxa"/>
            <w:vAlign w:val="bottom"/>
          </w:tcPr>
          <w:p>
            <w:pPr>
              <w:ind w:left="120"/>
              <w:spacing w:after="0"/>
              <w:rPr>
                <w:sz w:val="20"/>
                <w:szCs w:val="20"/>
                <w:color w:val="auto"/>
              </w:rPr>
            </w:pPr>
            <w:r>
              <w:rPr>
                <w:rFonts w:ascii="Arial" w:cs="Arial" w:eastAsia="Arial" w:hAnsi="Arial"/>
                <w:sz w:val="16"/>
                <w:szCs w:val="16"/>
                <w:color w:val="auto"/>
              </w:rPr>
              <w:t>3.18</w:t>
            </w:r>
          </w:p>
        </w:tc>
        <w:tc>
          <w:tcPr>
            <w:tcW w:w="8560" w:type="dxa"/>
            <w:vAlign w:val="bottom"/>
            <w:gridSpan w:val="31"/>
          </w:tcPr>
          <w:p>
            <w:pPr>
              <w:spacing w:after="0"/>
              <w:rPr>
                <w:rFonts w:ascii="Arial" w:cs="Arial" w:eastAsia="Arial" w:hAnsi="Arial"/>
                <w:sz w:val="16"/>
                <w:szCs w:val="16"/>
                <w:color w:val="0000FF"/>
              </w:rPr>
            </w:pPr>
            <w:hyperlink r:id="rId187">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(incorporated by reference to Exhibit 3.5 of the Form 8-K filed on August 4, 2021 (File No. 001-34927)).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3.19</w:t>
            </w:r>
          </w:p>
        </w:tc>
        <w:tc>
          <w:tcPr>
            <w:tcW w:w="8560" w:type="dxa"/>
            <w:vAlign w:val="bottom"/>
            <w:gridSpan w:val="31"/>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Amended and Restated Share Designation of Compass Diversified Holdings with respect to Series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C Preferred Shares (incorporated by reference to Exhibit 3.3 of the Form 8-K filed on March 20, 2024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90">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3.20</w:t>
            </w:r>
          </w:p>
        </w:tc>
        <w:tc>
          <w:tcPr>
            <w:tcW w:w="8560" w:type="dxa"/>
            <w:vAlign w:val="bottom"/>
            <w:gridSpan w:val="31"/>
          </w:tcPr>
          <w:p>
            <w:pPr>
              <w:spacing w:after="0"/>
              <w:rPr>
                <w:rFonts w:ascii="Arial" w:cs="Arial" w:eastAsia="Arial" w:hAnsi="Arial"/>
                <w:sz w:val="16"/>
                <w:szCs w:val="16"/>
                <w:color w:val="0000FF"/>
              </w:rPr>
            </w:pPr>
            <w:hyperlink r:id="rId199">
              <w:r>
                <w:rPr>
                  <w:rFonts w:ascii="Arial" w:cs="Arial" w:eastAsia="Arial" w:hAnsi="Arial"/>
                  <w:sz w:val="16"/>
                  <w:szCs w:val="16"/>
                  <w:color w:val="0000FF"/>
                </w:rPr>
                <w:t>Second Amendment to Amended and Restated Share Designation of Compass Diversified Holdings with respect to</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2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Series C Preferred Shares (incorporated by reference Exhibit 4.23 of the Form S-3 filed on September 4, 2024 (File</w:t>
              </w:r>
            </w:hyperlink>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No. 333-281931)).</w:t>
              </w:r>
            </w:hyperlink>
          </w:p>
        </w:tc>
        <w:tc>
          <w:tcPr>
            <w:tcW w:w="69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3.21</w:t>
            </w:r>
          </w:p>
        </w:tc>
        <w:tc>
          <w:tcPr>
            <w:tcW w:w="7980" w:type="dxa"/>
            <w:vAlign w:val="bottom"/>
            <w:tcBorders>
              <w:bottom w:val="single" w:sz="8" w:color="0000FF"/>
            </w:tcBorders>
            <w:gridSpan w:val="13"/>
          </w:tcPr>
          <w:p>
            <w:pPr>
              <w:spacing w:after="0"/>
              <w:rPr>
                <w:rFonts w:ascii="Arial" w:cs="Arial" w:eastAsia="Arial" w:hAnsi="Arial"/>
                <w:sz w:val="16"/>
                <w:szCs w:val="16"/>
                <w:color w:val="0000FF"/>
              </w:rPr>
            </w:pPr>
            <w:hyperlink r:id="rId200">
              <w:r>
                <w:rPr>
                  <w:rFonts w:ascii="Arial" w:cs="Arial" w:eastAsia="Arial" w:hAnsi="Arial"/>
                  <w:sz w:val="16"/>
                  <w:szCs w:val="16"/>
                  <w:color w:val="0000FF"/>
                </w:rPr>
                <w:t>Trust Interest Designation of Compass Group Diversified Holdings LLC with respect to Series C Trust Preferred</w:t>
              </w:r>
            </w:hyperlink>
          </w:p>
        </w:tc>
        <w:tc>
          <w:tcPr>
            <w:tcW w:w="5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60" w:type="dxa"/>
            <w:vAlign w:val="bottom"/>
            <w:gridSpan w:val="31"/>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Interests (incorporated by reference to Exhibit 3.2 of the Form 8-K filed on November 20, 2019 (File No. 001-34927)).</w:t>
              </w:r>
            </w:hyperlink>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3.22</w:t>
            </w:r>
          </w:p>
        </w:tc>
        <w:tc>
          <w:tcPr>
            <w:tcW w:w="8380" w:type="dxa"/>
            <w:vAlign w:val="bottom"/>
            <w:tcBorders>
              <w:top w:val="single" w:sz="8" w:color="0000FF"/>
            </w:tcBorders>
            <w:gridSpan w:val="23"/>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First Amendment to Trust Interest Designation of Compass Group Diversified Holdings LLC with respect to Series C</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2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Trust Preferred Interests (incorporated by reference to Exhibit 3.6 of the Form 8-K filed on March 20, 2024 (File No.</w:t>
              </w:r>
            </w:hyperlink>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190">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3.23</w:t>
            </w:r>
          </w:p>
        </w:tc>
        <w:tc>
          <w:tcPr>
            <w:tcW w:w="8560" w:type="dxa"/>
            <w:vAlign w:val="bottom"/>
            <w:gridSpan w:val="31"/>
          </w:tcPr>
          <w:p>
            <w:pPr>
              <w:spacing w:after="0"/>
              <w:rPr>
                <w:rFonts w:ascii="Arial" w:cs="Arial" w:eastAsia="Arial" w:hAnsi="Arial"/>
                <w:sz w:val="16"/>
                <w:szCs w:val="16"/>
                <w:color w:val="0000FF"/>
              </w:rPr>
            </w:pPr>
            <w:hyperlink r:id="rId201">
              <w:r>
                <w:rPr>
                  <w:rFonts w:ascii="Arial" w:cs="Arial" w:eastAsia="Arial" w:hAnsi="Arial"/>
                  <w:sz w:val="16"/>
                  <w:szCs w:val="16"/>
                  <w:color w:val="0000FF"/>
                </w:rPr>
                <w:t>Second Amendment to Trust Interest Designation of Compass Group Diversified Holdings LLC with respect to Series C</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Trust Preferred Interests (incorporated by reference Exhibit 4.26 of the Form S-3 filed on September 4, 2024 (File No.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201">
              <w:r>
                <w:rPr>
                  <w:rFonts w:ascii="Arial" w:cs="Arial" w:eastAsia="Arial" w:hAnsi="Arial"/>
                  <w:sz w:val="16"/>
                  <w:szCs w:val="16"/>
                  <w:color w:val="0000FF"/>
                  <w:w w:val="99"/>
                </w:rPr>
                <w:t>333-281931)).</w:t>
              </w:r>
            </w:hyperlink>
          </w:p>
        </w:tc>
        <w:tc>
          <w:tcPr>
            <w:tcW w:w="30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4.1</w:t>
            </w:r>
          </w:p>
        </w:tc>
        <w:tc>
          <w:tcPr>
            <w:tcW w:w="8560" w:type="dxa"/>
            <w:vAlign w:val="bottom"/>
            <w:gridSpan w:val="31"/>
          </w:tcPr>
          <w:p>
            <w:pPr>
              <w:spacing w:after="0"/>
              <w:rPr>
                <w:rFonts w:ascii="Arial" w:cs="Arial" w:eastAsia="Arial" w:hAnsi="Arial"/>
                <w:sz w:val="16"/>
                <w:szCs w:val="16"/>
                <w:color w:val="0000FF"/>
              </w:rPr>
            </w:pPr>
            <w:hyperlink r:id="rId202">
              <w:r>
                <w:rPr>
                  <w:rFonts w:ascii="Arial" w:cs="Arial" w:eastAsia="Arial" w:hAnsi="Arial"/>
                  <w:sz w:val="16"/>
                  <w:szCs w:val="16"/>
                  <w:color w:val="0000FF"/>
                </w:rPr>
                <w:t>Second Supplemental Indenture, dated as of September 9, 2025, to the Indenture dated as of March 23, 2021, as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1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amended, by and between Compass Group Diversified Holdings LLC and U.S. Bank Trust Company, National</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78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Association, as trustee (incorporated by reference to Exhibit 4.1 of the Form 8-K filed on September 10, 2025</w:t>
              </w:r>
            </w:hyperlink>
          </w:p>
        </w:tc>
        <w:tc>
          <w:tcPr>
            <w:tcW w:w="700" w:type="dxa"/>
            <w:vAlign w:val="bottom"/>
            <w:gridSpan w:val="20"/>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(File No.</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202">
              <w:r>
                <w:rPr>
                  <w:rFonts w:ascii="Arial" w:cs="Arial" w:eastAsia="Arial" w:hAnsi="Arial"/>
                  <w:sz w:val="16"/>
                  <w:szCs w:val="16"/>
                  <w:color w:val="0000FF"/>
                  <w:w w:val="98"/>
                </w:rPr>
                <w:t>001-34927)).</w:t>
              </w:r>
            </w:hyperlink>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4.2</w:t>
            </w:r>
          </w:p>
        </w:tc>
        <w:tc>
          <w:tcPr>
            <w:tcW w:w="8560" w:type="dxa"/>
            <w:vAlign w:val="bottom"/>
            <w:gridSpan w:val="31"/>
          </w:tcPr>
          <w:p>
            <w:pPr>
              <w:spacing w:after="0"/>
              <w:rPr>
                <w:rFonts w:ascii="Arial" w:cs="Arial" w:eastAsia="Arial" w:hAnsi="Arial"/>
                <w:sz w:val="16"/>
                <w:szCs w:val="16"/>
                <w:color w:val="0000FF"/>
              </w:rPr>
            </w:pPr>
            <w:hyperlink r:id="rId203">
              <w:r>
                <w:rPr>
                  <w:rFonts w:ascii="Arial" w:cs="Arial" w:eastAsia="Arial" w:hAnsi="Arial"/>
                  <w:sz w:val="16"/>
                  <w:szCs w:val="16"/>
                  <w:color w:val="0000FF"/>
                </w:rPr>
                <w:t>Second Supplemental Indenture, dated as of September 9, 2025, to the Indenture dated as of November 17, 2021, as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4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amended, by and between Compass Group Diversified Holdings LLC and U.S. Bank Trust Company, National</w:t>
              </w:r>
            </w:hyperlink>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78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Association, as trustee (incorporated by reference to Exhibit 4.2 of the Form 8-K filed on September 10, 2025</w:t>
              </w:r>
            </w:hyperlink>
          </w:p>
        </w:tc>
        <w:tc>
          <w:tcPr>
            <w:tcW w:w="700" w:type="dxa"/>
            <w:vAlign w:val="bottom"/>
            <w:gridSpan w:val="20"/>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(File No.</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203">
              <w:r>
                <w:rPr>
                  <w:rFonts w:ascii="Arial" w:cs="Arial" w:eastAsia="Arial" w:hAnsi="Arial"/>
                  <w:sz w:val="16"/>
                  <w:szCs w:val="16"/>
                  <w:color w:val="0000FF"/>
                  <w:w w:val="98"/>
                </w:rPr>
                <w:t>001-34927)).</w:t>
              </w:r>
            </w:hyperlink>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10.1</w:t>
            </w:r>
          </w:p>
        </w:tc>
        <w:tc>
          <w:tcPr>
            <w:tcW w:w="8120" w:type="dxa"/>
            <w:vAlign w:val="bottom"/>
            <w:tcBorders>
              <w:bottom w:val="single" w:sz="8" w:color="0000FF"/>
            </w:tcBorders>
            <w:gridSpan w:val="15"/>
          </w:tcPr>
          <w:p>
            <w:pPr>
              <w:spacing w:after="0"/>
              <w:rPr>
                <w:rFonts w:ascii="Arial" w:cs="Arial" w:eastAsia="Arial" w:hAnsi="Arial"/>
                <w:sz w:val="16"/>
                <w:szCs w:val="16"/>
                <w:color w:val="0000FF"/>
              </w:rPr>
            </w:pPr>
            <w:hyperlink r:id="rId204">
              <w:r>
                <w:rPr>
                  <w:rFonts w:ascii="Arial" w:cs="Arial" w:eastAsia="Arial" w:hAnsi="Arial"/>
                  <w:sz w:val="16"/>
                  <w:szCs w:val="16"/>
                  <w:color w:val="0000FF"/>
                </w:rPr>
                <w:t>Second Forbearance Agreement and Third Amendment to Credit Agreement, dated July 25, 2025, by and among</w:t>
              </w:r>
            </w:hyperlink>
          </w:p>
        </w:tc>
        <w:tc>
          <w:tcPr>
            <w:tcW w:w="4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60" w:type="dxa"/>
            <w:vAlign w:val="bottom"/>
            <w:gridSpan w:val="31"/>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Compass Group Diversified Holdings LLC, the Lenders party thereto, and Bank of America, N.A., in its capacity as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1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Administrative Agent for the Lenders, Swing Line Lender and L/C Issuer (incorporated by reference to Exhibit 10.1</w:t>
              </w:r>
            </w:hyperlink>
          </w:p>
        </w:tc>
        <w:tc>
          <w:tcPr>
            <w:tcW w:w="380" w:type="dxa"/>
            <w:vAlign w:val="bottom"/>
            <w:gridSpan w:val="14"/>
          </w:tcPr>
          <w:p>
            <w:pPr>
              <w:ind w:left="40"/>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of</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the Form 8-K filed on July 28, 2025 (File No. 001-34927)).</w:t>
              </w:r>
            </w:hyperlink>
          </w:p>
        </w:tc>
        <w:tc>
          <w:tcPr>
            <w:tcW w:w="4180" w:type="dxa"/>
            <w:vAlign w:val="bottom"/>
            <w:tcBorders>
              <w:top w:val="single" w:sz="8" w:color="0000FF"/>
            </w:tcBorders>
            <w:gridSpan w:val="15"/>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300" w:type="dxa"/>
            <w:vAlign w:val="bottom"/>
          </w:tcPr>
          <w:p>
            <w:pPr>
              <w:ind w:left="120"/>
              <w:spacing w:after="0"/>
              <w:rPr>
                <w:sz w:val="20"/>
                <w:szCs w:val="20"/>
                <w:color w:val="auto"/>
              </w:rPr>
            </w:pPr>
            <w:r>
              <w:rPr>
                <w:rFonts w:ascii="Arial" w:cs="Arial" w:eastAsia="Arial" w:hAnsi="Arial"/>
                <w:sz w:val="16"/>
                <w:szCs w:val="16"/>
                <w:color w:val="auto"/>
              </w:rPr>
              <w:t>10.2</w:t>
            </w:r>
          </w:p>
        </w:tc>
        <w:tc>
          <w:tcPr>
            <w:tcW w:w="7960" w:type="dxa"/>
            <w:vAlign w:val="bottom"/>
            <w:tcBorders>
              <w:bottom w:val="single" w:sz="8" w:color="0000FF"/>
            </w:tcBorders>
            <w:gridSpan w:val="12"/>
          </w:tcPr>
          <w:p>
            <w:pPr>
              <w:spacing w:after="0"/>
              <w:rPr>
                <w:rFonts w:ascii="Arial" w:cs="Arial" w:eastAsia="Arial" w:hAnsi="Arial"/>
                <w:sz w:val="16"/>
                <w:szCs w:val="16"/>
                <w:color w:val="0000FF"/>
              </w:rPr>
            </w:pPr>
            <w:hyperlink r:id="rId205">
              <w:r>
                <w:rPr>
                  <w:rFonts w:ascii="Arial" w:cs="Arial" w:eastAsia="Arial" w:hAnsi="Arial"/>
                  <w:sz w:val="16"/>
                  <w:szCs w:val="16"/>
                  <w:color w:val="0000FF"/>
                </w:rPr>
                <w:t>Forbearance Agreement, dated August 29, 2025, by and among Compass Group Diversified Holdings LLC, the</w:t>
              </w:r>
            </w:hyperlink>
          </w:p>
        </w:tc>
        <w:tc>
          <w:tcPr>
            <w:tcW w:w="6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60" w:type="dxa"/>
            <w:vAlign w:val="bottom"/>
            <w:gridSpan w:val="31"/>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Forbearing Noteholders thereto, and U.S. Bank National Association, in its capacity as Trustee under the Indenture</w:t>
              </w:r>
            </w:hyperlink>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Pr>
          <w:p>
            <w:pPr>
              <w:spacing w:after="0"/>
              <w:rPr>
                <w:sz w:val="12"/>
                <w:szCs w:val="12"/>
                <w:color w:val="auto"/>
              </w:rPr>
            </w:pPr>
          </w:p>
        </w:tc>
        <w:tc>
          <w:tcPr>
            <w:tcW w:w="8560" w:type="dxa"/>
            <w:vAlign w:val="bottom"/>
            <w:gridSpan w:val="31"/>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dated March 23, 2021 and Indenture dated November 17, 2021 (incorporated by reference to Exhibit 10.1 of the Form</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8-K filed on September 2, 2025 (File No. 001-34927)).</w:t>
              </w:r>
            </w:hyperlink>
          </w:p>
        </w:tc>
        <w:tc>
          <w:tcPr>
            <w:tcW w:w="4540" w:type="dxa"/>
            <w:vAlign w:val="bottom"/>
            <w:tcBorders>
              <w:top w:val="single" w:sz="8" w:color="0000FF"/>
            </w:tcBorders>
            <w:gridSpan w:val="19"/>
          </w:tcPr>
          <w:p>
            <w:pPr>
              <w:spacing w:after="0"/>
              <w:rPr>
                <w:sz w:val="12"/>
                <w:szCs w:val="12"/>
                <w:color w:val="auto"/>
              </w:rPr>
            </w:pPr>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300" w:type="dxa"/>
            <w:vAlign w:val="bottom"/>
          </w:tcPr>
          <w:p>
            <w:pPr>
              <w:ind w:left="120"/>
              <w:spacing w:after="0"/>
              <w:rPr>
                <w:sz w:val="20"/>
                <w:szCs w:val="20"/>
                <w:color w:val="auto"/>
              </w:rPr>
            </w:pPr>
            <w:r>
              <w:rPr>
                <w:rFonts w:ascii="Arial" w:cs="Arial" w:eastAsia="Arial" w:hAnsi="Arial"/>
                <w:sz w:val="16"/>
                <w:szCs w:val="16"/>
                <w:color w:val="auto"/>
              </w:rPr>
              <w:t>31.1*</w:t>
            </w:r>
          </w:p>
        </w:tc>
        <w:tc>
          <w:tcPr>
            <w:tcW w:w="8560" w:type="dxa"/>
            <w:vAlign w:val="bottom"/>
            <w:gridSpan w:val="31"/>
          </w:tcPr>
          <w:p>
            <w:pPr>
              <w:spacing w:after="0"/>
              <w:rPr>
                <w:sz w:val="20"/>
                <w:szCs w:val="20"/>
                <w:color w:val="auto"/>
              </w:rPr>
            </w:pPr>
            <w:r>
              <w:rPr>
                <w:rFonts w:ascii="Arial" w:cs="Arial" w:eastAsia="Arial" w:hAnsi="Arial"/>
                <w:sz w:val="16"/>
                <w:szCs w:val="16"/>
                <w:color w:val="0000FF"/>
              </w:rPr>
              <w:t>Rule 13a-14(a)/15d-14(a) Certification of Chief Executive Officer of Registrant</w:t>
            </w:r>
          </w:p>
        </w:tc>
        <w:tc>
          <w:tcPr>
            <w:tcW w:w="0" w:type="dxa"/>
            <w:vAlign w:val="bottom"/>
          </w:tcPr>
          <w:p>
            <w:pPr>
              <w:spacing w:after="0"/>
              <w:rPr>
                <w:sz w:val="1"/>
                <w:szCs w:val="1"/>
                <w:color w:val="auto"/>
              </w:rPr>
            </w:pPr>
          </w:p>
        </w:tc>
      </w:tr>
      <w:tr>
        <w:trPr>
          <w:trHeight w:val="345"/>
        </w:trPr>
        <w:tc>
          <w:tcPr>
            <w:tcW w:w="2300" w:type="dxa"/>
            <w:vAlign w:val="bottom"/>
          </w:tcPr>
          <w:p>
            <w:pPr>
              <w:ind w:left="120"/>
              <w:spacing w:after="0"/>
              <w:rPr>
                <w:sz w:val="20"/>
                <w:szCs w:val="20"/>
                <w:color w:val="auto"/>
              </w:rPr>
            </w:pPr>
            <w:r>
              <w:rPr>
                <w:rFonts w:ascii="Arial" w:cs="Arial" w:eastAsia="Arial" w:hAnsi="Arial"/>
                <w:sz w:val="16"/>
                <w:szCs w:val="16"/>
                <w:color w:val="auto"/>
              </w:rPr>
              <w:t>31.2*</w:t>
            </w:r>
          </w:p>
        </w:tc>
        <w:tc>
          <w:tcPr>
            <w:tcW w:w="556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Rule 13a-14(a)/15d-14(a) Certification of Chief Financial Officer of Registrant</w:t>
            </w:r>
          </w:p>
        </w:tc>
        <w:tc>
          <w:tcPr>
            <w:tcW w:w="30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3380" w:type="dxa"/>
            <w:vAlign w:val="bottom"/>
            <w:gridSpan w:val="5"/>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00" w:type="dxa"/>
            <w:vAlign w:val="bottom"/>
            <w:vMerge w:val="continue"/>
          </w:tcPr>
          <w:p>
            <w:pPr>
              <w:spacing w:after="0"/>
              <w:rPr>
                <w:sz w:val="24"/>
                <w:szCs w:val="24"/>
                <w:color w:val="auto"/>
              </w:rPr>
            </w:pPr>
          </w:p>
        </w:tc>
        <w:tc>
          <w:tcPr>
            <w:tcW w:w="8560" w:type="dxa"/>
            <w:vAlign w:val="bottom"/>
            <w:gridSpan w:val="31"/>
          </w:tcPr>
          <w:p>
            <w:pPr>
              <w:spacing w:after="0"/>
              <w:rPr>
                <w:sz w:val="20"/>
                <w:szCs w:val="20"/>
                <w:color w:val="auto"/>
              </w:rPr>
            </w:pPr>
            <w:r>
              <w:rPr>
                <w:rFonts w:ascii="Arial" w:cs="Arial" w:eastAsia="Arial" w:hAnsi="Arial"/>
                <w:sz w:val="16"/>
                <w:szCs w:val="16"/>
                <w:color w:val="0000FF"/>
              </w:rPr>
              <w:t>Certification of Chief Executive Officer of Registrant pursuant to 18 U.S.C. Section 1350, as adopted pursuant to</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4660" w:type="dxa"/>
            <w:vAlign w:val="bottom"/>
            <w:tcBorders>
              <w:top w:val="single" w:sz="8" w:color="0000FF"/>
            </w:tcBorders>
            <w:gridSpan w:val="9"/>
          </w:tcPr>
          <w:p>
            <w:pPr>
              <w:spacing w:after="0"/>
              <w:rPr>
                <w:sz w:val="12"/>
                <w:szCs w:val="12"/>
                <w:color w:val="auto"/>
              </w:rPr>
            </w:pPr>
          </w:p>
        </w:tc>
        <w:tc>
          <w:tcPr>
            <w:tcW w:w="52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3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8560" w:type="dxa"/>
            <w:vAlign w:val="bottom"/>
            <w:gridSpan w:val="31"/>
          </w:tcPr>
          <w:p>
            <w:pPr>
              <w:spacing w:after="0"/>
              <w:rPr>
                <w:sz w:val="20"/>
                <w:szCs w:val="20"/>
                <w:color w:val="auto"/>
              </w:rPr>
            </w:pPr>
            <w:r>
              <w:rPr>
                <w:rFonts w:ascii="Arial" w:cs="Arial" w:eastAsia="Arial" w:hAnsi="Arial"/>
                <w:sz w:val="16"/>
                <w:szCs w:val="16"/>
                <w:color w:val="0000FF"/>
              </w:rPr>
              <w:t>Certification of Chief Financial Officer of Registrant pursuant to 18 U.S.C. Section 1350, as adopted pursuant to</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4600" w:type="dxa"/>
            <w:vAlign w:val="bottom"/>
            <w:tcBorders>
              <w:top w:val="single" w:sz="8" w:color="0000FF"/>
            </w:tcBorders>
            <w:gridSpan w:val="8"/>
          </w:tcPr>
          <w:p>
            <w:pPr>
              <w:spacing w:after="0"/>
              <w:rPr>
                <w:sz w:val="12"/>
                <w:szCs w:val="12"/>
                <w:color w:val="auto"/>
              </w:rPr>
            </w:pPr>
          </w:p>
        </w:tc>
        <w:tc>
          <w:tcPr>
            <w:tcW w:w="58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300" w:type="dxa"/>
            <w:vAlign w:val="bottom"/>
          </w:tcPr>
          <w:p>
            <w:pPr>
              <w:spacing w:after="0"/>
              <w:rPr>
                <w:sz w:val="20"/>
                <w:szCs w:val="20"/>
                <w:color w:val="auto"/>
              </w:rPr>
            </w:pPr>
            <w:r>
              <w:rPr>
                <w:rFonts w:ascii="Arial" w:cs="Arial" w:eastAsia="Arial" w:hAnsi="Arial"/>
                <w:sz w:val="16"/>
                <w:szCs w:val="16"/>
                <w:color w:val="auto"/>
              </w:rPr>
              <w:t>101.INS*</w:t>
            </w:r>
          </w:p>
        </w:tc>
        <w:tc>
          <w:tcPr>
            <w:tcW w:w="8560" w:type="dxa"/>
            <w:vAlign w:val="bottom"/>
            <w:gridSpan w:val="31"/>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8560" w:type="dxa"/>
            <w:vAlign w:val="bottom"/>
            <w:gridSpan w:val="31"/>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485"/>
        </w:trPr>
        <w:tc>
          <w:tcPr>
            <w:tcW w:w="2300" w:type="dxa"/>
            <w:vAlign w:val="bottom"/>
          </w:tcPr>
          <w:p>
            <w:pPr>
              <w:spacing w:after="0"/>
              <w:rPr>
                <w:sz w:val="20"/>
                <w:szCs w:val="20"/>
                <w:color w:val="auto"/>
              </w:rPr>
            </w:pPr>
            <w:r>
              <w:rPr>
                <w:rFonts w:ascii="Arial" w:cs="Arial" w:eastAsia="Arial" w:hAnsi="Arial"/>
                <w:sz w:val="16"/>
                <w:szCs w:val="16"/>
                <w:color w:val="auto"/>
              </w:rPr>
              <w:t>101.SCH*</w:t>
            </w:r>
          </w:p>
        </w:tc>
        <w:tc>
          <w:tcPr>
            <w:tcW w:w="8560" w:type="dxa"/>
            <w:vAlign w:val="bottom"/>
            <w:gridSpan w:val="31"/>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101.CAL*</w:t>
            </w:r>
          </w:p>
        </w:tc>
        <w:tc>
          <w:tcPr>
            <w:tcW w:w="8560" w:type="dxa"/>
            <w:vAlign w:val="bottom"/>
            <w:gridSpan w:val="31"/>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101.DEF*</w:t>
            </w:r>
          </w:p>
        </w:tc>
        <w:tc>
          <w:tcPr>
            <w:tcW w:w="8560" w:type="dxa"/>
            <w:vAlign w:val="bottom"/>
            <w:gridSpan w:val="31"/>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102235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022" w:right="71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t>101.LAB*</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Cover page formatted as Inline XBRL and contained in Exhibit 101</w:t>
      </w:r>
    </w:p>
    <w:p>
      <w:pPr>
        <w:spacing w:after="0" w:line="200" w:lineRule="exact"/>
        <w:rPr>
          <w:sz w:val="20"/>
          <w:szCs w:val="20"/>
          <w:color w:val="auto"/>
        </w:rPr>
      </w:pPr>
    </w:p>
    <w:p>
      <w:pPr>
        <w:sectPr>
          <w:pgSz w:w="11900" w:h="16838" w:orient="portrait"/>
          <w:cols w:equalWidth="0" w:num="2">
            <w:col w:w="1580" w:space="720"/>
            <w:col w:w="8260"/>
          </w:cols>
          <w:pgMar w:left="340" w:top="1030" w:right="999" w:bottom="1440" w:gutter="0" w:footer="0" w:header="0"/>
        </w:sectPr>
      </w:pPr>
    </w:p>
    <w:p>
      <w:pPr>
        <w:spacing w:after="0" w:line="274" w:lineRule="exact"/>
        <w:rPr>
          <w:sz w:val="20"/>
          <w:szCs w:val="20"/>
          <w:color w:val="auto"/>
        </w:rPr>
      </w:pPr>
    </w:p>
    <w:p>
      <w:pPr>
        <w:ind w:left="1360" w:hanging="1354"/>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88" w:lineRule="exact"/>
        <w:rPr>
          <w:sz w:val="20"/>
          <w:szCs w:val="20"/>
          <w:color w:val="auto"/>
        </w:rPr>
      </w:pPr>
    </w:p>
    <w:p>
      <w:pPr>
        <w:jc w:val="both"/>
        <w:ind w:left="1360" w:hanging="1354"/>
        <w:spacing w:after="0" w:line="226" w:lineRule="auto"/>
        <w:tabs>
          <w:tab w:leader="none" w:pos="1360" w:val="left"/>
        </w:tabs>
        <w:numPr>
          <w:ilvl w:val="0"/>
          <w:numId w:val="44"/>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0560"/>
          </w:cols>
          <w:pgMar w:left="340" w:top="1030" w:right="99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Elias J. Sabo, certify that:</w:t>
      </w:r>
    </w:p>
    <w:p>
      <w:pPr>
        <w:spacing w:after="0" w:line="237"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Group Diversified Holdings LLC (the “registrant”);</w:t>
      </w:r>
    </w:p>
    <w:p>
      <w:pPr>
        <w:spacing w:after="0" w:line="223" w:lineRule="exact"/>
        <w:rPr>
          <w:rFonts w:ascii="Arial" w:cs="Arial" w:eastAsia="Arial" w:hAnsi="Arial"/>
          <w:sz w:val="17"/>
          <w:szCs w:val="17"/>
          <w:color w:val="auto"/>
        </w:rPr>
      </w:pPr>
    </w:p>
    <w:p>
      <w:pPr>
        <w:ind w:left="660" w:right="20" w:hanging="328"/>
        <w:spacing w:after="0" w:line="266" w:lineRule="auto"/>
        <w:tabs>
          <w:tab w:leader="none" w:pos="6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7"/>
          <w:szCs w:val="17"/>
          <w:color w:val="auto"/>
        </w:rPr>
      </w:pPr>
    </w:p>
    <w:p>
      <w:pPr>
        <w:ind w:left="660" w:right="380" w:hanging="328"/>
        <w:spacing w:after="0" w:line="301" w:lineRule="auto"/>
        <w:tabs>
          <w:tab w:leader="none" w:pos="6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7"/>
          <w:szCs w:val="17"/>
          <w:color w:val="auto"/>
        </w:rPr>
      </w:pPr>
    </w:p>
    <w:p>
      <w:pPr>
        <w:ind w:left="660" w:right="60" w:hanging="328"/>
        <w:spacing w:after="0" w:line="266" w:lineRule="auto"/>
        <w:tabs>
          <w:tab w:leader="none" w:pos="6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7"/>
          <w:szCs w:val="17"/>
          <w:color w:val="auto"/>
        </w:rPr>
      </w:pPr>
    </w:p>
    <w:p>
      <w:pPr>
        <w:ind w:left="980" w:right="40" w:hanging="324"/>
        <w:spacing w:after="0" w:line="274" w:lineRule="auto"/>
        <w:tabs>
          <w:tab w:leader="none" w:pos="97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980" w:right="80" w:hanging="324"/>
        <w:spacing w:after="0" w:line="266" w:lineRule="auto"/>
        <w:tabs>
          <w:tab w:leader="none" w:pos="97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7"/>
          <w:szCs w:val="17"/>
          <w:color w:val="auto"/>
        </w:rPr>
      </w:pPr>
    </w:p>
    <w:p>
      <w:pPr>
        <w:ind w:left="980" w:right="20" w:hanging="324"/>
        <w:spacing w:after="0" w:line="274" w:lineRule="auto"/>
        <w:tabs>
          <w:tab w:leader="none" w:pos="978"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7"/>
          <w:szCs w:val="17"/>
          <w:color w:val="auto"/>
        </w:rPr>
      </w:pPr>
    </w:p>
    <w:p>
      <w:pPr>
        <w:jc w:val="both"/>
        <w:ind w:left="980" w:right="200" w:hanging="324"/>
        <w:spacing w:after="0" w:line="266" w:lineRule="auto"/>
        <w:tabs>
          <w:tab w:leader="none" w:pos="97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left="660" w:right="100" w:hanging="328"/>
        <w:spacing w:after="0" w:line="284" w:lineRule="auto"/>
        <w:tabs>
          <w:tab w:leader="none" w:pos="6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80" w:right="480" w:hanging="324"/>
        <w:spacing w:after="0" w:line="284" w:lineRule="auto"/>
        <w:tabs>
          <w:tab w:leader="none" w:pos="974"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80" w:right="100" w:hanging="324"/>
        <w:spacing w:after="0" w:line="284" w:lineRule="auto"/>
        <w:tabs>
          <w:tab w:leader="none" w:pos="974"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January 14, 2026</w:t>
      </w:r>
    </w:p>
    <w:p>
      <w:pPr>
        <w:spacing w:after="0" w:line="12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27305</wp:posOffset>
            </wp:positionV>
            <wp:extent cx="2871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28"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Elias J. Sabo</w:t>
      </w:r>
    </w:p>
    <w:p>
      <w:pPr>
        <w:spacing w:after="0" w:line="30"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Chief Executive Officer of</w:t>
      </w:r>
    </w:p>
    <w:p>
      <w:pPr>
        <w:ind w:left="6660"/>
        <w:spacing w:after="0" w:line="215" w:lineRule="auto"/>
        <w:rPr>
          <w:sz w:val="20"/>
          <w:szCs w:val="20"/>
          <w:color w:val="auto"/>
        </w:rPr>
      </w:pPr>
      <w:r>
        <w:rPr>
          <w:rFonts w:ascii="Arial" w:cs="Arial" w:eastAsia="Arial" w:hAnsi="Arial"/>
          <w:sz w:val="17"/>
          <w:szCs w:val="17"/>
          <w:i w:val="1"/>
          <w:iCs w:val="1"/>
          <w:color w:val="auto"/>
        </w:rPr>
        <w:t>Compass Group Diversified Holdings LLC</w:t>
      </w:r>
    </w:p>
    <w:p>
      <w:pPr>
        <w:ind w:left="66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Stephen Keller, certify that:</w:t>
      </w:r>
    </w:p>
    <w:p>
      <w:pPr>
        <w:spacing w:after="0" w:line="237" w:lineRule="exact"/>
        <w:rPr>
          <w:sz w:val="20"/>
          <w:szCs w:val="20"/>
          <w:color w:val="auto"/>
        </w:rPr>
      </w:pPr>
    </w:p>
    <w:p>
      <w:pPr>
        <w:ind w:left="660" w:right="80" w:hanging="328"/>
        <w:spacing w:after="0" w:line="284" w:lineRule="auto"/>
        <w:tabs>
          <w:tab w:leader="none" w:pos="654"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58" w:lineRule="exact"/>
        <w:rPr>
          <w:rFonts w:ascii="Arial" w:cs="Arial" w:eastAsia="Arial" w:hAnsi="Arial"/>
          <w:sz w:val="17"/>
          <w:szCs w:val="17"/>
          <w:color w:val="auto"/>
        </w:rPr>
      </w:pPr>
    </w:p>
    <w:p>
      <w:pPr>
        <w:ind w:left="660" w:right="20" w:hanging="328"/>
        <w:spacing w:after="0" w:line="266" w:lineRule="auto"/>
        <w:tabs>
          <w:tab w:leader="none" w:pos="654"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60" w:right="60" w:hanging="328"/>
        <w:spacing w:after="0" w:line="266" w:lineRule="auto"/>
        <w:tabs>
          <w:tab w:leader="none" w:pos="65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7"/>
          <w:szCs w:val="17"/>
          <w:color w:val="auto"/>
        </w:rPr>
      </w:pPr>
    </w:p>
    <w:p>
      <w:pPr>
        <w:ind w:left="1300" w:right="180" w:hanging="320"/>
        <w:spacing w:after="0" w:line="274" w:lineRule="auto"/>
        <w:tabs>
          <w:tab w:leader="none" w:pos="1294"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1300" w:right="40" w:hanging="320"/>
        <w:spacing w:after="0" w:line="266" w:lineRule="auto"/>
        <w:tabs>
          <w:tab w:leader="none" w:pos="1294"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ind w:left="1300" w:right="80" w:hanging="320"/>
        <w:spacing w:after="0" w:line="266" w:lineRule="auto"/>
        <w:tabs>
          <w:tab w:leader="none" w:pos="1298"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1300" w:right="280" w:hanging="320"/>
        <w:spacing w:after="0" w:line="274" w:lineRule="auto"/>
        <w:tabs>
          <w:tab w:leader="none" w:pos="1294"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660" w:right="100" w:hanging="328"/>
        <w:spacing w:after="0" w:line="284" w:lineRule="auto"/>
        <w:tabs>
          <w:tab w:leader="none" w:pos="65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1300" w:right="160" w:hanging="320"/>
        <w:spacing w:after="0" w:line="284" w:lineRule="auto"/>
        <w:tabs>
          <w:tab w:leader="none" w:pos="1294"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1300" w:right="380" w:hanging="320"/>
        <w:spacing w:after="0" w:line="301" w:lineRule="auto"/>
        <w:tabs>
          <w:tab w:leader="none" w:pos="1294"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January 14, 2026</w:t>
      </w:r>
    </w:p>
    <w:p>
      <w:pPr>
        <w:spacing w:after="0" w:line="14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 Stephen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27305</wp:posOffset>
            </wp:positionV>
            <wp:extent cx="30518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8"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Stephen Keller</w:t>
      </w:r>
    </w:p>
    <w:p>
      <w:pPr>
        <w:spacing w:after="0" w:line="17" w:lineRule="exact"/>
        <w:rPr>
          <w:sz w:val="20"/>
          <w:szCs w:val="20"/>
          <w:color w:val="auto"/>
        </w:rPr>
      </w:pPr>
    </w:p>
    <w:p>
      <w:pPr>
        <w:ind w:left="6460"/>
        <w:spacing w:after="0"/>
        <w:rPr>
          <w:sz w:val="20"/>
          <w:szCs w:val="20"/>
          <w:color w:val="auto"/>
        </w:rPr>
      </w:pPr>
      <w:r>
        <w:rPr>
          <w:rFonts w:ascii="Arial" w:cs="Arial" w:eastAsia="Arial" w:hAnsi="Arial"/>
          <w:sz w:val="17"/>
          <w:szCs w:val="17"/>
          <w:i w:val="1"/>
          <w:iCs w:val="1"/>
          <w:color w:val="auto"/>
        </w:rPr>
        <w:t>Regular Trustee of Compass Diversified Holdings and Chief</w:t>
      </w:r>
    </w:p>
    <w:p>
      <w:pPr>
        <w:ind w:left="6460"/>
        <w:spacing w:after="0" w:line="215" w:lineRule="auto"/>
        <w:rPr>
          <w:sz w:val="20"/>
          <w:szCs w:val="20"/>
          <w:color w:val="auto"/>
        </w:rPr>
      </w:pPr>
      <w:r>
        <w:rPr>
          <w:rFonts w:ascii="Arial" w:cs="Arial" w:eastAsia="Arial" w:hAnsi="Arial"/>
          <w:sz w:val="17"/>
          <w:szCs w:val="17"/>
          <w:i w:val="1"/>
          <w:iCs w:val="1"/>
          <w:color w:val="auto"/>
        </w:rPr>
        <w:t>Financial Officer of</w:t>
      </w:r>
    </w:p>
    <w:p>
      <w:pPr>
        <w:ind w:left="6460"/>
        <w:spacing w:after="0" w:line="215" w:lineRule="auto"/>
        <w:rPr>
          <w:sz w:val="20"/>
          <w:szCs w:val="20"/>
          <w:color w:val="auto"/>
        </w:rPr>
      </w:pPr>
      <w:r>
        <w:rPr>
          <w:rFonts w:ascii="Arial" w:cs="Arial" w:eastAsia="Arial" w:hAnsi="Arial"/>
          <w:sz w:val="17"/>
          <w:szCs w:val="17"/>
          <w:i w:val="1"/>
          <w:iCs w:val="1"/>
          <w:color w:val="auto"/>
        </w:rPr>
        <w:t>Compass Group Diversified Holdings LLC</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ind w:right="440" w:firstLine="445"/>
        <w:spacing w:after="0" w:line="262" w:lineRule="auto"/>
        <w:rPr>
          <w:sz w:val="20"/>
          <w:szCs w:val="20"/>
          <w:color w:val="auto"/>
        </w:rPr>
      </w:pPr>
      <w:r>
        <w:rPr>
          <w:rFonts w:ascii="Arial" w:cs="Arial" w:eastAsia="Arial" w:hAnsi="Arial"/>
          <w:sz w:val="18"/>
          <w:szCs w:val="18"/>
          <w:color w:val="auto"/>
        </w:rPr>
        <w:t>In connection with the Quarterly Report of COMPASS GROUP DIVERSIFIED HOLDINGS LLC on Form 10-Q for the period ended September 30, 2025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09" w:lineRule="exact"/>
        <w:rPr>
          <w:sz w:val="20"/>
          <w:szCs w:val="20"/>
          <w:color w:val="auto"/>
        </w:rPr>
      </w:pPr>
    </w:p>
    <w:p>
      <w:pPr>
        <w:ind w:left="560" w:hanging="309"/>
        <w:spacing w:after="0"/>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580" w:right="400" w:hanging="329"/>
        <w:spacing w:after="0" w:line="287" w:lineRule="auto"/>
        <w:tabs>
          <w:tab w:leader="none" w:pos="5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Group Diversified Holdings LLC.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Dated:  January 14, 2026</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Elias J. Sabo</w:t>
            </w:r>
          </w:p>
        </w:tc>
      </w:tr>
      <w:tr>
        <w:trPr>
          <w:trHeight w:val="21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Elias J. Sabo</w:t>
            </w:r>
          </w:p>
        </w:tc>
      </w:tr>
      <w:tr>
        <w:trPr>
          <w:trHeight w:val="181"/>
        </w:trPr>
        <w:tc>
          <w:tcPr>
            <w:tcW w:w="6940" w:type="dxa"/>
            <w:vAlign w:val="bottom"/>
          </w:tcPr>
          <w:p>
            <w:pPr>
              <w:spacing w:after="0"/>
              <w:rPr>
                <w:sz w:val="15"/>
                <w:szCs w:val="15"/>
                <w:color w:val="auto"/>
              </w:rPr>
            </w:pPr>
          </w:p>
        </w:tc>
        <w:tc>
          <w:tcPr>
            <w:tcW w:w="422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w:t>
            </w:r>
          </w:p>
        </w:tc>
      </w:tr>
      <w:tr>
        <w:trPr>
          <w:trHeight w:val="239"/>
        </w:trPr>
        <w:tc>
          <w:tcPr>
            <w:tcW w:w="69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28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foregoing certification is being furnished to accompany Compass Group Diversified Holdings LLC’s Quarterly Report on Form 10-Q for the quarterly period ended September 30, 2025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Quarterly Report of COMPASS DIVERSIFIED HOLDINGS and COMPASS GROUP DIVERSIFIED HOLDINGS LLC on Form 10-Q for the period ended September 30, 2025 as filed with the Securities and Exchange Commission on the date hereof (the “Report”), I, Stephen Keller,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98" w:lineRule="exact"/>
        <w:rPr>
          <w:sz w:val="20"/>
          <w:szCs w:val="20"/>
          <w:color w:val="auto"/>
        </w:rPr>
      </w:pPr>
    </w:p>
    <w:p>
      <w:pPr>
        <w:ind w:left="560" w:hanging="309"/>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580" w:right="400" w:hanging="329"/>
        <w:spacing w:after="0" w:line="287" w:lineRule="auto"/>
        <w:tabs>
          <w:tab w:leader="none" w:pos="5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Diversified Holdings and Compass Group Diversified Holdings LLC.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Dated:  January 14, 2026</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Keller</w:t>
            </w:r>
          </w:p>
        </w:tc>
      </w:tr>
      <w:tr>
        <w:trPr>
          <w:trHeight w:val="21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Stephen Keller</w:t>
            </w:r>
          </w:p>
        </w:tc>
      </w:tr>
      <w:tr>
        <w:trPr>
          <w:trHeight w:val="181"/>
        </w:trPr>
        <w:tc>
          <w:tcPr>
            <w:tcW w:w="6940" w:type="dxa"/>
            <w:vAlign w:val="bottom"/>
          </w:tcPr>
          <w:p>
            <w:pPr>
              <w:spacing w:after="0"/>
              <w:rPr>
                <w:sz w:val="15"/>
                <w:szCs w:val="15"/>
                <w:color w:val="auto"/>
              </w:rPr>
            </w:pPr>
          </w:p>
        </w:tc>
        <w:tc>
          <w:tcPr>
            <w:tcW w:w="4220" w:type="dxa"/>
            <w:vAlign w:val="bottom"/>
          </w:tcPr>
          <w:p>
            <w:pPr>
              <w:ind w:left="20"/>
              <w:spacing w:after="0" w:line="181" w:lineRule="exact"/>
              <w:rPr>
                <w:sz w:val="20"/>
                <w:szCs w:val="20"/>
                <w:color w:val="auto"/>
              </w:rPr>
            </w:pPr>
            <w:r>
              <w:rPr>
                <w:rFonts w:ascii="Arial" w:cs="Arial" w:eastAsia="Arial" w:hAnsi="Arial"/>
                <w:sz w:val="18"/>
                <w:szCs w:val="18"/>
                <w:color w:val="auto"/>
              </w:rPr>
              <w:t>Regular Trustee, Compass Diversified Holdings and</w:t>
            </w:r>
          </w:p>
        </w:tc>
      </w:tr>
      <w:tr>
        <w:trPr>
          <w:trHeight w:val="184"/>
        </w:trPr>
        <w:tc>
          <w:tcPr>
            <w:tcW w:w="6940" w:type="dxa"/>
            <w:vAlign w:val="bottom"/>
          </w:tcPr>
          <w:p>
            <w:pPr>
              <w:spacing w:after="0"/>
              <w:rPr>
                <w:sz w:val="15"/>
                <w:szCs w:val="15"/>
                <w:color w:val="auto"/>
              </w:rPr>
            </w:pPr>
          </w:p>
        </w:tc>
        <w:tc>
          <w:tcPr>
            <w:tcW w:w="4220" w:type="dxa"/>
            <w:vAlign w:val="bottom"/>
          </w:tcPr>
          <w:p>
            <w:pPr>
              <w:ind w:left="20"/>
              <w:spacing w:after="0" w:line="183" w:lineRule="exact"/>
              <w:rPr>
                <w:sz w:val="20"/>
                <w:szCs w:val="20"/>
                <w:color w:val="auto"/>
              </w:rPr>
            </w:pPr>
            <w:r>
              <w:rPr>
                <w:rFonts w:ascii="Arial" w:cs="Arial" w:eastAsia="Arial" w:hAnsi="Arial"/>
                <w:sz w:val="18"/>
                <w:szCs w:val="18"/>
                <w:color w:val="auto"/>
              </w:rPr>
              <w:t>Chief Financial Officer,</w:t>
            </w:r>
          </w:p>
        </w:tc>
      </w:tr>
      <w:tr>
        <w:trPr>
          <w:trHeight w:val="239"/>
        </w:trPr>
        <w:tc>
          <w:tcPr>
            <w:tcW w:w="69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288"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The foregoing certification is being furnished to accompany Compass Diversified Holdings’ and Compass Group Diversified Holdings LLC’s Quarterly Report on Form 10-Q for the quarterly period ended September 30, 2025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emdash "/>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lowerLetter"/>
      <w:start w:val="4"/>
    </w:lvl>
  </w:abstractNum>
  <w:abstractNum w:abstractNumId="13">
    <w:nsid w:val="7C3DBD3D"/>
    <w:multiLevelType w:val="hybridMultilevel"/>
    <w:lvl w:ilvl="0">
      <w:lvlJc w:val="left"/>
      <w:lvlText w:val="(%1)"/>
      <w:numFmt w:val="lowerRoman"/>
      <w:start w:val="2"/>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lowerRoman"/>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lowerLetter"/>
      <w:start w:val="4"/>
    </w:lvl>
  </w:abstractNum>
  <w:abstractNum w:abstractNumId="29">
    <w:nsid w:val="5E884ADC"/>
    <w:multiLevelType w:val="hybridMultilevel"/>
    <w:lvl w:ilvl="0">
      <w:lvlJc w:val="left"/>
      <w:lvlText w:val="(%1)"/>
      <w:numFmt w:val="decimal"/>
      <w:start w:val="2"/>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Letter"/>
      <w:start w:val="3"/>
    </w:lvl>
  </w:abstractNum>
  <w:abstractNum w:abstractNumId="32">
    <w:nsid w:val="580BD78F"/>
    <w:multiLevelType w:val="hybridMultilevel"/>
    <w:lvl w:ilvl="0">
      <w:lvlJc w:val="left"/>
      <w:lvlText w:val="(%1)"/>
      <w:numFmt w:val="lowerLetter"/>
      <w:start w:val="4"/>
    </w:lvl>
  </w:abstractNum>
  <w:abstractNum w:abstractNumId="33">
    <w:nsid w:val="153EA438"/>
    <w:multiLevelType w:val="hybridMultilevel"/>
    <w:lvl w:ilvl="0">
      <w:lvlJc w:val="left"/>
      <w:lvlText w:val="(%1)"/>
      <w:numFmt w:val="decimal"/>
      <w:start w:val="2"/>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lowerRoman"/>
      <w:start w:val="4"/>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187" Type="http://schemas.openxmlformats.org/officeDocument/2006/relationships/hyperlink" Target="https://www.sec.gov/ix?doc=/Archives/edgar/data/0001345126/000119312521235786/d57259d8k.htm" TargetMode="External"/><Relationship Id="rId188" Type="http://schemas.openxmlformats.org/officeDocument/2006/relationships/hyperlink" Target="https://www.sec.gov/ix?doc=/Archives/edgar/data/0001345126/000134512624000048/codi-20240831.htm" TargetMode="External"/><Relationship Id="rId189" Type="http://schemas.openxmlformats.org/officeDocument/2006/relationships/hyperlink" Target="https://www.sec.gov/ix?doc=/Archives/edgar/data/0001345126/000134512622000008/codi-20220210.htm" TargetMode="External"/><Relationship Id="rId190" Type="http://schemas.openxmlformats.org/officeDocument/2006/relationships/hyperlink" Target="https://www.sec.gov/ix?doc=/Archives/edgar/data/0001345126/000119312524072850/d800897d8k.htm" TargetMode="External"/><Relationship Id="rId191" Type="http://schemas.openxmlformats.org/officeDocument/2006/relationships/hyperlink" Target="https://www.sec.gov/Archives/edgar/data/1345126/000119312524213116/d878317dex411.htm" TargetMode="External"/><Relationship Id="rId192" Type="http://schemas.openxmlformats.org/officeDocument/2006/relationships/hyperlink" Target="https://www.sec.gov/Archives/edgar/data/1345122/000134512617000038/exhibit32.htm" TargetMode="External"/><Relationship Id="rId193" Type="http://schemas.openxmlformats.org/officeDocument/2006/relationships/hyperlink" Target="https://www.sec.gov/Archives/edgar/data/1345126/000119312524213116/d878317dex414.htm" TargetMode="External"/><Relationship Id="rId194" Type="http://schemas.openxmlformats.org/officeDocument/2006/relationships/hyperlink" Target="https://www.sec.gov/Archives/edgar/data/1345126/000119312524213116/d878317dex417.htm" TargetMode="External"/><Relationship Id="rId195" Type="http://schemas.openxmlformats.org/officeDocument/2006/relationships/hyperlink" Target="https://www.sec.gov/Archives/edgar/data/1345126/000119312518080755/d436474dex32.htm" TargetMode="External"/><Relationship Id="rId196" Type="http://schemas.openxmlformats.org/officeDocument/2006/relationships/hyperlink" Target="https://www.sec.gov/Archives/edgar/data/1345126/000119312524213116/d878317dex420.htm" TargetMode="External"/><Relationship Id="rId199" Type="http://schemas.openxmlformats.org/officeDocument/2006/relationships/hyperlink" Target="https://www.sec.gov/Archives/edgar/data/1345126/000119312524213116/d878317dex423.htm" TargetMode="External"/><Relationship Id="rId200" Type="http://schemas.openxmlformats.org/officeDocument/2006/relationships/hyperlink" Target="https://www.sec.gov/ix?doc=/Archives/edgar/data/0001345126/000119312519296560/d835497d8k.htm" TargetMode="External"/><Relationship Id="rId201" Type="http://schemas.openxmlformats.org/officeDocument/2006/relationships/hyperlink" Target="https://www.sec.gov/Archives/edgar/data/1345126/000119312524213116/d878317dex426.htm" TargetMode="External"/><Relationship Id="rId202" Type="http://schemas.openxmlformats.org/officeDocument/2006/relationships/hyperlink" Target="https://www.sec.gov/Archives/edgar/data/1345126/000134512625000052/exhibit41-secondsupplement.htm" TargetMode="External"/><Relationship Id="rId203" Type="http://schemas.openxmlformats.org/officeDocument/2006/relationships/hyperlink" Target="https://www.sec.gov/Archives/edgar/data/1345126/000134512625000052/exhibit42-secondsupplement.htm" TargetMode="External"/><Relationship Id="rId204" Type="http://schemas.openxmlformats.org/officeDocument/2006/relationships/hyperlink" Target="https://www.sec.gov/Archives/edgar/data/1345126/000134512625000042/exhibit101-forbearanceandc.htm" TargetMode="External"/><Relationship Id="rId205" Type="http://schemas.openxmlformats.org/officeDocument/2006/relationships/hyperlink" Target="https://www.sec.gov/Archives/edgar/data/1345126/000134512625000050/exhibit101-seniornotesfor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2026-01-14T15:22:07Z</dcterms:created>
  <dcterms:modified xsi:type="dcterms:W3CDTF">2026-01-14T15:22:07Z</dcterms:modified>
</cp:coreProperties>
</file>