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1628140</wp:posOffset>
            </wp:positionH>
            <wp:positionV relativeFrom="page">
              <wp:posOffset>385445</wp:posOffset>
            </wp:positionV>
            <wp:extent cx="429831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98315" cy="6350"/>
                    </a:xfrm>
                    <a:prstGeom prst="rect">
                      <a:avLst/>
                    </a:prstGeom>
                    <a:noFill/>
                  </pic:spPr>
                </pic:pic>
              </a:graphicData>
            </a:graphic>
          </wp:anchor>
        </w:drawing>
        <w:drawing>
          <wp:anchor simplePos="0" relativeHeight="251657728" behindDoc="1" locked="0" layoutInCell="0" allowOverlap="1">
            <wp:simplePos x="0" y="0"/>
            <wp:positionH relativeFrom="page">
              <wp:posOffset>1628140</wp:posOffset>
            </wp:positionH>
            <wp:positionV relativeFrom="page">
              <wp:posOffset>404495</wp:posOffset>
            </wp:positionV>
            <wp:extent cx="42983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98315" cy="635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1431290</wp:posOffset>
            </wp:positionH>
            <wp:positionV relativeFrom="paragraph">
              <wp:posOffset>63500</wp:posOffset>
            </wp:positionV>
            <wp:extent cx="14370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7005" cy="6350"/>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1431290</wp:posOffset>
            </wp:positionH>
            <wp:positionV relativeFrom="paragraph">
              <wp:posOffset>74930</wp:posOffset>
            </wp:positionV>
            <wp:extent cx="143700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7005" cy="6350"/>
                    </a:xfrm>
                    <a:prstGeom prst="rect">
                      <a:avLst/>
                    </a:prstGeom>
                    <a:noFill/>
                  </pic:spPr>
                </pic:pic>
              </a:graphicData>
            </a:graphic>
          </wp:anchor>
        </w:drawing>
      </w:r>
    </w:p>
    <w:p>
      <w:pPr>
        <w:spacing w:after="0" w:line="193" w:lineRule="exact"/>
        <w:rPr>
          <w:sz w:val="24"/>
          <w:szCs w:val="24"/>
          <w:color w:val="auto"/>
        </w:rPr>
      </w:pPr>
    </w:p>
    <w:p>
      <w:pPr>
        <w:ind w:left="4960"/>
        <w:spacing w:after="0"/>
        <w:rPr>
          <w:sz w:val="20"/>
          <w:szCs w:val="20"/>
          <w:color w:val="auto"/>
        </w:rPr>
      </w:pPr>
      <w:r>
        <w:rPr>
          <w:rFonts w:ascii="Arial" w:cs="Arial" w:eastAsia="Arial" w:hAnsi="Arial"/>
          <w:sz w:val="15"/>
          <w:szCs w:val="15"/>
          <w:b w:val="1"/>
          <w:bCs w:val="1"/>
          <w:color w:val="auto"/>
        </w:rPr>
        <w:t>CURRENT REPORT</w:t>
      </w:r>
    </w:p>
    <w:p>
      <w:pPr>
        <w:spacing w:after="0" w:line="24" w:lineRule="exact"/>
        <w:rPr>
          <w:sz w:val="24"/>
          <w:szCs w:val="24"/>
          <w:color w:val="auto"/>
        </w:rPr>
      </w:pPr>
    </w:p>
    <w:p>
      <w:pPr>
        <w:ind w:left="4540"/>
        <w:spacing w:after="0"/>
        <w:rPr>
          <w:sz w:val="20"/>
          <w:szCs w:val="20"/>
          <w:color w:val="auto"/>
        </w:rPr>
      </w:pPr>
      <w:r>
        <w:rPr>
          <w:rFonts w:ascii="Arial" w:cs="Arial" w:eastAsia="Arial" w:hAnsi="Arial"/>
          <w:sz w:val="15"/>
          <w:szCs w:val="15"/>
          <w:b w:val="1"/>
          <w:bCs w:val="1"/>
          <w:color w:val="auto"/>
        </w:rPr>
        <w:t>Pursuant to Section 13 or 15(d)</w:t>
      </w: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July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66675</wp:posOffset>
            </wp:positionV>
            <wp:extent cx="14370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7005" cy="635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59055</wp:posOffset>
            </wp:positionV>
            <wp:extent cx="14370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7005" cy="6350"/>
                    </a:xfrm>
                    <a:prstGeom prst="rect">
                      <a:avLst/>
                    </a:prstGeom>
                    <a:noFill/>
                  </pic:spPr>
                </pic:pic>
              </a:graphicData>
            </a:graphic>
          </wp:anchor>
        </w:drawing>
      </w:r>
    </w:p>
    <w:p>
      <w:pPr>
        <w:spacing w:after="0" w:line="241" w:lineRule="exact"/>
        <w:rPr>
          <w:sz w:val="24"/>
          <w:szCs w:val="24"/>
          <w:color w:val="auto"/>
        </w:rPr>
      </w:pPr>
    </w:p>
    <w:tbl>
      <w:tblPr>
        <w:tblLayout w:type="fixed"/>
        <w:tblInd w:w="2380" w:type="dxa"/>
        <w:tblCellMar>
          <w:top w:w="0" w:type="dxa"/>
          <w:left w:w="0" w:type="dxa"/>
          <w:bottom w:w="0" w:type="dxa"/>
          <w:right w:w="0" w:type="dxa"/>
        </w:tblCellMar>
      </w:tblPr>
      <w:tr>
        <w:trPr>
          <w:trHeight w:val="158"/>
        </w:trPr>
        <w:tc>
          <w:tcPr>
            <w:tcW w:w="2180" w:type="dxa"/>
            <w:vAlign w:val="bottom"/>
          </w:tcPr>
          <w:p>
            <w:pPr>
              <w:jc w:val="center"/>
              <w:ind w:right="765"/>
              <w:spacing w:after="0"/>
              <w:rPr>
                <w:sz w:val="20"/>
                <w:szCs w:val="20"/>
                <w:color w:val="auto"/>
              </w:rPr>
            </w:pPr>
            <w:r>
              <w:rPr>
                <w:rFonts w:ascii="Arial" w:cs="Arial" w:eastAsia="Arial" w:hAnsi="Arial"/>
                <w:sz w:val="11"/>
                <w:szCs w:val="11"/>
                <w:b w:val="1"/>
                <w:bCs w:val="1"/>
                <w:color w:val="auto"/>
              </w:rPr>
              <w:t>Delaware</w:t>
            </w:r>
          </w:p>
        </w:tc>
        <w:tc>
          <w:tcPr>
            <w:tcW w:w="2380" w:type="dxa"/>
            <w:vAlign w:val="bottom"/>
          </w:tcPr>
          <w:p>
            <w:pPr>
              <w:jc w:val="center"/>
              <w:ind w:right="25"/>
              <w:spacing w:after="0"/>
              <w:rPr>
                <w:sz w:val="20"/>
                <w:szCs w:val="20"/>
                <w:color w:val="auto"/>
              </w:rPr>
            </w:pPr>
            <w:r>
              <w:rPr>
                <w:rFonts w:ascii="Arial" w:cs="Arial" w:eastAsia="Arial" w:hAnsi="Arial"/>
                <w:sz w:val="11"/>
                <w:szCs w:val="11"/>
                <w:b w:val="1"/>
                <w:bCs w:val="1"/>
                <w:color w:val="auto"/>
              </w:rPr>
              <w:t>001-34927</w:t>
            </w:r>
          </w:p>
        </w:tc>
        <w:tc>
          <w:tcPr>
            <w:tcW w:w="1800" w:type="dxa"/>
            <w:vAlign w:val="bottom"/>
          </w:tcPr>
          <w:p>
            <w:pPr>
              <w:jc w:val="center"/>
              <w:ind w:left="845"/>
              <w:spacing w:after="0"/>
              <w:rPr>
                <w:sz w:val="20"/>
                <w:szCs w:val="20"/>
                <w:color w:val="auto"/>
              </w:rPr>
            </w:pPr>
            <w:r>
              <w:rPr>
                <w:rFonts w:ascii="Arial" w:cs="Arial" w:eastAsia="Arial" w:hAnsi="Arial"/>
                <w:sz w:val="11"/>
                <w:szCs w:val="11"/>
                <w:b w:val="1"/>
                <w:bCs w:val="1"/>
                <w:color w:val="auto"/>
              </w:rPr>
              <w:t>57-6218917</w:t>
            </w:r>
          </w:p>
        </w:tc>
      </w:tr>
      <w:tr>
        <w:trPr>
          <w:trHeight w:val="131"/>
        </w:trPr>
        <w:tc>
          <w:tcPr>
            <w:tcW w:w="2180" w:type="dxa"/>
            <w:vAlign w:val="bottom"/>
          </w:tcPr>
          <w:p>
            <w:pPr>
              <w:jc w:val="center"/>
              <w:ind w:right="765"/>
              <w:spacing w:after="0"/>
              <w:rPr>
                <w:sz w:val="20"/>
                <w:szCs w:val="20"/>
                <w:color w:val="auto"/>
              </w:rPr>
            </w:pPr>
            <w:r>
              <w:rPr>
                <w:rFonts w:ascii="Arial" w:cs="Arial" w:eastAsia="Arial" w:hAnsi="Arial"/>
                <w:sz w:val="11"/>
                <w:szCs w:val="11"/>
                <w:b w:val="1"/>
                <w:bCs w:val="1"/>
                <w:color w:val="auto"/>
                <w:w w:val="98"/>
              </w:rPr>
              <w:t>(State or other jurisdiction</w:t>
            </w:r>
          </w:p>
        </w:tc>
        <w:tc>
          <w:tcPr>
            <w:tcW w:w="2380" w:type="dxa"/>
            <w:vAlign w:val="bottom"/>
          </w:tcPr>
          <w:p>
            <w:pPr>
              <w:jc w:val="center"/>
              <w:ind w:right="25"/>
              <w:spacing w:after="0"/>
              <w:rPr>
                <w:sz w:val="20"/>
                <w:szCs w:val="20"/>
                <w:color w:val="auto"/>
              </w:rPr>
            </w:pPr>
            <w:r>
              <w:rPr>
                <w:rFonts w:ascii="Arial" w:cs="Arial" w:eastAsia="Arial" w:hAnsi="Arial"/>
                <w:sz w:val="11"/>
                <w:szCs w:val="11"/>
                <w:b w:val="1"/>
                <w:bCs w:val="1"/>
                <w:color w:val="auto"/>
              </w:rPr>
              <w:t>(Commission</w:t>
            </w:r>
          </w:p>
        </w:tc>
        <w:tc>
          <w:tcPr>
            <w:tcW w:w="1800" w:type="dxa"/>
            <w:vAlign w:val="bottom"/>
          </w:tcPr>
          <w:p>
            <w:pPr>
              <w:jc w:val="center"/>
              <w:ind w:left="845"/>
              <w:spacing w:after="0"/>
              <w:rPr>
                <w:sz w:val="20"/>
                <w:szCs w:val="20"/>
                <w:color w:val="auto"/>
              </w:rPr>
            </w:pPr>
            <w:r>
              <w:rPr>
                <w:rFonts w:ascii="Arial" w:cs="Arial" w:eastAsia="Arial" w:hAnsi="Arial"/>
                <w:sz w:val="11"/>
                <w:szCs w:val="11"/>
                <w:b w:val="1"/>
                <w:bCs w:val="1"/>
                <w:color w:val="auto"/>
                <w:w w:val="97"/>
              </w:rPr>
              <w:t>(I.R.S. Employer</w:t>
            </w:r>
          </w:p>
        </w:tc>
      </w:tr>
      <w:tr>
        <w:trPr>
          <w:trHeight w:val="148"/>
        </w:trPr>
        <w:tc>
          <w:tcPr>
            <w:tcW w:w="2180" w:type="dxa"/>
            <w:vAlign w:val="bottom"/>
          </w:tcPr>
          <w:p>
            <w:pPr>
              <w:jc w:val="center"/>
              <w:ind w:right="765"/>
              <w:spacing w:after="0"/>
              <w:rPr>
                <w:sz w:val="20"/>
                <w:szCs w:val="20"/>
                <w:color w:val="auto"/>
              </w:rPr>
            </w:pPr>
            <w:r>
              <w:rPr>
                <w:rFonts w:ascii="Arial" w:cs="Arial" w:eastAsia="Arial" w:hAnsi="Arial"/>
                <w:sz w:val="11"/>
                <w:szCs w:val="11"/>
                <w:b w:val="1"/>
                <w:bCs w:val="1"/>
                <w:color w:val="auto"/>
                <w:w w:val="99"/>
              </w:rPr>
              <w:t>of incorporation)</w:t>
            </w:r>
          </w:p>
        </w:tc>
        <w:tc>
          <w:tcPr>
            <w:tcW w:w="2380" w:type="dxa"/>
            <w:vAlign w:val="bottom"/>
          </w:tcPr>
          <w:p>
            <w:pPr>
              <w:jc w:val="center"/>
              <w:ind w:right="25"/>
              <w:spacing w:after="0"/>
              <w:rPr>
                <w:sz w:val="20"/>
                <w:szCs w:val="20"/>
                <w:color w:val="auto"/>
              </w:rPr>
            </w:pPr>
            <w:r>
              <w:rPr>
                <w:rFonts w:ascii="Arial" w:cs="Arial" w:eastAsia="Arial" w:hAnsi="Arial"/>
                <w:sz w:val="11"/>
                <w:szCs w:val="11"/>
                <w:b w:val="1"/>
                <w:bCs w:val="1"/>
                <w:color w:val="auto"/>
                <w:w w:val="98"/>
              </w:rPr>
              <w:t>File Number)</w:t>
            </w:r>
          </w:p>
        </w:tc>
        <w:tc>
          <w:tcPr>
            <w:tcW w:w="1800" w:type="dxa"/>
            <w:vAlign w:val="bottom"/>
          </w:tcPr>
          <w:p>
            <w:pPr>
              <w:jc w:val="center"/>
              <w:ind w:left="845"/>
              <w:spacing w:after="0"/>
              <w:rPr>
                <w:sz w:val="20"/>
                <w:szCs w:val="20"/>
                <w:color w:val="auto"/>
              </w:rPr>
            </w:pPr>
            <w:r>
              <w:rPr>
                <w:rFonts w:ascii="Arial" w:cs="Arial" w:eastAsia="Arial" w:hAnsi="Arial"/>
                <w:sz w:val="11"/>
                <w:szCs w:val="11"/>
                <w:b w:val="1"/>
                <w:bCs w:val="1"/>
                <w:color w:val="auto"/>
                <w:w w:val="96"/>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92710</wp:posOffset>
            </wp:positionV>
            <wp:extent cx="143700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7005" cy="6350"/>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COMPASS GROUP DIVERSIFIED HOLDINGS LLC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1431290</wp:posOffset>
            </wp:positionH>
            <wp:positionV relativeFrom="paragraph">
              <wp:posOffset>78740</wp:posOffset>
            </wp:positionV>
            <wp:extent cx="143700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7005" cy="6350"/>
                    </a:xfrm>
                    <a:prstGeom prst="rect">
                      <a:avLst/>
                    </a:prstGeom>
                    <a:noFill/>
                  </pic:spPr>
                </pic:pic>
              </a:graphicData>
            </a:graphic>
          </wp:anchor>
        </w:drawing>
      </w:r>
    </w:p>
    <w:p>
      <w:pPr>
        <w:spacing w:after="0" w:line="280" w:lineRule="exact"/>
        <w:rPr>
          <w:sz w:val="24"/>
          <w:szCs w:val="24"/>
          <w:color w:val="auto"/>
        </w:rPr>
      </w:pPr>
    </w:p>
    <w:tbl>
      <w:tblPr>
        <w:tblLayout w:type="fixed"/>
        <w:tblInd w:w="2380" w:type="dxa"/>
        <w:tblCellMar>
          <w:top w:w="0" w:type="dxa"/>
          <w:left w:w="0" w:type="dxa"/>
          <w:bottom w:w="0" w:type="dxa"/>
          <w:right w:w="0" w:type="dxa"/>
        </w:tblCellMar>
      </w:tblPr>
      <w:tr>
        <w:trPr>
          <w:trHeight w:val="148"/>
        </w:trPr>
        <w:tc>
          <w:tcPr>
            <w:tcW w:w="2180" w:type="dxa"/>
            <w:vAlign w:val="bottom"/>
          </w:tcPr>
          <w:p>
            <w:pPr>
              <w:jc w:val="center"/>
              <w:ind w:right="766"/>
              <w:spacing w:after="0"/>
              <w:rPr>
                <w:sz w:val="20"/>
                <w:szCs w:val="20"/>
                <w:color w:val="auto"/>
              </w:rPr>
            </w:pPr>
            <w:r>
              <w:rPr>
                <w:rFonts w:ascii="Arial" w:cs="Arial" w:eastAsia="Arial" w:hAnsi="Arial"/>
                <w:sz w:val="11"/>
                <w:szCs w:val="11"/>
                <w:b w:val="1"/>
                <w:bCs w:val="1"/>
                <w:color w:val="auto"/>
                <w:w w:val="99"/>
              </w:rPr>
              <w:t>Delaware</w:t>
            </w:r>
          </w:p>
        </w:tc>
        <w:tc>
          <w:tcPr>
            <w:tcW w:w="2380" w:type="dxa"/>
            <w:vAlign w:val="bottom"/>
          </w:tcPr>
          <w:p>
            <w:pPr>
              <w:jc w:val="center"/>
              <w:ind w:right="26"/>
              <w:spacing w:after="0"/>
              <w:rPr>
                <w:sz w:val="20"/>
                <w:szCs w:val="20"/>
                <w:color w:val="auto"/>
              </w:rPr>
            </w:pPr>
            <w:r>
              <w:rPr>
                <w:rFonts w:ascii="Arial" w:cs="Arial" w:eastAsia="Arial" w:hAnsi="Arial"/>
                <w:sz w:val="11"/>
                <w:szCs w:val="11"/>
                <w:b w:val="1"/>
                <w:bCs w:val="1"/>
                <w:color w:val="auto"/>
                <w:w w:val="94"/>
              </w:rPr>
              <w:t>001-34926</w:t>
            </w:r>
          </w:p>
        </w:tc>
        <w:tc>
          <w:tcPr>
            <w:tcW w:w="1800" w:type="dxa"/>
            <w:vAlign w:val="bottom"/>
          </w:tcPr>
          <w:p>
            <w:pPr>
              <w:jc w:val="center"/>
              <w:ind w:left="846"/>
              <w:spacing w:after="0"/>
              <w:rPr>
                <w:sz w:val="20"/>
                <w:szCs w:val="20"/>
                <w:color w:val="auto"/>
              </w:rPr>
            </w:pPr>
            <w:r>
              <w:rPr>
                <w:rFonts w:ascii="Arial" w:cs="Arial" w:eastAsia="Arial" w:hAnsi="Arial"/>
                <w:sz w:val="11"/>
                <w:szCs w:val="11"/>
                <w:b w:val="1"/>
                <w:bCs w:val="1"/>
                <w:color w:val="auto"/>
                <w:w w:val="98"/>
              </w:rPr>
              <w:t>20-3812051</w:t>
            </w:r>
          </w:p>
        </w:tc>
      </w:tr>
      <w:tr>
        <w:trPr>
          <w:trHeight w:val="136"/>
        </w:trPr>
        <w:tc>
          <w:tcPr>
            <w:tcW w:w="2180" w:type="dxa"/>
            <w:vAlign w:val="bottom"/>
          </w:tcPr>
          <w:p>
            <w:pPr>
              <w:jc w:val="center"/>
              <w:ind w:right="766"/>
              <w:spacing w:after="0"/>
              <w:rPr>
                <w:sz w:val="20"/>
                <w:szCs w:val="20"/>
                <w:color w:val="auto"/>
              </w:rPr>
            </w:pPr>
            <w:r>
              <w:rPr>
                <w:rFonts w:ascii="Arial" w:cs="Arial" w:eastAsia="Arial" w:hAnsi="Arial"/>
                <w:sz w:val="11"/>
                <w:szCs w:val="11"/>
                <w:b w:val="1"/>
                <w:bCs w:val="1"/>
                <w:color w:val="auto"/>
                <w:w w:val="98"/>
              </w:rPr>
              <w:t>(State or other jurisdiction</w:t>
            </w:r>
          </w:p>
        </w:tc>
        <w:tc>
          <w:tcPr>
            <w:tcW w:w="2380" w:type="dxa"/>
            <w:vAlign w:val="bottom"/>
          </w:tcPr>
          <w:p>
            <w:pPr>
              <w:jc w:val="center"/>
              <w:ind w:right="26"/>
              <w:spacing w:after="0"/>
              <w:rPr>
                <w:sz w:val="20"/>
                <w:szCs w:val="20"/>
                <w:color w:val="auto"/>
              </w:rPr>
            </w:pPr>
            <w:r>
              <w:rPr>
                <w:rFonts w:ascii="Arial" w:cs="Arial" w:eastAsia="Arial" w:hAnsi="Arial"/>
                <w:sz w:val="11"/>
                <w:szCs w:val="11"/>
                <w:b w:val="1"/>
                <w:bCs w:val="1"/>
                <w:color w:val="auto"/>
              </w:rPr>
              <w:t>(Commission</w:t>
            </w:r>
          </w:p>
        </w:tc>
        <w:tc>
          <w:tcPr>
            <w:tcW w:w="1800" w:type="dxa"/>
            <w:vAlign w:val="bottom"/>
          </w:tcPr>
          <w:p>
            <w:pPr>
              <w:jc w:val="center"/>
              <w:ind w:left="846"/>
              <w:spacing w:after="0"/>
              <w:rPr>
                <w:sz w:val="20"/>
                <w:szCs w:val="20"/>
                <w:color w:val="auto"/>
              </w:rPr>
            </w:pPr>
            <w:r>
              <w:rPr>
                <w:rFonts w:ascii="Arial" w:cs="Arial" w:eastAsia="Arial" w:hAnsi="Arial"/>
                <w:sz w:val="11"/>
                <w:szCs w:val="11"/>
                <w:b w:val="1"/>
                <w:bCs w:val="1"/>
                <w:color w:val="auto"/>
                <w:w w:val="97"/>
              </w:rPr>
              <w:t>(I.R.S. Employer</w:t>
            </w:r>
          </w:p>
        </w:tc>
      </w:tr>
      <w:tr>
        <w:trPr>
          <w:trHeight w:val="148"/>
        </w:trPr>
        <w:tc>
          <w:tcPr>
            <w:tcW w:w="2180" w:type="dxa"/>
            <w:vAlign w:val="bottom"/>
          </w:tcPr>
          <w:p>
            <w:pPr>
              <w:jc w:val="center"/>
              <w:ind w:right="766"/>
              <w:spacing w:after="0"/>
              <w:rPr>
                <w:sz w:val="20"/>
                <w:szCs w:val="20"/>
                <w:color w:val="auto"/>
              </w:rPr>
            </w:pPr>
            <w:r>
              <w:rPr>
                <w:rFonts w:ascii="Arial" w:cs="Arial" w:eastAsia="Arial" w:hAnsi="Arial"/>
                <w:sz w:val="11"/>
                <w:szCs w:val="11"/>
                <w:b w:val="1"/>
                <w:bCs w:val="1"/>
                <w:color w:val="auto"/>
                <w:w w:val="99"/>
              </w:rPr>
              <w:t>of incorporation)</w:t>
            </w:r>
          </w:p>
        </w:tc>
        <w:tc>
          <w:tcPr>
            <w:tcW w:w="2380" w:type="dxa"/>
            <w:vAlign w:val="bottom"/>
          </w:tcPr>
          <w:p>
            <w:pPr>
              <w:jc w:val="center"/>
              <w:ind w:right="26"/>
              <w:spacing w:after="0"/>
              <w:rPr>
                <w:sz w:val="20"/>
                <w:szCs w:val="20"/>
                <w:color w:val="auto"/>
              </w:rPr>
            </w:pPr>
            <w:r>
              <w:rPr>
                <w:rFonts w:ascii="Arial" w:cs="Arial" w:eastAsia="Arial" w:hAnsi="Arial"/>
                <w:sz w:val="11"/>
                <w:szCs w:val="11"/>
                <w:b w:val="1"/>
                <w:bCs w:val="1"/>
                <w:color w:val="auto"/>
                <w:w w:val="98"/>
              </w:rPr>
              <w:t>File Number)</w:t>
            </w:r>
          </w:p>
        </w:tc>
        <w:tc>
          <w:tcPr>
            <w:tcW w:w="1800" w:type="dxa"/>
            <w:vAlign w:val="bottom"/>
          </w:tcPr>
          <w:p>
            <w:pPr>
              <w:jc w:val="center"/>
              <w:ind w:left="846"/>
              <w:spacing w:after="0"/>
              <w:rPr>
                <w:sz w:val="20"/>
                <w:szCs w:val="20"/>
                <w:color w:val="auto"/>
              </w:rPr>
            </w:pPr>
            <w:r>
              <w:rPr>
                <w:rFonts w:ascii="Arial" w:cs="Arial" w:eastAsia="Arial" w:hAnsi="Arial"/>
                <w:sz w:val="11"/>
                <w:szCs w:val="11"/>
                <w:b w:val="1"/>
                <w:bCs w:val="1"/>
                <w:color w:val="auto"/>
                <w:w w:val="96"/>
              </w:rPr>
              <w:t>Identification No.)</w:t>
            </w: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301 Riverside Avenue, Second Floor, Westport, CT 06880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(Address of principal executive offices and zip code)</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(203) 221-1703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67310</wp:posOffset>
            </wp:positionV>
            <wp:extent cx="143700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7005" cy="6350"/>
                    </a:xfrm>
                    <a:prstGeom prst="rect">
                      <a:avLst/>
                    </a:prstGeom>
                    <a:noFill/>
                  </pic:spPr>
                </pic:pic>
              </a:graphicData>
            </a:graphic>
          </wp:anchor>
        </w:drawing>
      </w:r>
    </w:p>
    <w:p>
      <w:pPr>
        <w:spacing w:after="0" w:line="226"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is intended to simultaneously satisfy the filing obligation of the registrant under any of the following provisions:</w:t>
      </w:r>
    </w:p>
    <w:p>
      <w:pPr>
        <w:spacing w:after="0" w:line="154" w:lineRule="exact"/>
        <w:rPr>
          <w:sz w:val="24"/>
          <w:szCs w:val="24"/>
          <w:color w:val="auto"/>
        </w:rPr>
      </w:pPr>
    </w:p>
    <w:p>
      <w:pPr>
        <w:ind w:left="2580" w:hanging="307"/>
        <w:spacing w:after="0"/>
        <w:tabs>
          <w:tab w:leader="none" w:pos="258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106" w:lineRule="exact"/>
        <w:rPr>
          <w:rFonts w:ascii="MS PGothic" w:cs="MS PGothic" w:eastAsia="MS PGothic" w:hAnsi="MS PGothic"/>
          <w:sz w:val="11"/>
          <w:szCs w:val="11"/>
          <w:color w:val="auto"/>
        </w:rPr>
      </w:pPr>
    </w:p>
    <w:p>
      <w:pPr>
        <w:ind w:left="2580" w:hanging="307"/>
        <w:spacing w:after="0"/>
        <w:tabs>
          <w:tab w:leader="none" w:pos="258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06" w:lineRule="exact"/>
        <w:rPr>
          <w:rFonts w:ascii="MS PGothic" w:cs="MS PGothic" w:eastAsia="MS PGothic" w:hAnsi="MS PGothic"/>
          <w:sz w:val="11"/>
          <w:szCs w:val="11"/>
          <w:color w:val="auto"/>
        </w:rPr>
      </w:pPr>
    </w:p>
    <w:p>
      <w:pPr>
        <w:ind w:left="2580" w:hanging="307"/>
        <w:spacing w:after="0"/>
        <w:tabs>
          <w:tab w:leader="none" w:pos="258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06" w:lineRule="exact"/>
        <w:rPr>
          <w:rFonts w:ascii="MS PGothic" w:cs="MS PGothic" w:eastAsia="MS PGothic" w:hAnsi="MS PGothic"/>
          <w:sz w:val="11"/>
          <w:szCs w:val="11"/>
          <w:color w:val="auto"/>
        </w:rPr>
      </w:pPr>
    </w:p>
    <w:p>
      <w:pPr>
        <w:ind w:left="2580" w:hanging="307"/>
        <w:spacing w:after="0"/>
        <w:tabs>
          <w:tab w:leader="none" w:pos="258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162" w:lineRule="exact"/>
        <w:rPr>
          <w:sz w:val="24"/>
          <w:szCs w:val="24"/>
          <w:color w:val="auto"/>
        </w:rPr>
      </w:pPr>
    </w:p>
    <w:p>
      <w:pP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89" w:lineRule="exact"/>
        <w:rPr>
          <w:sz w:val="24"/>
          <w:szCs w:val="24"/>
          <w:color w:val="auto"/>
        </w:rPr>
      </w:pPr>
    </w:p>
    <w:tbl>
      <w:tblPr>
        <w:tblLayout w:type="fixed"/>
        <w:tblInd w:w="150" w:type="dxa"/>
        <w:tblCellMar>
          <w:top w:w="0" w:type="dxa"/>
          <w:left w:w="0" w:type="dxa"/>
          <w:bottom w:w="0" w:type="dxa"/>
          <w:right w:w="0" w:type="dxa"/>
        </w:tblCellMar>
      </w:tblPr>
      <w:tr>
        <w:trPr>
          <w:trHeight w:val="162"/>
        </w:trPr>
        <w:tc>
          <w:tcPr>
            <w:tcW w:w="5120" w:type="dxa"/>
            <w:vAlign w:val="bottom"/>
            <w:tcBorders>
              <w:top w:val="single" w:sz="8" w:color="auto"/>
              <w:left w:val="single" w:sz="8" w:color="auto"/>
              <w:bottom w:val="single" w:sz="8" w:color="auto"/>
            </w:tcBorders>
          </w:tcPr>
          <w:p>
            <w:pPr>
              <w:ind w:left="2300"/>
              <w:spacing w:after="0"/>
              <w:rPr>
                <w:sz w:val="20"/>
                <w:szCs w:val="20"/>
                <w:color w:val="auto"/>
              </w:rPr>
            </w:pPr>
            <w:r>
              <w:rPr>
                <w:rFonts w:ascii="Arial" w:cs="Arial" w:eastAsia="Arial" w:hAnsi="Arial"/>
                <w:sz w:val="11"/>
                <w:szCs w:val="11"/>
                <w:b w:val="1"/>
                <w:bCs w:val="1"/>
                <w:color w:val="auto"/>
              </w:rPr>
              <w:t>Title of Each Class</w:t>
            </w:r>
          </w:p>
        </w:tc>
        <w:tc>
          <w:tcPr>
            <w:tcW w:w="2180" w:type="dxa"/>
            <w:vAlign w:val="bottom"/>
            <w:tcBorders>
              <w:top w:val="single" w:sz="8" w:color="auto"/>
              <w:bottom w:val="single" w:sz="8" w:color="auto"/>
            </w:tcBorders>
          </w:tcPr>
          <w:p>
            <w:pPr>
              <w:jc w:val="center"/>
              <w:ind w:left="106"/>
              <w:spacing w:after="0"/>
              <w:rPr>
                <w:sz w:val="20"/>
                <w:szCs w:val="20"/>
                <w:color w:val="auto"/>
              </w:rPr>
            </w:pPr>
            <w:r>
              <w:rPr>
                <w:rFonts w:ascii="Arial" w:cs="Arial" w:eastAsia="Arial" w:hAnsi="Arial"/>
                <w:sz w:val="11"/>
                <w:szCs w:val="11"/>
                <w:b w:val="1"/>
                <w:bCs w:val="1"/>
                <w:color w:val="auto"/>
                <w:w w:val="97"/>
              </w:rPr>
              <w:t>Trading Symbol(s)</w:t>
            </w:r>
          </w:p>
        </w:tc>
        <w:tc>
          <w:tcPr>
            <w:tcW w:w="3740" w:type="dxa"/>
            <w:vAlign w:val="bottom"/>
            <w:tcBorders>
              <w:top w:val="single" w:sz="8" w:color="auto"/>
              <w:bottom w:val="single" w:sz="8" w:color="auto"/>
              <w:right w:val="single" w:sz="8" w:color="auto"/>
            </w:tcBorders>
          </w:tcPr>
          <w:p>
            <w:pPr>
              <w:jc w:val="center"/>
              <w:ind w:right="246"/>
              <w:spacing w:after="0"/>
              <w:rPr>
                <w:sz w:val="20"/>
                <w:szCs w:val="20"/>
                <w:color w:val="auto"/>
              </w:rPr>
            </w:pPr>
            <w:r>
              <w:rPr>
                <w:rFonts w:ascii="Arial" w:cs="Arial" w:eastAsia="Arial" w:hAnsi="Arial"/>
                <w:sz w:val="11"/>
                <w:szCs w:val="11"/>
                <w:b w:val="1"/>
                <w:bCs w:val="1"/>
                <w:color w:val="auto"/>
                <w:w w:val="98"/>
              </w:rPr>
              <w:t>Name of Each Exchange on Which Registered</w:t>
            </w:r>
          </w:p>
        </w:tc>
      </w:tr>
      <w:tr>
        <w:trPr>
          <w:trHeight w:val="139"/>
        </w:trPr>
        <w:tc>
          <w:tcPr>
            <w:tcW w:w="51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Shares representing beneficial interests in Compass Diversified Holdings</w:t>
            </w:r>
          </w:p>
        </w:tc>
        <w:tc>
          <w:tcPr>
            <w:tcW w:w="2180" w:type="dxa"/>
            <w:vAlign w:val="bottom"/>
            <w:tcBorders>
              <w:bottom w:val="single" w:sz="8" w:color="auto"/>
            </w:tcBorders>
          </w:tcPr>
          <w:p>
            <w:pPr>
              <w:jc w:val="center"/>
              <w:ind w:left="106"/>
              <w:spacing w:after="0"/>
              <w:rPr>
                <w:sz w:val="20"/>
                <w:szCs w:val="20"/>
                <w:color w:val="auto"/>
              </w:rPr>
            </w:pPr>
            <w:r>
              <w:rPr>
                <w:rFonts w:ascii="Arial" w:cs="Arial" w:eastAsia="Arial" w:hAnsi="Arial"/>
                <w:sz w:val="11"/>
                <w:szCs w:val="11"/>
                <w:color w:val="auto"/>
                <w:w w:val="94"/>
              </w:rPr>
              <w:t>CODI</w:t>
            </w:r>
          </w:p>
        </w:tc>
        <w:tc>
          <w:tcPr>
            <w:tcW w:w="3740" w:type="dxa"/>
            <w:vAlign w:val="bottom"/>
            <w:tcBorders>
              <w:bottom w:val="single" w:sz="8" w:color="auto"/>
              <w:right w:val="single" w:sz="8" w:color="auto"/>
            </w:tcBorders>
          </w:tcPr>
          <w:p>
            <w:pPr>
              <w:jc w:val="center"/>
              <w:ind w:right="226"/>
              <w:spacing w:after="0"/>
              <w:rPr>
                <w:sz w:val="20"/>
                <w:szCs w:val="20"/>
                <w:color w:val="auto"/>
              </w:rPr>
            </w:pPr>
            <w:r>
              <w:rPr>
                <w:rFonts w:ascii="Arial" w:cs="Arial" w:eastAsia="Arial" w:hAnsi="Arial"/>
                <w:sz w:val="11"/>
                <w:szCs w:val="11"/>
                <w:color w:val="auto"/>
                <w:w w:val="96"/>
              </w:rPr>
              <w:t>New York Stock Exchange</w:t>
            </w:r>
          </w:p>
        </w:tc>
      </w:tr>
      <w:tr>
        <w:trPr>
          <w:trHeight w:val="142"/>
        </w:trPr>
        <w:tc>
          <w:tcPr>
            <w:tcW w:w="51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Series A Preferred Shares representing beneficial interests in Compass Diversified Holdings</w:t>
            </w:r>
          </w:p>
        </w:tc>
        <w:tc>
          <w:tcPr>
            <w:tcW w:w="2180" w:type="dxa"/>
            <w:vAlign w:val="bottom"/>
            <w:tcBorders>
              <w:bottom w:val="single" w:sz="8" w:color="auto"/>
            </w:tcBorders>
          </w:tcPr>
          <w:p>
            <w:pPr>
              <w:jc w:val="center"/>
              <w:ind w:left="106"/>
              <w:spacing w:after="0"/>
              <w:rPr>
                <w:sz w:val="20"/>
                <w:szCs w:val="20"/>
                <w:color w:val="auto"/>
              </w:rPr>
            </w:pPr>
            <w:r>
              <w:rPr>
                <w:rFonts w:ascii="Arial" w:cs="Arial" w:eastAsia="Arial" w:hAnsi="Arial"/>
                <w:sz w:val="11"/>
                <w:szCs w:val="11"/>
                <w:color w:val="auto"/>
                <w:w w:val="95"/>
              </w:rPr>
              <w:t>CODI PR A</w:t>
            </w:r>
          </w:p>
        </w:tc>
        <w:tc>
          <w:tcPr>
            <w:tcW w:w="3740" w:type="dxa"/>
            <w:vAlign w:val="bottom"/>
            <w:tcBorders>
              <w:bottom w:val="single" w:sz="8" w:color="auto"/>
              <w:right w:val="single" w:sz="8" w:color="auto"/>
            </w:tcBorders>
          </w:tcPr>
          <w:p>
            <w:pPr>
              <w:jc w:val="center"/>
              <w:ind w:right="226"/>
              <w:spacing w:after="0"/>
              <w:rPr>
                <w:sz w:val="20"/>
                <w:szCs w:val="20"/>
                <w:color w:val="auto"/>
              </w:rPr>
            </w:pPr>
            <w:r>
              <w:rPr>
                <w:rFonts w:ascii="Arial" w:cs="Arial" w:eastAsia="Arial" w:hAnsi="Arial"/>
                <w:sz w:val="11"/>
                <w:szCs w:val="11"/>
                <w:color w:val="auto"/>
                <w:w w:val="96"/>
              </w:rPr>
              <w:t>New York Stock Exchange</w:t>
            </w:r>
          </w:p>
        </w:tc>
      </w:tr>
      <w:tr>
        <w:trPr>
          <w:trHeight w:val="142"/>
        </w:trPr>
        <w:tc>
          <w:tcPr>
            <w:tcW w:w="51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Series B Preferred Shares representing beneficial interests in Compass Diversified Holdings</w:t>
            </w:r>
          </w:p>
        </w:tc>
        <w:tc>
          <w:tcPr>
            <w:tcW w:w="2180" w:type="dxa"/>
            <w:vAlign w:val="bottom"/>
            <w:tcBorders>
              <w:bottom w:val="single" w:sz="8" w:color="auto"/>
            </w:tcBorders>
          </w:tcPr>
          <w:p>
            <w:pPr>
              <w:jc w:val="center"/>
              <w:ind w:left="106"/>
              <w:spacing w:after="0"/>
              <w:rPr>
                <w:sz w:val="20"/>
                <w:szCs w:val="20"/>
                <w:color w:val="auto"/>
              </w:rPr>
            </w:pPr>
            <w:r>
              <w:rPr>
                <w:rFonts w:ascii="Arial" w:cs="Arial" w:eastAsia="Arial" w:hAnsi="Arial"/>
                <w:sz w:val="11"/>
                <w:szCs w:val="11"/>
                <w:color w:val="auto"/>
                <w:w w:val="95"/>
              </w:rPr>
              <w:t>CODI PR B</w:t>
            </w:r>
          </w:p>
        </w:tc>
        <w:tc>
          <w:tcPr>
            <w:tcW w:w="3740" w:type="dxa"/>
            <w:vAlign w:val="bottom"/>
            <w:tcBorders>
              <w:bottom w:val="single" w:sz="8" w:color="auto"/>
              <w:right w:val="single" w:sz="8" w:color="auto"/>
            </w:tcBorders>
          </w:tcPr>
          <w:p>
            <w:pPr>
              <w:jc w:val="center"/>
              <w:ind w:right="226"/>
              <w:spacing w:after="0"/>
              <w:rPr>
                <w:sz w:val="20"/>
                <w:szCs w:val="20"/>
                <w:color w:val="auto"/>
              </w:rPr>
            </w:pPr>
            <w:r>
              <w:rPr>
                <w:rFonts w:ascii="Arial" w:cs="Arial" w:eastAsia="Arial" w:hAnsi="Arial"/>
                <w:sz w:val="11"/>
                <w:szCs w:val="11"/>
                <w:color w:val="auto"/>
                <w:w w:val="96"/>
              </w:rPr>
              <w:t>New York Stock Exchange</w:t>
            </w:r>
          </w:p>
        </w:tc>
      </w:tr>
      <w:tr>
        <w:trPr>
          <w:trHeight w:val="142"/>
        </w:trPr>
        <w:tc>
          <w:tcPr>
            <w:tcW w:w="51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Series C Preferred Shares representing beneficial interests in Compass Diversified Holdings</w:t>
            </w:r>
          </w:p>
        </w:tc>
        <w:tc>
          <w:tcPr>
            <w:tcW w:w="2180" w:type="dxa"/>
            <w:vAlign w:val="bottom"/>
            <w:tcBorders>
              <w:bottom w:val="single" w:sz="8" w:color="auto"/>
            </w:tcBorders>
          </w:tcPr>
          <w:p>
            <w:pPr>
              <w:jc w:val="center"/>
              <w:ind w:left="126"/>
              <w:spacing w:after="0"/>
              <w:rPr>
                <w:sz w:val="20"/>
                <w:szCs w:val="20"/>
                <w:color w:val="auto"/>
              </w:rPr>
            </w:pPr>
            <w:r>
              <w:rPr>
                <w:rFonts w:ascii="Arial" w:cs="Arial" w:eastAsia="Arial" w:hAnsi="Arial"/>
                <w:sz w:val="11"/>
                <w:szCs w:val="11"/>
                <w:color w:val="auto"/>
                <w:w w:val="98"/>
              </w:rPr>
              <w:t>CODI PR C</w:t>
            </w:r>
          </w:p>
        </w:tc>
        <w:tc>
          <w:tcPr>
            <w:tcW w:w="3740" w:type="dxa"/>
            <w:vAlign w:val="bottom"/>
            <w:tcBorders>
              <w:bottom w:val="single" w:sz="8" w:color="auto"/>
              <w:right w:val="single" w:sz="8" w:color="auto"/>
            </w:tcBorders>
          </w:tcPr>
          <w:p>
            <w:pPr>
              <w:jc w:val="center"/>
              <w:ind w:right="226"/>
              <w:spacing w:after="0"/>
              <w:rPr>
                <w:sz w:val="20"/>
                <w:szCs w:val="20"/>
                <w:color w:val="auto"/>
              </w:rPr>
            </w:pPr>
            <w:r>
              <w:rPr>
                <w:rFonts w:ascii="Arial" w:cs="Arial" w:eastAsia="Arial" w:hAnsi="Arial"/>
                <w:sz w:val="11"/>
                <w:szCs w:val="11"/>
                <w:color w:val="auto"/>
                <w:w w:val="96"/>
              </w:rPr>
              <w:t>New York Stock Exchange</w:t>
            </w:r>
          </w:p>
        </w:tc>
      </w:tr>
    </w:tbl>
    <w:p>
      <w:pPr>
        <w:spacing w:after="0" w:line="146"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4640" w:type="dxa"/>
            <w:vAlign w:val="bottom"/>
            <w:vMerge w:val="restart"/>
          </w:tcPr>
          <w:p>
            <w:pPr>
              <w:spacing w:after="0"/>
              <w:rPr>
                <w:sz w:val="20"/>
                <w:szCs w:val="20"/>
                <w:color w:val="auto"/>
              </w:rPr>
            </w:pPr>
            <w:r>
              <w:rPr>
                <w:rFonts w:ascii="Arial" w:cs="Arial" w:eastAsia="Arial" w:hAnsi="Arial"/>
                <w:sz w:val="11"/>
                <w:szCs w:val="11"/>
                <w:color w:val="auto"/>
              </w:rPr>
              <w:t>chapter).</w:t>
            </w:r>
          </w:p>
        </w:tc>
        <w:tc>
          <w:tcPr>
            <w:tcW w:w="5840" w:type="dxa"/>
            <w:vAlign w:val="bottom"/>
          </w:tcPr>
          <w:p>
            <w:pPr>
              <w:ind w:left="4220"/>
              <w:spacing w:after="0"/>
              <w:rPr>
                <w:sz w:val="20"/>
                <w:szCs w:val="20"/>
                <w:color w:val="auto"/>
              </w:rPr>
            </w:pPr>
            <w:r>
              <w:rPr>
                <w:rFonts w:ascii="Arial" w:cs="Arial" w:eastAsia="Arial" w:hAnsi="Arial"/>
                <w:sz w:val="11"/>
                <w:szCs w:val="11"/>
                <w:color w:val="auto"/>
              </w:rPr>
              <w:t>Emerging growth company</w:t>
            </w:r>
          </w:p>
        </w:tc>
        <w:tc>
          <w:tcPr>
            <w:tcW w:w="440" w:type="dxa"/>
            <w:vAlign w:val="bottom"/>
          </w:tcPr>
          <w:p>
            <w:pPr>
              <w:ind w:left="3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53"/>
        </w:trPr>
        <w:tc>
          <w:tcPr>
            <w:tcW w:w="4640" w:type="dxa"/>
            <w:vAlign w:val="bottom"/>
            <w:vMerge w:val="continue"/>
          </w:tcPr>
          <w:p>
            <w:pPr>
              <w:spacing w:after="0"/>
              <w:rPr>
                <w:sz w:val="4"/>
                <w:szCs w:val="4"/>
                <w:color w:val="auto"/>
              </w:rPr>
            </w:pPr>
          </w:p>
        </w:tc>
        <w:tc>
          <w:tcPr>
            <w:tcW w:w="5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spacing w:after="0" w:line="279" w:lineRule="auto"/>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178435</wp:posOffset>
            </wp:positionV>
            <wp:extent cx="719201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1" w:name="page2"/>
    <w:bookmarkEnd w:id="1"/>
    <w:p>
      <w:pPr>
        <w:ind w:left="20"/>
        <w:spacing w:after="0"/>
        <w:rPr>
          <w:sz w:val="20"/>
          <w:szCs w:val="20"/>
          <w:color w:val="auto"/>
        </w:rPr>
      </w:pPr>
      <w:r>
        <w:rPr>
          <w:rFonts w:ascii="Arial" w:cs="Arial" w:eastAsia="Arial" w:hAnsi="Arial"/>
          <w:sz w:val="12"/>
          <w:szCs w:val="12"/>
          <w:b w:val="1"/>
          <w:bCs w:val="1"/>
          <w:color w:val="auto"/>
        </w:rPr>
        <w:t>Section 1</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Item 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Registrant's Business and Operations</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Entry into a Material Definitive Agreement</w:t>
      </w:r>
    </w:p>
    <w:p>
      <w:pPr>
        <w:spacing w:after="0" w:line="165" w:lineRule="exact"/>
        <w:rPr>
          <w:sz w:val="20"/>
          <w:szCs w:val="20"/>
          <w:color w:val="auto"/>
        </w:rPr>
      </w:pPr>
    </w:p>
    <w:p>
      <w:pPr>
        <w:sectPr>
          <w:pgSz w:w="11900" w:h="16838" w:orient="portrait"/>
          <w:cols w:equalWidth="0" w:num="2">
            <w:col w:w="800" w:space="720"/>
            <w:col w:w="9760"/>
          </w:cols>
          <w:pgMar w:left="300" w:top="734" w:right="319" w:bottom="1440" w:gutter="0" w:footer="0" w:header="0"/>
        </w:sectPr>
      </w:pPr>
    </w:p>
    <w:p>
      <w:pPr>
        <w:jc w:val="both"/>
        <w:spacing w:after="0" w:line="288" w:lineRule="auto"/>
        <w:rPr>
          <w:sz w:val="20"/>
          <w:szCs w:val="20"/>
          <w:color w:val="auto"/>
        </w:rPr>
      </w:pPr>
      <w:r>
        <w:rPr>
          <w:rFonts w:ascii="Arial" w:cs="Arial" w:eastAsia="Arial" w:hAnsi="Arial"/>
          <w:sz w:val="12"/>
          <w:szCs w:val="12"/>
          <w:color w:val="auto"/>
        </w:rPr>
        <w:t>As previously disclosed in a Current Report on Form 8-K filed with the Securities and Exchange Commission (the “</w:t>
      </w:r>
      <w:r>
        <w:rPr>
          <w:rFonts w:ascii="Arial" w:cs="Arial" w:eastAsia="Arial" w:hAnsi="Arial"/>
          <w:sz w:val="12"/>
          <w:szCs w:val="12"/>
          <w:u w:val="single" w:color="auto"/>
          <w:color w:val="auto"/>
        </w:rPr>
        <w:t>SEC</w:t>
      </w:r>
      <w:r>
        <w:rPr>
          <w:rFonts w:ascii="Arial" w:cs="Arial" w:eastAsia="Arial" w:hAnsi="Arial"/>
          <w:sz w:val="12"/>
          <w:szCs w:val="12"/>
          <w:color w:val="auto"/>
        </w:rPr>
        <w:t>”) on May 7, 2025 (the “</w:t>
      </w:r>
      <w:r>
        <w:rPr>
          <w:rFonts w:ascii="Arial" w:cs="Arial" w:eastAsia="Arial" w:hAnsi="Arial"/>
          <w:sz w:val="12"/>
          <w:szCs w:val="12"/>
          <w:u w:val="single" w:color="auto"/>
          <w:color w:val="auto"/>
        </w:rPr>
        <w:t>Initial Form 8-K</w:t>
      </w:r>
      <w:r>
        <w:rPr>
          <w:rFonts w:ascii="Arial" w:cs="Arial" w:eastAsia="Arial" w:hAnsi="Arial"/>
          <w:sz w:val="12"/>
          <w:szCs w:val="12"/>
          <w:color w:val="auto"/>
        </w:rPr>
        <w:t>”), Compass Group Diversified Holdings LLC (the “</w:t>
      </w:r>
      <w:r>
        <w:rPr>
          <w:rFonts w:ascii="Arial" w:cs="Arial" w:eastAsia="Arial" w:hAnsi="Arial"/>
          <w:sz w:val="12"/>
          <w:szCs w:val="12"/>
          <w:u w:val="single" w:color="auto"/>
          <w:color w:val="auto"/>
        </w:rPr>
        <w:t>Company</w:t>
      </w:r>
      <w:r>
        <w:rPr>
          <w:rFonts w:ascii="Arial" w:cs="Arial" w:eastAsia="Arial" w:hAnsi="Arial"/>
          <w:sz w:val="12"/>
          <w:szCs w:val="12"/>
          <w:color w:val="auto"/>
        </w:rPr>
        <w:t>”) and Compass Diversified Holdings (the “</w:t>
      </w:r>
      <w:r>
        <w:rPr>
          <w:rFonts w:ascii="Arial" w:cs="Arial" w:eastAsia="Arial" w:hAnsi="Arial"/>
          <w:sz w:val="12"/>
          <w:szCs w:val="12"/>
          <w:u w:val="single" w:color="auto"/>
          <w:color w:val="auto"/>
        </w:rPr>
        <w:t>Trust</w:t>
      </w:r>
      <w:r>
        <w:rPr>
          <w:rFonts w:ascii="Arial" w:cs="Arial" w:eastAsia="Arial" w:hAnsi="Arial"/>
          <w:sz w:val="12"/>
          <w:szCs w:val="12"/>
          <w:color w:val="auto"/>
        </w:rPr>
        <w:t>” and, together with the Company, “</w:t>
      </w:r>
      <w:r>
        <w:rPr>
          <w:rFonts w:ascii="Arial" w:cs="Arial" w:eastAsia="Arial" w:hAnsi="Arial"/>
          <w:sz w:val="12"/>
          <w:szCs w:val="12"/>
          <w:u w:val="single" w:color="auto"/>
          <w:color w:val="auto"/>
        </w:rPr>
        <w:t>CODI</w:t>
      </w:r>
      <w:r>
        <w:rPr>
          <w:rFonts w:ascii="Arial" w:cs="Arial" w:eastAsia="Arial" w:hAnsi="Arial"/>
          <w:sz w:val="12"/>
          <w:szCs w:val="12"/>
          <w:color w:val="auto"/>
        </w:rPr>
        <w:t>”) indicated its intent to delay the filing of its Quarterly Report on Form 10-Q for the quarter ended March 31, 2025 (the “</w:t>
      </w:r>
      <w:r>
        <w:rPr>
          <w:rFonts w:ascii="Arial" w:cs="Arial" w:eastAsia="Arial" w:hAnsi="Arial"/>
          <w:sz w:val="12"/>
          <w:szCs w:val="12"/>
          <w:u w:val="single" w:color="auto"/>
          <w:color w:val="auto"/>
        </w:rPr>
        <w:t>Form 10-Q</w:t>
      </w:r>
      <w:r>
        <w:rPr>
          <w:rFonts w:ascii="Arial" w:cs="Arial" w:eastAsia="Arial" w:hAnsi="Arial"/>
          <w:sz w:val="12"/>
          <w:szCs w:val="12"/>
          <w:color w:val="auto"/>
        </w:rPr>
        <w:t>”) and disclosed non-reliance on its 2024 financial statements as a result of concerns about financing, accounting, and inventory practices at one of its subsidiaries, Lugano Holding, Inc. (“</w:t>
      </w:r>
      <w:r>
        <w:rPr>
          <w:rFonts w:ascii="Arial" w:cs="Arial" w:eastAsia="Arial" w:hAnsi="Arial"/>
          <w:sz w:val="12"/>
          <w:szCs w:val="12"/>
          <w:u w:val="single" w:color="auto"/>
          <w:color w:val="auto"/>
        </w:rPr>
        <w:t>Lugano</w:t>
      </w:r>
      <w:r>
        <w:rPr>
          <w:rFonts w:ascii="Arial" w:cs="Arial" w:eastAsia="Arial" w:hAnsi="Arial"/>
          <w:sz w:val="12"/>
          <w:szCs w:val="12"/>
          <w:color w:val="auto"/>
        </w:rPr>
        <w:t>”), and irregularities identified in sales, cost of sales, inventory, and accounts receivable recorded by Lugano. Concurrently, the Company also provided notice to Bank of America, N.A. (the “</w:t>
      </w:r>
      <w:r>
        <w:rPr>
          <w:rFonts w:ascii="Arial" w:cs="Arial" w:eastAsia="Arial" w:hAnsi="Arial"/>
          <w:sz w:val="12"/>
          <w:szCs w:val="12"/>
          <w:u w:val="single" w:color="auto"/>
          <w:color w:val="auto"/>
        </w:rPr>
        <w:t>Administrative Agent</w:t>
      </w:r>
      <w:r>
        <w:rPr>
          <w:rFonts w:ascii="Arial" w:cs="Arial" w:eastAsia="Arial" w:hAnsi="Arial"/>
          <w:sz w:val="12"/>
          <w:szCs w:val="12"/>
          <w:color w:val="auto"/>
        </w:rPr>
        <w:t>”), in its capacity as Administrative Agent for the Lenders, Swing Line Lender, and L/C Issuer under that certain Third Amended and Restated Credit Agreement, dated as of July 12, 2022 (as amended, modified, extended, restated, replaced, or supplemented in writing from time to time,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advising of the existence of potential defaults or events of default under the Credit Agreement in respect of the matters disclosed in the Initial Form 8-K (the “</w:t>
      </w:r>
      <w:r>
        <w:rPr>
          <w:rFonts w:ascii="Arial" w:cs="Arial" w:eastAsia="Arial" w:hAnsi="Arial"/>
          <w:sz w:val="12"/>
          <w:szCs w:val="12"/>
          <w:u w:val="single" w:color="auto"/>
          <w:color w:val="auto"/>
        </w:rPr>
        <w:t>Lugano Events of Default</w:t>
      </w:r>
      <w:r>
        <w:rPr>
          <w:rFonts w:ascii="Arial" w:cs="Arial" w:eastAsia="Arial" w:hAnsi="Arial"/>
          <w:sz w:val="12"/>
          <w:szCs w:val="12"/>
          <w:color w:val="auto"/>
        </w:rPr>
        <w:t>”). In connection with the events described in the Initial Form 8-K, and as previously disclosed on a Current Report on Form 8-K filed with the SEC on May 27, 2025 (the “</w:t>
      </w:r>
      <w:r>
        <w:rPr>
          <w:rFonts w:ascii="Arial" w:cs="Arial" w:eastAsia="Arial" w:hAnsi="Arial"/>
          <w:sz w:val="12"/>
          <w:szCs w:val="12"/>
          <w:u w:val="single" w:color="auto"/>
          <w:color w:val="auto"/>
        </w:rPr>
        <w:t>Forbearance Form 8-K</w:t>
      </w:r>
      <w:r>
        <w:rPr>
          <w:rFonts w:ascii="Arial" w:cs="Arial" w:eastAsia="Arial" w:hAnsi="Arial"/>
          <w:sz w:val="12"/>
          <w:szCs w:val="12"/>
          <w:color w:val="auto"/>
        </w:rPr>
        <w:t>”), the Company entered into a Forbearance Agreement and Second Amendment to Credit Agreement with the Administrative Agent and the lenders party thereto representing at least 50% of the total credit exposure of all lenders under the Credit Agreement, pursuant to which the lenders under the Credit Agreement agreed to refrain from exercising the rights and remedies available to them with respect to the Lugano Events of Default until 11:59 p.m. (Eastern Time) on July 25, 2025, or the earlier occurrence of certain other specified events (the “</w:t>
      </w:r>
      <w:r>
        <w:rPr>
          <w:rFonts w:ascii="Arial" w:cs="Arial" w:eastAsia="Arial" w:hAnsi="Arial"/>
          <w:sz w:val="12"/>
          <w:szCs w:val="12"/>
          <w:u w:val="single" w:color="auto"/>
          <w:color w:val="auto"/>
        </w:rPr>
        <w:t>First Forbearance Agreement</w:t>
      </w:r>
      <w:r>
        <w:rPr>
          <w:rFonts w:ascii="Arial" w:cs="Arial" w:eastAsia="Arial" w:hAnsi="Arial"/>
          <w:sz w:val="12"/>
          <w:szCs w:val="12"/>
          <w:color w:val="auto"/>
        </w:rPr>
        <w:t>”). Additionally, the First Forbearance Agreement provided for certain amendments to the Credit Agreement, as described in the Forbearance Form 8-K (the Credit Agreement, as amended by the First Forbearance Agreement, the “</w:t>
      </w:r>
      <w:r>
        <w:rPr>
          <w:rFonts w:ascii="Arial" w:cs="Arial" w:eastAsia="Arial" w:hAnsi="Arial"/>
          <w:sz w:val="12"/>
          <w:szCs w:val="12"/>
          <w:u w:val="single" w:color="auto"/>
          <w:color w:val="auto"/>
        </w:rPr>
        <w:t>Amended Credit Agreement</w:t>
      </w:r>
      <w:r>
        <w:rPr>
          <w:rFonts w:ascii="Arial" w:cs="Arial" w:eastAsia="Arial" w:hAnsi="Arial"/>
          <w:sz w:val="12"/>
          <w:szCs w:val="12"/>
          <w:color w:val="auto"/>
        </w:rPr>
        <w:t>”).</w:t>
      </w:r>
    </w:p>
    <w:p>
      <w:pPr>
        <w:spacing w:after="0" w:line="246"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On July 25, 2025, the Company entered into a Second Forbearance Agreement and Third Amendment to Credit Agreement (the “</w:t>
      </w:r>
      <w:r>
        <w:rPr>
          <w:rFonts w:ascii="Arial" w:cs="Arial" w:eastAsia="Arial" w:hAnsi="Arial"/>
          <w:sz w:val="14"/>
          <w:szCs w:val="14"/>
          <w:u w:val="single" w:color="auto"/>
          <w:color w:val="auto"/>
        </w:rPr>
        <w:t>Second Forbearance Agreement</w:t>
      </w:r>
      <w:r>
        <w:rPr>
          <w:rFonts w:ascii="Arial" w:cs="Arial" w:eastAsia="Arial" w:hAnsi="Arial"/>
          <w:sz w:val="14"/>
          <w:szCs w:val="14"/>
          <w:color w:val="auto"/>
        </w:rPr>
        <w:t>”) with the Administrative Agent and the lenders party thereto representing at least 50% of the total credit exposure of all lenders under the Amended Credit Agreement (the “</w:t>
      </w:r>
      <w:r>
        <w:rPr>
          <w:rFonts w:ascii="Arial" w:cs="Arial" w:eastAsia="Arial" w:hAnsi="Arial"/>
          <w:sz w:val="14"/>
          <w:szCs w:val="14"/>
          <w:u w:val="single" w:color="auto"/>
          <w:color w:val="auto"/>
        </w:rPr>
        <w:t>Consenting Lenders</w:t>
      </w:r>
      <w:r>
        <w:rPr>
          <w:rFonts w:ascii="Arial" w:cs="Arial" w:eastAsia="Arial" w:hAnsi="Arial"/>
          <w:sz w:val="14"/>
          <w:szCs w:val="14"/>
          <w:color w:val="auto"/>
        </w:rPr>
        <w:t>”), pursuant to which the Consenting Lenders agreed on behalf of all lenders under the Amended Credit Agreement to refrain from exercising rights and remedies available to them with respect to the Lugano Events of Default until the earliest of: (a) 11:59 p.m. (Eastern Time) on October 24, 2025; (b) the occurrence of any event of default other than a Lugano Event of Default; (c) the breach by the Company of any covenant or provision of the Second Forbearance Agreement; (d) a declaration by the trustee or any holders of the Company’s 2029 Senior Unsecured Notes of any default or event of default under the Indenture dated as of March 23, 2021 between the Company and U.S. Bank National Association, as trustee, for which a forbearance agreement has not been executed with the Company within five business days after the date of such declaration; and (e) the declaration by the trustee or any holder of the 2032 Senior Unsecured Notes of any default or event of default under the Indenture dated as of November 27, 2021 between the Borrower and U.S. Bank National Association, as trustee, for which a forbearance agreement has not been executed with the Company within five business days after the date of such declaration (the period from July 25, 2025 through the earliest of events (a) through (e) above, the “</w:t>
      </w:r>
      <w:r>
        <w:rPr>
          <w:rFonts w:ascii="Arial" w:cs="Arial" w:eastAsia="Arial" w:hAnsi="Arial"/>
          <w:sz w:val="14"/>
          <w:szCs w:val="14"/>
          <w:u w:val="single" w:color="auto"/>
          <w:color w:val="auto"/>
        </w:rPr>
        <w:t>Forbearance Period</w:t>
      </w:r>
      <w:r>
        <w:rPr>
          <w:rFonts w:ascii="Arial" w:cs="Arial" w:eastAsia="Arial" w:hAnsi="Arial"/>
          <w:sz w:val="14"/>
          <w:szCs w:val="14"/>
          <w:color w:val="auto"/>
        </w:rPr>
        <w:t>”).</w:t>
      </w:r>
    </w:p>
    <w:p>
      <w:pPr>
        <w:spacing w:after="0" w:line="109" w:lineRule="exact"/>
        <w:rPr>
          <w:sz w:val="20"/>
          <w:szCs w:val="20"/>
          <w:color w:val="auto"/>
        </w:rPr>
      </w:pPr>
    </w:p>
    <w:p>
      <w:pPr>
        <w:jc w:val="both"/>
        <w:spacing w:after="0" w:line="285" w:lineRule="auto"/>
        <w:rPr>
          <w:sz w:val="20"/>
          <w:szCs w:val="20"/>
          <w:color w:val="auto"/>
        </w:rPr>
      </w:pPr>
      <w:r>
        <w:rPr>
          <w:rFonts w:ascii="Arial" w:cs="Arial" w:eastAsia="Arial" w:hAnsi="Arial"/>
          <w:sz w:val="12"/>
          <w:szCs w:val="12"/>
          <w:color w:val="auto"/>
        </w:rPr>
        <w:t>During the Forbearance Period, the lenders under the Amended Credit Agreement, as amended by the Second Forbearance Agreement (the “</w:t>
      </w:r>
      <w:r>
        <w:rPr>
          <w:rFonts w:ascii="Arial" w:cs="Arial" w:eastAsia="Arial" w:hAnsi="Arial"/>
          <w:sz w:val="12"/>
          <w:szCs w:val="12"/>
          <w:u w:val="single" w:color="auto"/>
          <w:color w:val="auto"/>
        </w:rPr>
        <w:t>Further Amended Credit Agreement</w:t>
      </w:r>
      <w:r>
        <w:rPr>
          <w:rFonts w:ascii="Arial" w:cs="Arial" w:eastAsia="Arial" w:hAnsi="Arial"/>
          <w:sz w:val="12"/>
          <w:szCs w:val="12"/>
          <w:color w:val="auto"/>
        </w:rPr>
        <w:t>”), will honor requests for credit extensions from the Company for revolving loans composed of term SOFR loans with an applicable rate of 2.50% per annum and an interest period of one month; provided, however, that such credit extensions shall not cause the lenders’ revolving credit exposures (inclusive of letters of credit obligations) to exceed $ 60 million. Lenders representing at least 50% of the total credit exposure of all lenders under the Further Amended Credit Agreement may, in their discretion, approve additional revolving borrowings by the Company in an amount not to exceed an aggregate of $10 million. The funds provided may be used by the Company for working capital, capital expenditures, general corporate purposes, and any other purpose of the Company not otherwise prohibited under the Credit Agreement. In addition, during the Forbearance Period, the Company may make Restricted Payments (as defined in the Amended Credit Agreement), including any dividend or other distribution with respect to equity interests, if, after giving effect to any indebtedness incurred in connection with such payment</w:t>
      </w:r>
    </w:p>
    <w:p>
      <w:pPr>
        <w:spacing w:after="0" w:line="2" w:lineRule="exact"/>
        <w:rPr>
          <w:sz w:val="20"/>
          <w:szCs w:val="20"/>
          <w:color w:val="auto"/>
        </w:rPr>
      </w:pPr>
    </w:p>
    <w:p>
      <w:pPr>
        <w:ind w:firstLine="1"/>
        <w:spacing w:after="0" w:line="247" w:lineRule="auto"/>
        <w:tabs>
          <w:tab w:leader="none" w:pos="208" w:val="left"/>
        </w:tabs>
        <w:numPr>
          <w:ilvl w:val="0"/>
          <w:numId w:val="2"/>
        </w:numPr>
        <w:rPr>
          <w:rFonts w:ascii="Arial" w:cs="Arial" w:eastAsia="Arial" w:hAnsi="Arial"/>
          <w:sz w:val="14"/>
          <w:szCs w:val="14"/>
          <w:color w:val="auto"/>
        </w:rPr>
      </w:pPr>
      <w:r>
        <w:rPr>
          <w:rFonts w:ascii="Arial" w:cs="Arial" w:eastAsia="Arial" w:hAnsi="Arial"/>
          <w:sz w:val="14"/>
          <w:szCs w:val="14"/>
          <w:color w:val="auto"/>
        </w:rPr>
        <w:t>all cash of the Company on deposit with the Administrative Agent or subject to a qualifying control account, plus (b) unused borrowing availability, is not less than $10 million; provided, however, that the forgoing is not the exclusive method by which the Company may make Restricted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518160</wp:posOffset>
            </wp:positionV>
            <wp:extent cx="719201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type w:val="continuous"/>
        </w:sectPr>
      </w:pPr>
    </w:p>
    <w:bookmarkStart w:id="2" w:name="page3"/>
    <w:bookmarkEnd w:id="2"/>
    <w:p>
      <w:pPr>
        <w:jc w:val="both"/>
        <w:spacing w:after="0" w:line="253" w:lineRule="auto"/>
        <w:rPr>
          <w:sz w:val="20"/>
          <w:szCs w:val="20"/>
          <w:color w:val="auto"/>
        </w:rPr>
      </w:pPr>
      <w:r>
        <w:rPr>
          <w:rFonts w:ascii="Arial" w:cs="Arial" w:eastAsia="Arial" w:hAnsi="Arial"/>
          <w:sz w:val="14"/>
          <w:szCs w:val="14"/>
          <w:color w:val="auto"/>
        </w:rPr>
        <w:t>In addition to the forbearance of the lenders described above, the Second Forbearance Agreement also amends the Amended Credit Agreement to, among other modifications, limit the management fees that may be paid by the Company to Compass Group Management LLC to no more than $5 million per fiscal quarter (with the amount of such management fees that cannot be paid due to this limitation being available to offset any potential future reduction in management fees as a result of any adjustments for deemed overpayments).</w:t>
      </w:r>
    </w:p>
    <w:p>
      <w:pPr>
        <w:spacing w:after="0" w:line="10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foregoing description of the Second Forbearance Agreement is a summary only and is qualified in its entirety by reference to the complete text of the Second Forbearance Agreement, which is attached hereto as Exhibit 10.1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7 Regulation FD</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7.01 Regulation FD Disclosure</w:t>
      </w:r>
    </w:p>
    <w:p>
      <w:pPr>
        <w:spacing w:after="0" w:line="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July 28, 2025, CODI issued a press release regarding the matters set forth in Item 1.01 and other matters relating to the Initial Form 8-K. A copy of the press release is filed herewith as Exhibit 99.1.</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information furnished under this Item 7.01, including Exhibit 99.1, is being furnished and shall not be deemed “filed” for purposes of Section 18 of the Securities Exchange Act of 1934, as amended (the “</w:t>
      </w:r>
      <w:r>
        <w:rPr>
          <w:rFonts w:ascii="Arial" w:cs="Arial" w:eastAsia="Arial" w:hAnsi="Arial"/>
          <w:sz w:val="14"/>
          <w:szCs w:val="14"/>
          <w:u w:val="single" w:color="auto"/>
          <w:color w:val="auto"/>
        </w:rPr>
        <w:t>Exchange Act</w:t>
      </w:r>
      <w:r>
        <w:rPr>
          <w:rFonts w:ascii="Arial" w:cs="Arial" w:eastAsia="Arial" w:hAnsi="Arial"/>
          <w:sz w:val="14"/>
          <w:szCs w:val="14"/>
          <w:color w:val="auto"/>
        </w:rPr>
        <w:t>”), or incorporated by reference in any filing under the Securities Act of 1933, as amended, or the Exchange Act, except as expressly incorporated by reference in such a filing.</w:t>
      </w:r>
    </w:p>
    <w:p>
      <w:pPr>
        <w:sectPr>
          <w:pgSz w:w="11900" w:h="16838" w:orient="portrait"/>
          <w:cols w:equalWidth="0" w:num="1">
            <w:col w:w="11280"/>
          </w:cols>
          <w:pgMar w:left="300" w:top="827" w:right="319" w:bottom="1440" w:gutter="0" w:footer="0" w:header="0"/>
        </w:sectPr>
      </w:pPr>
    </w:p>
    <w:p>
      <w:pPr>
        <w:spacing w:after="0" w:line="189"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Section 8</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Item 8.01</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Events</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Events</w:t>
      </w:r>
    </w:p>
    <w:p>
      <w:pPr>
        <w:spacing w:after="0" w:line="165" w:lineRule="exact"/>
        <w:rPr>
          <w:sz w:val="20"/>
          <w:szCs w:val="20"/>
          <w:color w:val="auto"/>
        </w:rPr>
      </w:pPr>
    </w:p>
    <w:p>
      <w:pPr>
        <w:sectPr>
          <w:pgSz w:w="11900" w:h="16838" w:orient="portrait"/>
          <w:cols w:equalWidth="0" w:num="2">
            <w:col w:w="800" w:space="720"/>
            <w:col w:w="9760"/>
          </w:cols>
          <w:pgMar w:left="300" w:top="827" w:right="319" w:bottom="1440" w:gutter="0" w:footer="0" w:header="0"/>
          <w:type w:val="continuous"/>
        </w:sectPr>
      </w:pPr>
    </w:p>
    <w:p>
      <w:pPr>
        <w:jc w:val="both"/>
        <w:spacing w:after="0" w:line="247" w:lineRule="auto"/>
        <w:rPr>
          <w:sz w:val="20"/>
          <w:szCs w:val="20"/>
          <w:color w:val="auto"/>
        </w:rPr>
      </w:pPr>
      <w:r>
        <w:rPr>
          <w:rFonts w:ascii="Arial" w:cs="Arial" w:eastAsia="Arial" w:hAnsi="Arial"/>
          <w:sz w:val="14"/>
          <w:szCs w:val="14"/>
          <w:color w:val="auto"/>
        </w:rPr>
        <w:t>The Company is continuing discussions with the Administrative Agent and the lenders regarding a waiver of the Lugano Events of Default. The Company expects that the Second Forbearance Agreement will allow these discussions to continue while CODI works to complete the restatement of its financial statements, as disclosed in the Initial Form 8-K and in the Form 8-K filed by CODI on June 25, 2025. However, CODI cannot make any assurances regarding the timing of the restatement, the potential need to restate additional periods, or whether the Company will be successful in receiving the requested waivers or other relief or future forbearance. If CODI is not successful in these efforts, it would likely have a material adverse effect on CODI’s business,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85"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This Current Report on Form 8-K contains forward-looking statements within the meaning of Section 27A of the Securities Act of 1933, as amended, and Section 21E of the Securities Exchange Act of 1934, as amended, including without limitation expectations as to the timing and outcome of the Audit Committee’s investigation, the willingness of the Company’s lenders to provide future relief and/or waivers, the timing of filing periodic reports and restatements, the amount of any potential misstatements associated with Lugano and the impact any such misstatements may have on CODI’s previously issued financial statements or results of operations, CODI’s beliefs and expectations relating to the anticipated financial and other impacts of internal control failures, if any, and the items subject to investigation and restatement review, and the impacts of any material weaknesses identified and CODI’s remediation efforts and efforts to prepare financial statements. Such forward looking statements may be identified by, among other things, the use of forward-looking terminology such as “believe,” “expect,” “may,” “could,” “would,” “plan,” “intend,” “estimate,” “predict,” “potential,” “continue,” “should” or “anticipate” or the negative thereof or other variations thereon or comparable terminology, or by discussions of strategy that involve risks and uncertainties. These statements are based on beliefs and assumptions by the Board of Directors and management, and on information currently available to the Board of Directors and management. These statements involve risk and uncertainties that could cause CODI’s actual results and outcomes to differ, perhaps materially, including but not limited to: the discovery of additional information relevant to the investigation; the conclusions of the Audit Committee (and timing of those conclusions) concerning matters relating to the investigation; the timing of the review by, and the conclusions of, CODI’s independent registered public accounting firm regarding the investigation and CODI’s financial statements; a further material delay in CODI’s financial reporting or ability to hold an annual meeting of stockholders; the impacts of restatement reviews and the potential need to restate additional periods; CODI’s ability to regain compliance with NYSE continued listing requirements; the cooperation of, and future concessions granted by, CODI’s lenders; the likelihood that the control deficiencies identified or that may be identified in the future will result in material weaknesses in CODI’s internal control over financial reporting; and commercial litigation relating to the CODI’s representations regarding its financial statements and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408305</wp:posOffset>
            </wp:positionV>
            <wp:extent cx="719201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2010" cy="38100"/>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type w:val="continuous"/>
        </w:sectPr>
      </w:pPr>
    </w:p>
    <w:bookmarkStart w:id="3" w:name="page4"/>
    <w:bookmarkEnd w:id="3"/>
    <w:p>
      <w:pPr>
        <w:jc w:val="both"/>
        <w:spacing w:after="0" w:line="247" w:lineRule="auto"/>
        <w:rPr>
          <w:sz w:val="20"/>
          <w:szCs w:val="20"/>
          <w:color w:val="auto"/>
        </w:rPr>
      </w:pPr>
      <w:r>
        <w:rPr>
          <w:rFonts w:ascii="Arial" w:cs="Arial" w:eastAsia="Arial" w:hAnsi="Arial"/>
          <w:sz w:val="14"/>
          <w:szCs w:val="14"/>
          <w:color w:val="auto"/>
        </w:rPr>
        <w:t>enforcement actions or investigations relating to CODI’s internal controls, restatement reviews, the investigation described in this Current Report, or related matters. Please see CODI’s Annual Report on Form 10-K for the year ended December 31, 2024 for other risk factors that you should consider in connection with such forward-looking statements. Investors are cautioned not to place undue reliance on forward-looking statements, which speak only as of the date such statements have been made. Except as required by law, CODI does not undertake any public obligation to update any forward-looking statements to reflect events, circumstances, or new information after the date of this Current Report on Form 8-K, or to reflect the occurrence of unanticipated events.</w:t>
      </w:r>
    </w:p>
    <w:p>
      <w:pPr>
        <w:spacing w:after="0" w:line="184"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Section 9</w:t>
      </w:r>
      <w:r>
        <w:rPr>
          <w:sz w:val="20"/>
          <w:szCs w:val="20"/>
          <w:color w:val="auto"/>
        </w:rPr>
        <w:tab/>
      </w:r>
      <w:r>
        <w:rPr>
          <w:rFonts w:ascii="Arial" w:cs="Arial" w:eastAsia="Arial" w:hAnsi="Arial"/>
          <w:sz w:val="12"/>
          <w:szCs w:val="12"/>
          <w:b w:val="1"/>
          <w:bCs w:val="1"/>
          <w:color w:val="auto"/>
        </w:rPr>
        <w:t>Financial Statements and Exhibits</w:t>
      </w:r>
    </w:p>
    <w:p>
      <w:pPr>
        <w:spacing w:after="0" w:line="32"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(d)</w:t>
        <w:tab/>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40" w:type="dxa"/>
            <w:vAlign w:val="bottom"/>
          </w:tcPr>
          <w:p>
            <w:pPr>
              <w:ind w:left="20"/>
              <w:spacing w:after="0"/>
              <w:rPr>
                <w:sz w:val="20"/>
                <w:szCs w:val="20"/>
                <w:color w:val="auto"/>
              </w:rPr>
            </w:pPr>
            <w:r>
              <w:rPr>
                <w:rFonts w:ascii="Arial" w:cs="Arial" w:eastAsia="Arial" w:hAnsi="Arial"/>
                <w:sz w:val="12"/>
                <w:szCs w:val="12"/>
                <w:b w:val="1"/>
                <w:bCs w:val="1"/>
                <w:color w:val="auto"/>
              </w:rPr>
              <w:t>Exhibit Number</w:t>
            </w:r>
          </w:p>
        </w:tc>
        <w:tc>
          <w:tcPr>
            <w:tcW w:w="9340" w:type="dxa"/>
            <w:vAlign w:val="bottom"/>
            <w:gridSpan w:val="5"/>
          </w:tcPr>
          <w:p>
            <w:pPr>
              <w:spacing w:after="0"/>
              <w:rPr>
                <w:sz w:val="20"/>
                <w:szCs w:val="20"/>
                <w:color w:val="auto"/>
              </w:rPr>
            </w:pPr>
            <w:r>
              <w:rPr>
                <w:rFonts w:ascii="Arial" w:cs="Arial" w:eastAsia="Arial" w:hAnsi="Arial"/>
                <w:sz w:val="12"/>
                <w:szCs w:val="12"/>
                <w:b w:val="1"/>
                <w:bCs w:val="1"/>
                <w:color w:val="auto"/>
              </w:rPr>
              <w:t>Description</w:t>
            </w:r>
          </w:p>
        </w:tc>
      </w:tr>
      <w:tr>
        <w:trPr>
          <w:trHeight w:val="179"/>
        </w:trPr>
        <w:tc>
          <w:tcPr>
            <w:tcW w:w="1940" w:type="dxa"/>
            <w:vAlign w:val="bottom"/>
          </w:tcPr>
          <w:p>
            <w:pPr>
              <w:ind w:left="20"/>
              <w:spacing w:after="0"/>
              <w:rPr>
                <w:sz w:val="20"/>
                <w:szCs w:val="20"/>
                <w:color w:val="auto"/>
              </w:rPr>
            </w:pPr>
            <w:r>
              <w:rPr>
                <w:rFonts w:ascii="Arial" w:cs="Arial" w:eastAsia="Arial" w:hAnsi="Arial"/>
                <w:sz w:val="14"/>
                <w:szCs w:val="14"/>
                <w:color w:val="auto"/>
              </w:rPr>
              <w:t>10.1</w:t>
            </w:r>
          </w:p>
        </w:tc>
        <w:tc>
          <w:tcPr>
            <w:tcW w:w="9340" w:type="dxa"/>
            <w:vAlign w:val="bottom"/>
            <w:gridSpan w:val="5"/>
          </w:tcPr>
          <w:p>
            <w:pPr>
              <w:spacing w:after="0"/>
              <w:rPr>
                <w:sz w:val="20"/>
                <w:szCs w:val="20"/>
                <w:color w:val="auto"/>
              </w:rPr>
            </w:pPr>
            <w:r>
              <w:rPr>
                <w:rFonts w:ascii="Arial" w:cs="Arial" w:eastAsia="Arial" w:hAnsi="Arial"/>
                <w:sz w:val="14"/>
                <w:szCs w:val="14"/>
                <w:color w:val="0000FF"/>
              </w:rPr>
              <w:t>Second Forbearance Agreement and Third Amendment to Credit Agreement, dated July 25, 2025, by and among Compass Group Diversified</w:t>
            </w:r>
          </w:p>
        </w:tc>
      </w:tr>
      <w:tr>
        <w:trPr>
          <w:trHeight w:val="132"/>
        </w:trPr>
        <w:tc>
          <w:tcPr>
            <w:tcW w:w="1940" w:type="dxa"/>
            <w:vAlign w:val="bottom"/>
          </w:tcPr>
          <w:p>
            <w:pPr>
              <w:spacing w:after="0"/>
              <w:rPr>
                <w:sz w:val="11"/>
                <w:szCs w:val="11"/>
                <w:color w:val="auto"/>
              </w:rPr>
            </w:pPr>
          </w:p>
        </w:tc>
        <w:tc>
          <w:tcPr>
            <w:tcW w:w="8460" w:type="dxa"/>
            <w:vAlign w:val="bottom"/>
            <w:tcBorders>
              <w:top w:val="single" w:sz="8" w:color="0000FF"/>
            </w:tcBorders>
            <w:gridSpan w:val="3"/>
          </w:tcPr>
          <w:p>
            <w:pPr>
              <w:spacing w:after="0" w:line="133" w:lineRule="exact"/>
              <w:rPr>
                <w:sz w:val="20"/>
                <w:szCs w:val="20"/>
                <w:color w:val="auto"/>
              </w:rPr>
            </w:pPr>
            <w:r>
              <w:rPr>
                <w:rFonts w:ascii="Arial" w:cs="Arial" w:eastAsia="Arial" w:hAnsi="Arial"/>
                <w:sz w:val="14"/>
                <w:szCs w:val="14"/>
                <w:color w:val="0000FF"/>
                <w:w w:val="95"/>
              </w:rPr>
              <w:t>Holdings LLC, the Lenders party thereto, and Bank of America, N.A., in its capacity as Administrative Agent for the Lenders, Swing Line Lender</w:t>
            </w:r>
          </w:p>
        </w:tc>
        <w:tc>
          <w:tcPr>
            <w:tcW w:w="880" w:type="dxa"/>
            <w:vAlign w:val="bottom"/>
            <w:gridSpan w:val="2"/>
          </w:tcPr>
          <w:p>
            <w:pPr>
              <w:ind w:left="120"/>
              <w:spacing w:after="0" w:line="133" w:lineRule="exact"/>
              <w:rPr>
                <w:sz w:val="20"/>
                <w:szCs w:val="20"/>
                <w:color w:val="auto"/>
              </w:rPr>
            </w:pPr>
            <w:r>
              <w:rPr>
                <w:rFonts w:ascii="Arial" w:cs="Arial" w:eastAsia="Arial" w:hAnsi="Arial"/>
                <w:sz w:val="14"/>
                <w:szCs w:val="14"/>
                <w:color w:val="0000FF"/>
              </w:rPr>
              <w:t>and</w:t>
            </w:r>
          </w:p>
        </w:tc>
      </w:tr>
      <w:tr>
        <w:trPr>
          <w:trHeight w:val="132"/>
        </w:trPr>
        <w:tc>
          <w:tcPr>
            <w:tcW w:w="1940" w:type="dxa"/>
            <w:vAlign w:val="bottom"/>
          </w:tcPr>
          <w:p>
            <w:pPr>
              <w:spacing w:after="0"/>
              <w:rPr>
                <w:sz w:val="11"/>
                <w:szCs w:val="11"/>
                <w:color w:val="auto"/>
              </w:rPr>
            </w:pPr>
          </w:p>
        </w:tc>
        <w:tc>
          <w:tcPr>
            <w:tcW w:w="8820" w:type="dxa"/>
            <w:vAlign w:val="bottom"/>
            <w:tcBorders>
              <w:top w:val="single" w:sz="8" w:color="0000FF"/>
            </w:tcBorders>
            <w:gridSpan w:val="4"/>
          </w:tcPr>
          <w:p>
            <w:pPr>
              <w:spacing w:after="0" w:line="133" w:lineRule="exact"/>
              <w:rPr>
                <w:sz w:val="20"/>
                <w:szCs w:val="20"/>
                <w:color w:val="auto"/>
              </w:rPr>
            </w:pPr>
            <w:r>
              <w:rPr>
                <w:rFonts w:ascii="Arial" w:cs="Arial" w:eastAsia="Arial" w:hAnsi="Arial"/>
                <w:sz w:val="14"/>
                <w:szCs w:val="14"/>
                <w:color w:val="0000FF"/>
              </w:rPr>
              <w:t>L/C Issuer</w:t>
            </w:r>
          </w:p>
        </w:tc>
        <w:tc>
          <w:tcPr>
            <w:tcW w:w="520" w:type="dxa"/>
            <w:vAlign w:val="bottom"/>
          </w:tcPr>
          <w:p>
            <w:pPr>
              <w:spacing w:after="0"/>
              <w:rPr>
                <w:sz w:val="11"/>
                <w:szCs w:val="11"/>
                <w:color w:val="auto"/>
              </w:rPr>
            </w:pPr>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r>
      <w:tr>
        <w:trPr>
          <w:trHeight w:val="254"/>
        </w:trPr>
        <w:tc>
          <w:tcPr>
            <w:tcW w:w="1940" w:type="dxa"/>
            <w:vAlign w:val="bottom"/>
          </w:tcPr>
          <w:p>
            <w:pPr>
              <w:ind w:left="20"/>
              <w:spacing w:after="0"/>
              <w:rPr>
                <w:sz w:val="20"/>
                <w:szCs w:val="20"/>
                <w:color w:val="auto"/>
              </w:rPr>
            </w:pPr>
            <w:r>
              <w:rPr>
                <w:rFonts w:ascii="Arial" w:cs="Arial" w:eastAsia="Arial" w:hAnsi="Arial"/>
                <w:sz w:val="14"/>
                <w:szCs w:val="14"/>
                <w:color w:val="auto"/>
              </w:rPr>
              <w:t>99.1</w:t>
            </w:r>
          </w:p>
        </w:tc>
        <w:tc>
          <w:tcPr>
            <w:tcW w:w="9340" w:type="dxa"/>
            <w:vAlign w:val="bottom"/>
            <w:gridSpan w:val="5"/>
          </w:tcPr>
          <w:p>
            <w:pPr>
              <w:spacing w:after="0"/>
              <w:rPr>
                <w:sz w:val="20"/>
                <w:szCs w:val="20"/>
                <w:color w:val="auto"/>
              </w:rPr>
            </w:pPr>
            <w:r>
              <w:rPr>
                <w:rFonts w:ascii="Arial" w:cs="Arial" w:eastAsia="Arial" w:hAnsi="Arial"/>
                <w:sz w:val="14"/>
                <w:szCs w:val="14"/>
                <w:color w:val="0000FF"/>
              </w:rPr>
              <w:t>Press Release dated July 28, 2025.</w:t>
            </w:r>
          </w:p>
        </w:tc>
      </w:tr>
      <w:tr>
        <w:trPr>
          <w:trHeight w:val="20"/>
        </w:trPr>
        <w:tc>
          <w:tcPr>
            <w:tcW w:w="194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7220" w:type="dxa"/>
            <w:vAlign w:val="bottom"/>
            <w:gridSpan w:val="3"/>
          </w:tcPr>
          <w:p>
            <w:pPr>
              <w:spacing w:after="0" w:line="20" w:lineRule="exact"/>
              <w:rPr>
                <w:sz w:val="1"/>
                <w:szCs w:val="1"/>
                <w:color w:val="auto"/>
              </w:rPr>
            </w:pPr>
          </w:p>
        </w:tc>
      </w:tr>
      <w:tr>
        <w:trPr>
          <w:trHeight w:val="286"/>
        </w:trPr>
        <w:tc>
          <w:tcPr>
            <w:tcW w:w="1940" w:type="dxa"/>
            <w:vAlign w:val="bottom"/>
          </w:tcPr>
          <w:p>
            <w:pPr>
              <w:ind w:left="20"/>
              <w:spacing w:after="0"/>
              <w:rPr>
                <w:sz w:val="20"/>
                <w:szCs w:val="20"/>
                <w:color w:val="auto"/>
              </w:rPr>
            </w:pPr>
            <w:r>
              <w:rPr>
                <w:rFonts w:ascii="Arial" w:cs="Arial" w:eastAsia="Arial" w:hAnsi="Arial"/>
                <w:sz w:val="14"/>
                <w:szCs w:val="14"/>
                <w:color w:val="auto"/>
              </w:rPr>
              <w:t>104</w:t>
            </w:r>
          </w:p>
        </w:tc>
        <w:tc>
          <w:tcPr>
            <w:tcW w:w="9340" w:type="dxa"/>
            <w:vAlign w:val="bottom"/>
            <w:gridSpan w:val="5"/>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2150"/>
        </w:trPr>
        <w:tc>
          <w:tcPr>
            <w:tcW w:w="1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7148195</wp:posOffset>
            </wp:positionH>
            <wp:positionV relativeFrom="paragraph">
              <wp:posOffset>-24765</wp:posOffset>
            </wp:positionV>
            <wp:extent cx="3175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-24765</wp:posOffset>
            </wp:positionV>
            <wp:extent cx="3175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787" w:right="31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4"/>
          <w:szCs w:val="14"/>
          <w:b w:val="1"/>
          <w:bCs w:val="1"/>
          <w:color w:val="auto"/>
        </w:rPr>
        <w:t>SIGNATURES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1" w:lineRule="exact"/>
        <w:rPr>
          <w:sz w:val="20"/>
          <w:szCs w:val="20"/>
          <w:color w:val="auto"/>
        </w:rPr>
      </w:pPr>
    </w:p>
    <w:tbl>
      <w:tblPr>
        <w:tblLayout w:type="fixed"/>
        <w:tblInd w:w="2280" w:type="dxa"/>
        <w:tblCellMar>
          <w:top w:w="0" w:type="dxa"/>
          <w:left w:w="0" w:type="dxa"/>
          <w:bottom w:w="0" w:type="dxa"/>
          <w:right w:w="0" w:type="dxa"/>
        </w:tblCellMar>
      </w:tblPr>
      <w:tr>
        <w:trPr>
          <w:trHeight w:val="176"/>
        </w:trPr>
        <w:tc>
          <w:tcPr>
            <w:tcW w:w="2000" w:type="dxa"/>
            <w:vAlign w:val="bottom"/>
          </w:tcPr>
          <w:p>
            <w:pPr>
              <w:spacing w:after="0"/>
              <w:rPr>
                <w:sz w:val="20"/>
                <w:szCs w:val="20"/>
                <w:color w:val="auto"/>
              </w:rPr>
            </w:pPr>
            <w:r>
              <w:rPr>
                <w:rFonts w:ascii="Arial" w:cs="Arial" w:eastAsia="Arial" w:hAnsi="Arial"/>
                <w:sz w:val="14"/>
                <w:szCs w:val="14"/>
                <w:color w:val="auto"/>
              </w:rPr>
              <w:t>Date: July 28, 2025</w:t>
            </w:r>
          </w:p>
        </w:tc>
        <w:tc>
          <w:tcPr>
            <w:tcW w:w="3160" w:type="dxa"/>
            <w:vAlign w:val="bottom"/>
            <w:gridSpan w:val="3"/>
          </w:tcPr>
          <w:p>
            <w:pPr>
              <w:ind w:left="860"/>
              <w:spacing w:after="0"/>
              <w:rPr>
                <w:sz w:val="20"/>
                <w:szCs w:val="20"/>
                <w:color w:val="auto"/>
              </w:rPr>
            </w:pPr>
            <w:r>
              <w:rPr>
                <w:rFonts w:ascii="Arial" w:cs="Arial" w:eastAsia="Arial" w:hAnsi="Arial"/>
                <w:sz w:val="14"/>
                <w:szCs w:val="14"/>
                <w:color w:val="auto"/>
                <w:w w:val="95"/>
              </w:rPr>
              <w:t>COMPASS DIVERSIFIED HOLDINGS</w:t>
            </w:r>
          </w:p>
        </w:tc>
      </w:tr>
      <w:tr>
        <w:trPr>
          <w:trHeight w:val="293"/>
        </w:trPr>
        <w:tc>
          <w:tcPr>
            <w:tcW w:w="2000" w:type="dxa"/>
            <w:vAlign w:val="bottom"/>
          </w:tcPr>
          <w:p>
            <w:pPr>
              <w:spacing w:after="0"/>
              <w:rPr>
                <w:sz w:val="24"/>
                <w:szCs w:val="24"/>
                <w:color w:val="auto"/>
              </w:rPr>
            </w:pPr>
          </w:p>
        </w:tc>
        <w:tc>
          <w:tcPr>
            <w:tcW w:w="1360" w:type="dxa"/>
            <w:vAlign w:val="bottom"/>
          </w:tcPr>
          <w:p>
            <w:pPr>
              <w:ind w:left="860"/>
              <w:spacing w:after="0"/>
              <w:rPr>
                <w:sz w:val="20"/>
                <w:szCs w:val="20"/>
                <w:color w:val="auto"/>
              </w:rPr>
            </w:pPr>
            <w:r>
              <w:rPr>
                <w:rFonts w:ascii="Arial" w:cs="Arial" w:eastAsia="Arial" w:hAnsi="Arial"/>
                <w:sz w:val="14"/>
                <w:szCs w:val="14"/>
                <w:color w:val="auto"/>
              </w:rPr>
              <w:t>By:</w:t>
            </w:r>
          </w:p>
        </w:tc>
        <w:tc>
          <w:tcPr>
            <w:tcW w:w="1800" w:type="dxa"/>
            <w:vAlign w:val="bottom"/>
            <w:gridSpan w:val="2"/>
          </w:tcPr>
          <w:p>
            <w:pPr>
              <w:spacing w:after="0"/>
              <w:rPr>
                <w:sz w:val="20"/>
                <w:szCs w:val="20"/>
                <w:color w:val="auto"/>
              </w:rPr>
            </w:pPr>
            <w:r>
              <w:rPr>
                <w:rFonts w:ascii="Arial" w:cs="Arial" w:eastAsia="Arial" w:hAnsi="Arial"/>
                <w:sz w:val="14"/>
                <w:szCs w:val="14"/>
                <w:color w:val="auto"/>
              </w:rPr>
              <w:t>/s/ Stephen Keller</w:t>
            </w:r>
          </w:p>
        </w:tc>
      </w:tr>
      <w:tr>
        <w:trPr>
          <w:trHeight w:val="255"/>
        </w:trPr>
        <w:tc>
          <w:tcPr>
            <w:tcW w:w="2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Stephen Keller</w:t>
            </w:r>
          </w:p>
        </w:tc>
        <w:tc>
          <w:tcPr>
            <w:tcW w:w="740" w:type="dxa"/>
            <w:vAlign w:val="bottom"/>
          </w:tcPr>
          <w:p>
            <w:pPr>
              <w:spacing w:after="0"/>
              <w:rPr>
                <w:sz w:val="22"/>
                <w:szCs w:val="22"/>
                <w:color w:val="auto"/>
              </w:rPr>
            </w:pPr>
          </w:p>
        </w:tc>
      </w:tr>
      <w:tr>
        <w:trPr>
          <w:trHeight w:val="203"/>
        </w:trPr>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4"/>
                <w:szCs w:val="14"/>
                <w:i w:val="1"/>
                <w:iCs w:val="1"/>
                <w:color w:val="auto"/>
              </w:rPr>
              <w:t>Regular Trustee</w:t>
            </w:r>
          </w:p>
        </w:tc>
      </w:tr>
    </w:tbl>
    <w:p>
      <w:pPr>
        <w:spacing w:after="0" w:line="370"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SIGNATURES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39" w:lineRule="exact"/>
        <w:rPr>
          <w:sz w:val="20"/>
          <w:szCs w:val="20"/>
          <w:color w:val="auto"/>
        </w:rPr>
      </w:pPr>
    </w:p>
    <w:tbl>
      <w:tblPr>
        <w:tblLayout w:type="fixed"/>
        <w:tblInd w:w="2280" w:type="dxa"/>
        <w:tblCellMar>
          <w:top w:w="0" w:type="dxa"/>
          <w:left w:w="0" w:type="dxa"/>
          <w:bottom w:w="0" w:type="dxa"/>
          <w:right w:w="0" w:type="dxa"/>
        </w:tblCellMar>
      </w:tblPr>
      <w:tr>
        <w:trPr>
          <w:trHeight w:val="176"/>
        </w:trPr>
        <w:tc>
          <w:tcPr>
            <w:tcW w:w="2000" w:type="dxa"/>
            <w:vAlign w:val="bottom"/>
          </w:tcPr>
          <w:p>
            <w:pPr>
              <w:spacing w:after="0"/>
              <w:rPr>
                <w:sz w:val="20"/>
                <w:szCs w:val="20"/>
                <w:color w:val="auto"/>
              </w:rPr>
            </w:pPr>
            <w:r>
              <w:rPr>
                <w:rFonts w:ascii="Arial" w:cs="Arial" w:eastAsia="Arial" w:hAnsi="Arial"/>
                <w:sz w:val="14"/>
                <w:szCs w:val="14"/>
                <w:color w:val="auto"/>
              </w:rPr>
              <w:t>Date: July 28, 2025</w:t>
            </w:r>
          </w:p>
        </w:tc>
        <w:tc>
          <w:tcPr>
            <w:tcW w:w="3980" w:type="dxa"/>
            <w:vAlign w:val="bottom"/>
            <w:gridSpan w:val="3"/>
          </w:tcPr>
          <w:p>
            <w:pPr>
              <w:ind w:left="860"/>
              <w:spacing w:after="0"/>
              <w:rPr>
                <w:sz w:val="20"/>
                <w:szCs w:val="20"/>
                <w:color w:val="auto"/>
              </w:rPr>
            </w:pPr>
            <w:r>
              <w:rPr>
                <w:rFonts w:ascii="Arial" w:cs="Arial" w:eastAsia="Arial" w:hAnsi="Arial"/>
                <w:sz w:val="14"/>
                <w:szCs w:val="14"/>
                <w:color w:val="auto"/>
                <w:w w:val="95"/>
              </w:rPr>
              <w:t>COMPASS GROUP DIVERSIFIED HOLDINGS LLC</w:t>
            </w:r>
          </w:p>
        </w:tc>
      </w:tr>
      <w:tr>
        <w:trPr>
          <w:trHeight w:val="293"/>
        </w:trPr>
        <w:tc>
          <w:tcPr>
            <w:tcW w:w="2000" w:type="dxa"/>
            <w:vAlign w:val="bottom"/>
          </w:tcPr>
          <w:p>
            <w:pPr>
              <w:spacing w:after="0"/>
              <w:rPr>
                <w:sz w:val="24"/>
                <w:szCs w:val="24"/>
                <w:color w:val="auto"/>
              </w:rPr>
            </w:pPr>
          </w:p>
        </w:tc>
        <w:tc>
          <w:tcPr>
            <w:tcW w:w="1360" w:type="dxa"/>
            <w:vAlign w:val="bottom"/>
          </w:tcPr>
          <w:p>
            <w:pPr>
              <w:ind w:left="860"/>
              <w:spacing w:after="0"/>
              <w:rPr>
                <w:sz w:val="20"/>
                <w:szCs w:val="20"/>
                <w:color w:val="auto"/>
              </w:rPr>
            </w:pPr>
            <w:r>
              <w:rPr>
                <w:rFonts w:ascii="Arial" w:cs="Arial" w:eastAsia="Arial" w:hAnsi="Arial"/>
                <w:sz w:val="14"/>
                <w:szCs w:val="14"/>
                <w:color w:val="auto"/>
              </w:rPr>
              <w:t>By:</w:t>
            </w:r>
          </w:p>
        </w:tc>
        <w:tc>
          <w:tcPr>
            <w:tcW w:w="2620" w:type="dxa"/>
            <w:vAlign w:val="bottom"/>
            <w:gridSpan w:val="2"/>
          </w:tcPr>
          <w:p>
            <w:pPr>
              <w:spacing w:after="0"/>
              <w:rPr>
                <w:sz w:val="20"/>
                <w:szCs w:val="20"/>
                <w:color w:val="auto"/>
              </w:rPr>
            </w:pPr>
            <w:r>
              <w:rPr>
                <w:rFonts w:ascii="Arial" w:cs="Arial" w:eastAsia="Arial" w:hAnsi="Arial"/>
                <w:sz w:val="14"/>
                <w:szCs w:val="14"/>
                <w:color w:val="auto"/>
              </w:rPr>
              <w:t>/s/ Stephen Keller</w:t>
            </w:r>
          </w:p>
        </w:tc>
      </w:tr>
      <w:tr>
        <w:trPr>
          <w:trHeight w:val="255"/>
        </w:trPr>
        <w:tc>
          <w:tcPr>
            <w:tcW w:w="2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Stephen Keller</w:t>
            </w:r>
          </w:p>
        </w:tc>
        <w:tc>
          <w:tcPr>
            <w:tcW w:w="1560" w:type="dxa"/>
            <w:vAlign w:val="bottom"/>
          </w:tcPr>
          <w:p>
            <w:pPr>
              <w:spacing w:after="0"/>
              <w:rPr>
                <w:sz w:val="22"/>
                <w:szCs w:val="22"/>
                <w:color w:val="auto"/>
              </w:rPr>
            </w:pPr>
          </w:p>
        </w:tc>
      </w:tr>
      <w:tr>
        <w:trPr>
          <w:trHeight w:val="203"/>
        </w:trPr>
        <w:tc>
          <w:tcPr>
            <w:tcW w:w="2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4"/>
                <w:szCs w:val="14"/>
                <w:i w:val="1"/>
                <w:iCs w:val="1"/>
                <w:color w:val="auto"/>
              </w:rPr>
              <w:t>Chief Financial Officer</w:t>
            </w:r>
          </w:p>
        </w:tc>
      </w:tr>
    </w:tbl>
    <w:p>
      <w:pPr>
        <w:sectPr>
          <w:pgSz w:w="11900" w:h="16838" w:orient="portrait"/>
          <w:cols w:equalWidth="0" w:num="1">
            <w:col w:w="10980"/>
          </w:cols>
          <w:pgMar w:left="300" w:top="856" w:right="6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SECOND FORBEARANCE AGREEMENT AND THIRD AMENDMENT TO CREDIT AGREEMENT</w:t>
      </w:r>
    </w:p>
    <w:p>
      <w:pPr>
        <w:spacing w:after="0" w:line="1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THIS SECOND FORBEARANCE AGREEMENT AND THIRD AMENDMENT TO CREDIT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5"/>
          <w:szCs w:val="15"/>
          <w:color w:val="auto"/>
        </w:rPr>
        <w:t>”), dated as of July 25, 2025, is entered into by and among COMPASS GROUP DIVERSIFIED HOLDINGS LLC, a Delaware limited liability company (the “</w:t>
      </w:r>
      <w:r>
        <w:rPr>
          <w:rFonts w:ascii="Times New Roman" w:cs="Times New Roman" w:eastAsia="Times New Roman" w:hAnsi="Times New Roman"/>
          <w:sz w:val="16"/>
          <w:szCs w:val="16"/>
          <w:u w:val="single" w:color="auto"/>
          <w:color w:val="auto"/>
        </w:rPr>
        <w:t>Borrower</w:t>
      </w:r>
      <w:r>
        <w:rPr>
          <w:rFonts w:ascii="Times New Roman" w:cs="Times New Roman" w:eastAsia="Times New Roman" w:hAnsi="Times New Roman"/>
          <w:sz w:val="15"/>
          <w:szCs w:val="15"/>
          <w:color w:val="auto"/>
        </w:rPr>
        <w:t>”), the Lenders party hereto, and BANK OF AMERICA, N.A., in its capacity as Administrative Agent for the Lenders (the “</w:t>
      </w:r>
      <w:r>
        <w:rPr>
          <w:rFonts w:ascii="Times New Roman" w:cs="Times New Roman" w:eastAsia="Times New Roman" w:hAnsi="Times New Roman"/>
          <w:sz w:val="16"/>
          <w:szCs w:val="16"/>
          <w:u w:val="single" w:color="auto"/>
          <w:color w:val="auto"/>
        </w:rPr>
        <w:t>Administrative Agent</w:t>
      </w:r>
      <w:r>
        <w:rPr>
          <w:rFonts w:ascii="Times New Roman" w:cs="Times New Roman" w:eastAsia="Times New Roman" w:hAnsi="Times New Roman"/>
          <w:sz w:val="15"/>
          <w:szCs w:val="15"/>
          <w:color w:val="auto"/>
        </w:rPr>
        <w:t>”), Swing Line Lender and L/C Issuer.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RECITALS</w:t>
      </w:r>
    </w:p>
    <w:p>
      <w:pPr>
        <w:spacing w:after="0" w:line="183" w:lineRule="exact"/>
        <w:rPr>
          <w:sz w:val="20"/>
          <w:szCs w:val="20"/>
          <w:color w:val="auto"/>
        </w:rPr>
      </w:pPr>
    </w:p>
    <w:p>
      <w:pPr>
        <w:jc w:val="both"/>
        <w:ind w:firstLine="487"/>
        <w:spacing w:after="0" w:line="296" w:lineRule="auto"/>
        <w:rPr>
          <w:sz w:val="20"/>
          <w:szCs w:val="20"/>
          <w:color w:val="auto"/>
        </w:rPr>
      </w:pPr>
      <w:r>
        <w:rPr>
          <w:rFonts w:ascii="Times New Roman" w:cs="Times New Roman" w:eastAsia="Times New Roman" w:hAnsi="Times New Roman"/>
          <w:sz w:val="15"/>
          <w:szCs w:val="15"/>
          <w:color w:val="auto"/>
        </w:rPr>
        <w:t>WHEREAS, the Borrower, the Lenders from time-to-time party thereto, the Administrative Agent, and the L/C Issuer are parties to that certain Third Amended and Restated Credit Agreement, dated as of July 12, 2022 (as amended, modified, extended, restated, replaced, or supplemented in writing from time to time, the “</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5"/>
          <w:szCs w:val="15"/>
          <w:color w:val="auto"/>
        </w:rPr>
        <w:t>”).</w:t>
      </w:r>
    </w:p>
    <w:p>
      <w:pPr>
        <w:spacing w:after="0" w:line="129" w:lineRule="exact"/>
        <w:rPr>
          <w:sz w:val="20"/>
          <w:szCs w:val="20"/>
          <w:color w:val="auto"/>
        </w:rPr>
      </w:pPr>
    </w:p>
    <w:p>
      <w:pPr>
        <w:jc w:val="both"/>
        <w:ind w:firstLine="487"/>
        <w:spacing w:after="0" w:line="286" w:lineRule="auto"/>
        <w:rPr>
          <w:sz w:val="20"/>
          <w:szCs w:val="20"/>
          <w:color w:val="auto"/>
        </w:rPr>
      </w:pPr>
      <w:r>
        <w:rPr>
          <w:rFonts w:ascii="Times New Roman" w:cs="Times New Roman" w:eastAsia="Times New Roman" w:hAnsi="Times New Roman"/>
          <w:sz w:val="14"/>
          <w:szCs w:val="14"/>
          <w:color w:val="auto"/>
        </w:rPr>
        <w:t>WHEREAS, on May 7, 2025, the Borrower indicated in an 8-K filing that it intended to delay the filing of its 2025 Form 10-Q as a result of concerns about financing, accounting, and inventory practices at one of its Subsidiaries, Lugano Holding, Inc. (“</w:t>
      </w:r>
      <w:r>
        <w:rPr>
          <w:rFonts w:ascii="Times New Roman" w:cs="Times New Roman" w:eastAsia="Times New Roman" w:hAnsi="Times New Roman"/>
          <w:sz w:val="15"/>
          <w:szCs w:val="15"/>
          <w:u w:val="single" w:color="auto"/>
          <w:color w:val="auto"/>
        </w:rPr>
        <w:t>Lugano</w:t>
      </w:r>
      <w:r>
        <w:rPr>
          <w:rFonts w:ascii="Times New Roman" w:cs="Times New Roman" w:eastAsia="Times New Roman" w:hAnsi="Times New Roman"/>
          <w:sz w:val="14"/>
          <w:szCs w:val="14"/>
          <w:color w:val="auto"/>
        </w:rPr>
        <w:t>”), and irregularities identified in sales, cost of sales, inventory, and accounts receivable recorded by Lugano. The Borrower has also provided notice to the Administrative Agent advising of the existence of potential Defaults and/or Events of Default in connection therewith, including, without limitation, an Event of Default for failure to deliver financial statements as required under Section 6.01(b) of the Credit Agreement (collectively, the “</w:t>
      </w:r>
      <w:r>
        <w:rPr>
          <w:rFonts w:ascii="Times New Roman" w:cs="Times New Roman" w:eastAsia="Times New Roman" w:hAnsi="Times New Roman"/>
          <w:sz w:val="15"/>
          <w:szCs w:val="15"/>
          <w:u w:val="single" w:color="auto"/>
          <w:color w:val="auto"/>
        </w:rPr>
        <w:t>Lugano Events of Default</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jc w:val="both"/>
        <w:ind w:firstLine="487"/>
        <w:spacing w:after="0" w:line="282" w:lineRule="auto"/>
        <w:rPr>
          <w:sz w:val="20"/>
          <w:szCs w:val="20"/>
          <w:color w:val="auto"/>
        </w:rPr>
      </w:pPr>
      <w:r>
        <w:rPr>
          <w:rFonts w:ascii="Times New Roman" w:cs="Times New Roman" w:eastAsia="Times New Roman" w:hAnsi="Times New Roman"/>
          <w:sz w:val="15"/>
          <w:szCs w:val="15"/>
          <w:color w:val="auto"/>
        </w:rPr>
        <w:t>WHEREAS, the Borrower has requested that the Administrative Agent and the Lenders agree to forbear from exercising their rights and remedies arising under the Loan Documents and applicable Laws as a result of the Lugano Events of Default during the Forbearance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WHEREAS, the Administrative Agent and the Lenders have agreed to do so, but only pursuant to the terms and conditions set forth herein.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AGREEMENT</w:t>
      </w:r>
    </w:p>
    <w:p>
      <w:pPr>
        <w:spacing w:after="0" w:line="122" w:lineRule="exact"/>
        <w:rPr>
          <w:sz w:val="20"/>
          <w:szCs w:val="20"/>
          <w:color w:val="auto"/>
        </w:rPr>
      </w:pPr>
    </w:p>
    <w:p>
      <w:pPr>
        <w:jc w:val="both"/>
        <w:ind w:firstLine="487"/>
        <w:spacing w:after="0" w:line="261" w:lineRule="auto"/>
        <w:rPr>
          <w:sz w:val="20"/>
          <w:szCs w:val="20"/>
          <w:color w:val="auto"/>
        </w:rPr>
      </w:pPr>
      <w:r>
        <w:rPr>
          <w:rFonts w:ascii="Times New Roman" w:cs="Times New Roman" w:eastAsia="Times New Roman" w:hAnsi="Times New Roman"/>
          <w:sz w:val="15"/>
          <w:szCs w:val="15"/>
          <w:color w:val="auto"/>
        </w:rPr>
        <w:t>NOW, THEREFORE, in consideration of these premises and other good and valuable consideration, the receipt and sufficiency of which is hereby acknowledged, the parties hereto agree as follows:</w:t>
      </w:r>
    </w:p>
    <w:p>
      <w:pPr>
        <w:jc w:val="both"/>
        <w:ind w:firstLine="487"/>
        <w:spacing w:after="0" w:line="285" w:lineRule="auto"/>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4"/>
          <w:szCs w:val="14"/>
          <w:color w:val="auto"/>
        </w:rPr>
        <w:t>. Capitalized terms used herein but not otherwise defined herein shall have the meanings provided to such terms in the Credit Agreement. As used in this Agreement,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the following terms shall have the meanings set forth below:</w:t>
      </w:r>
    </w:p>
    <w:p>
      <w:pPr>
        <w:spacing w:after="0" w:line="1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Administrative Agent</w:t>
      </w:r>
      <w:r>
        <w:rPr>
          <w:rFonts w:ascii="Times New Roman" w:cs="Times New Roman" w:eastAsia="Times New Roman" w:hAnsi="Times New Roman"/>
          <w:sz w:val="15"/>
          <w:szCs w:val="15"/>
          <w:color w:val="auto"/>
        </w:rPr>
        <w:t>” has the meaning set forth in the preamble to this Agreement.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Administrative Agent’s Financial Advisor</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5"/>
          <w:szCs w:val="15"/>
          <w:color w:val="auto"/>
        </w:rPr>
        <w:t>.</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Administrative Fees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5"/>
          <w:szCs w:val="15"/>
          <w:color w:val="auto"/>
        </w:rPr>
        <w:t>.</w:t>
      </w:r>
    </w:p>
    <w:p>
      <w:pPr>
        <w:sectPr>
          <w:pgSz w:w="11900" w:h="16838" w:orient="portrait"/>
          <w:cols w:equalWidth="0" w:num="1">
            <w:col w:w="11280"/>
          </w:cols>
          <w:pgMar w:left="300" w:top="1093" w:right="319" w:bottom="1440" w:gutter="0" w:footer="0" w:header="0"/>
        </w:sectPr>
      </w:pPr>
    </w:p>
    <w:bookmarkStart w:id="6" w:name="page7"/>
    <w:bookmarkEnd w:id="6"/>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Borrower</w:t>
      </w:r>
      <w:r>
        <w:rPr>
          <w:rFonts w:ascii="Times New Roman" w:cs="Times New Roman" w:eastAsia="Times New Roman" w:hAnsi="Times New Roman"/>
          <w:sz w:val="15"/>
          <w:szCs w:val="15"/>
          <w:color w:val="auto"/>
        </w:rPr>
        <w:t>” has the meaning set forth in the preamble to this Agreement.</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Cash Flow Forecast</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6"/>
          <w:szCs w:val="16"/>
          <w:u w:val="single" w:color="auto"/>
          <w:color w:val="auto"/>
        </w:rPr>
        <w:t>Section 9(a)</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Consenting Lender</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6"/>
          <w:szCs w:val="16"/>
          <w:u w:val="single" w:color="auto"/>
          <w:color w:val="auto"/>
        </w:rPr>
        <w:t>Consenting Lenders</w:t>
      </w:r>
      <w:r>
        <w:rPr>
          <w:rFonts w:ascii="Times New Roman" w:cs="Times New Roman" w:eastAsia="Times New Roman" w:hAnsi="Times New Roman"/>
          <w:sz w:val="15"/>
          <w:szCs w:val="15"/>
          <w:color w:val="auto"/>
        </w:rPr>
        <w:t xml:space="preserve">” have the meanings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5"/>
          <w:szCs w:val="15"/>
          <w:color w:val="auto"/>
        </w:rPr>
        <w:t>.</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Credit Agreement</w:t>
      </w:r>
      <w:r>
        <w:rPr>
          <w:rFonts w:ascii="Times New Roman" w:cs="Times New Roman" w:eastAsia="Times New Roman" w:hAnsi="Times New Roman"/>
          <w:sz w:val="15"/>
          <w:szCs w:val="15"/>
          <w:color w:val="auto"/>
        </w:rPr>
        <w:t>” has the meaning set forth in the Recitals.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6"/>
          <w:szCs w:val="16"/>
          <w:u w:val="single" w:color="auto"/>
          <w:color w:val="auto"/>
        </w:rPr>
        <w:t>Section 15</w:t>
      </w:r>
      <w:r>
        <w:rPr>
          <w:rFonts w:ascii="Times New Roman" w:cs="Times New Roman" w:eastAsia="Times New Roman" w:hAnsi="Times New Roman"/>
          <w:sz w:val="15"/>
          <w:szCs w:val="15"/>
          <w:color w:val="auto"/>
        </w:rPr>
        <w:t>.</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Forbearance Period</w:t>
      </w:r>
      <w:r>
        <w:rPr>
          <w:rFonts w:ascii="Times New Roman" w:cs="Times New Roman" w:eastAsia="Times New Roman" w:hAnsi="Times New Roman"/>
          <w:sz w:val="15"/>
          <w:szCs w:val="15"/>
          <w:color w:val="auto"/>
        </w:rPr>
        <w:t>” means the period from the Effective Date to (but excluding) the earliest date that a Forbearance Termination Event occurs.</w:t>
      </w:r>
    </w:p>
    <w:p>
      <w:pPr>
        <w:spacing w:after="0" w:line="202" w:lineRule="exact"/>
        <w:rPr>
          <w:sz w:val="20"/>
          <w:szCs w:val="20"/>
          <w:color w:val="auto"/>
        </w:rPr>
      </w:pPr>
    </w:p>
    <w:p>
      <w:pPr>
        <w:jc w:val="both"/>
        <w:ind w:firstLine="974"/>
        <w:spacing w:after="0" w:line="25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Forbearance Termination Event</w:t>
      </w:r>
      <w:r>
        <w:rPr>
          <w:rFonts w:ascii="Times New Roman" w:cs="Times New Roman" w:eastAsia="Times New Roman" w:hAnsi="Times New Roman"/>
          <w:sz w:val="15"/>
          <w:szCs w:val="15"/>
          <w:color w:val="auto"/>
        </w:rPr>
        <w:t>” means the earliest of the following to occur: (a) any Event of Default other than an Event of Default constituting Lugano Event of Default; (b) the breach by the Borrower of any covenant or provision of this Agreement; (c) a declaration by the trustee or the requisite holders of the 2029 Senior Unsecured Notes of any default or event of default under the Indenture dated as of March 23, 2021 between the Borrower and U.S. Bank National Association, as trustee, for which the trustee and the requisite noteholders have not entered into a forbearance agreement with the Borrower within five (5) Business Days after the date of such declaration; (d) the declaration by the trustee or the requisite holders of the 2032 Senior Unsecured Notes of any default or event of default under the Indenture dated as of November 27, 2021 between the Borrower and U.S. Bank National Association, as trustee, for which the trustee and the requisite noteholders have not entered into a forbearance agreement with the Borrower within five (5) Business Days after the date of such declaration; and (e) 11:59 p.m. (Eastern time) on October 24, 2025.</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Initial Specified Borrowings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6"/>
          <w:szCs w:val="16"/>
          <w:u w:val="single" w:color="auto"/>
          <w:color w:val="auto"/>
        </w:rPr>
        <w:t>Section 6(a)</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Lugano</w:t>
      </w:r>
      <w:r>
        <w:rPr>
          <w:rFonts w:ascii="Times New Roman" w:cs="Times New Roman" w:eastAsia="Times New Roman" w:hAnsi="Times New Roman"/>
          <w:sz w:val="15"/>
          <w:szCs w:val="15"/>
          <w:color w:val="auto"/>
        </w:rPr>
        <w:t>” has the meaning set forth in the Recitals.</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Lugano Events of Default</w:t>
      </w:r>
      <w:r>
        <w:rPr>
          <w:rFonts w:ascii="Times New Roman" w:cs="Times New Roman" w:eastAsia="Times New Roman" w:hAnsi="Times New Roman"/>
          <w:sz w:val="15"/>
          <w:szCs w:val="15"/>
          <w:color w:val="auto"/>
        </w:rPr>
        <w:t>” has the meaning set forth in the Recitals.</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Released Party</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5"/>
          <w:szCs w:val="15"/>
          <w:color w:val="auto"/>
        </w:rPr>
        <w: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Specified Borrowings</w:t>
      </w:r>
      <w:r>
        <w:rPr>
          <w:rFonts w:ascii="Times New Roman" w:cs="Times New Roman" w:eastAsia="Times New Roman" w:hAnsi="Times New Roman"/>
          <w:sz w:val="15"/>
          <w:szCs w:val="15"/>
          <w:color w:val="auto"/>
        </w:rPr>
        <w:t xml:space="preserve">” has the meaning set forth in </w:t>
      </w:r>
      <w:r>
        <w:rPr>
          <w:rFonts w:ascii="Times New Roman" w:cs="Times New Roman" w:eastAsia="Times New Roman" w:hAnsi="Times New Roman"/>
          <w:sz w:val="16"/>
          <w:szCs w:val="16"/>
          <w:u w:val="single" w:color="auto"/>
          <w:color w:val="auto"/>
        </w:rPr>
        <w:t>Section 6(a)</w:t>
      </w:r>
      <w:r>
        <w:rPr>
          <w:rFonts w:ascii="Times New Roman" w:cs="Times New Roman" w:eastAsia="Times New Roman" w:hAnsi="Times New Roman"/>
          <w:sz w:val="15"/>
          <w:szCs w:val="15"/>
          <w:color w:val="auto"/>
        </w:rPr>
        <w:t>.</w:t>
      </w:r>
    </w:p>
    <w:p>
      <w:pPr>
        <w:spacing w:after="0" w:line="242" w:lineRule="exact"/>
        <w:rPr>
          <w:sz w:val="20"/>
          <w:szCs w:val="20"/>
          <w:color w:val="auto"/>
        </w:rPr>
      </w:pPr>
    </w:p>
    <w:p>
      <w:pPr>
        <w:jc w:val="both"/>
        <w:ind w:firstLine="487"/>
        <w:spacing w:after="0" w:line="272" w:lineRule="auto"/>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Estoppel</w:t>
      </w:r>
      <w:r>
        <w:rPr>
          <w:rFonts w:ascii="Times New Roman" w:cs="Times New Roman" w:eastAsia="Times New Roman" w:hAnsi="Times New Roman"/>
          <w:sz w:val="14"/>
          <w:szCs w:val="14"/>
          <w:color w:val="auto"/>
        </w:rPr>
        <w:t>. The Borrower hereby acknowledges and agrees that, as of the close of business on July 24, 2025, (a) the aggregate outstanding principal amount of the Revolving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Loans was $22,000,000.00, (b) the aggregate outstanding principal amount of the Term Loans was $567,500,000.00, (c) the aggregate outstanding principal amount of the Swing Line Loans was $0.00, (d) the aggregate outstanding principal amount of the Incremental Delayed Draw Term Loan was $0.00 and (e) the L/C Obligations were $3,282,500.00, each of which constitutes a valid and subsisting obligation of the Borrower owed to the Lenders that is not subject to any credits, offsets, defenses, claims, counterclaims, or adjustments of any kind.</w:t>
      </w:r>
    </w:p>
    <w:p>
      <w:pPr>
        <w:sectPr>
          <w:pgSz w:w="11900" w:h="16838" w:orient="portrait"/>
          <w:cols w:equalWidth="0" w:num="1">
            <w:col w:w="11280"/>
          </w:cols>
          <w:pgMar w:left="300" w:top="1286" w:right="319" w:bottom="1440" w:gutter="0" w:footer="0" w:header="0"/>
        </w:sectPr>
      </w:pPr>
    </w:p>
    <w:bookmarkStart w:id="7" w:name="page8"/>
    <w:bookmarkEnd w:id="7"/>
    <w:p>
      <w:pPr>
        <w:jc w:val="both"/>
        <w:ind w:firstLine="487"/>
        <w:spacing w:after="0" w:line="272" w:lineRule="auto"/>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Consent, Acknowledgement and Reaffirmation</w:t>
      </w:r>
      <w:r>
        <w:rPr>
          <w:rFonts w:ascii="Times New Roman" w:cs="Times New Roman" w:eastAsia="Times New Roman" w:hAnsi="Times New Roman"/>
          <w:sz w:val="14"/>
          <w:szCs w:val="14"/>
          <w:color w:val="auto"/>
        </w:rPr>
        <w:t>. The Borrower hereby: (a) acknowledges that (i) the Lugano Events of Default have occurred, or are anticipated to occur,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have not been waived, and (ii) no Default or Event of Default is being waived pursuant to this Agreement; (b) acknowledges and consents to this Agreement and the terms and provisions hereof; (c) reaffirms the covenants and agreements contained in each Loan Document, including, in each case, as such covenants and agreements may be modified by this Agreement and the transactions contemplated hereby; (d) reaffirms that each of the Liens created and granted in or pursuant to the Loan Documents in favor of the Administrative Agent for the benefit of the holders of the Obligations is valid and subsisting, and acknowledges and agrees that this Agreement shall in no manner impair or otherwise adversely affect such Liens; and (e) confirms that each Loan Document is and shall continue to be in full force and effect and the same is hereby ratified and confirmed in all respects.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4</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Administrative Fees</w:t>
      </w:r>
      <w:r>
        <w:rPr>
          <w:rFonts w:ascii="Times New Roman" w:cs="Times New Roman" w:eastAsia="Times New Roman" w:hAnsi="Times New Roman"/>
          <w:sz w:val="14"/>
          <w:szCs w:val="14"/>
          <w:color w:val="auto"/>
        </w:rPr>
        <w:t>. In consideration of the written consent of the Lenders that have delivered a duly executed signature page to this Agreement to the Administrative Agent by</w:t>
      </w:r>
    </w:p>
    <w:p>
      <w:pPr>
        <w:spacing w:after="0" w:line="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12:00 p.m. (Eastern time) on July 25, 2025 (or such later time as may be agreed to by the Borrower and the Administrative Agent) (each a “</w:t>
      </w:r>
      <w:r>
        <w:rPr>
          <w:rFonts w:ascii="Times New Roman" w:cs="Times New Roman" w:eastAsia="Times New Roman" w:hAnsi="Times New Roman"/>
          <w:sz w:val="16"/>
          <w:szCs w:val="16"/>
          <w:u w:val="single" w:color="auto"/>
          <w:color w:val="auto"/>
        </w:rPr>
        <w:t>Consenting Lender</w:t>
      </w:r>
      <w:r>
        <w:rPr>
          <w:rFonts w:ascii="Times New Roman" w:cs="Times New Roman" w:eastAsia="Times New Roman" w:hAnsi="Times New Roman"/>
          <w:sz w:val="15"/>
          <w:szCs w:val="15"/>
          <w:color w:val="auto"/>
        </w:rPr>
        <w:t>” and collectively, the “</w:t>
      </w:r>
      <w:r>
        <w:rPr>
          <w:rFonts w:ascii="Times New Roman" w:cs="Times New Roman" w:eastAsia="Times New Roman" w:hAnsi="Times New Roman"/>
          <w:sz w:val="16"/>
          <w:szCs w:val="16"/>
          <w:u w:val="single" w:color="auto"/>
          <w:color w:val="auto"/>
        </w:rPr>
        <w:t>Consenting Lenders</w:t>
      </w:r>
      <w:r>
        <w:rPr>
          <w:rFonts w:ascii="Times New Roman" w:cs="Times New Roman" w:eastAsia="Times New Roman" w:hAnsi="Times New Roman"/>
          <w:sz w:val="15"/>
          <w:szCs w:val="15"/>
          <w:color w:val="auto"/>
        </w:rPr>
        <w:t>”), the Borrower shall pay to the Administrative Agent, for the account of each Consenting Lender, an administrative fee in the amount $35,000 payable to each Consenting Lender (collectively, the “</w:t>
      </w:r>
      <w:r>
        <w:rPr>
          <w:rFonts w:ascii="Times New Roman" w:cs="Times New Roman" w:eastAsia="Times New Roman" w:hAnsi="Times New Roman"/>
          <w:sz w:val="16"/>
          <w:szCs w:val="16"/>
          <w:u w:val="single" w:color="auto"/>
          <w:color w:val="auto"/>
        </w:rPr>
        <w:t>Administrative Fees</w:t>
      </w:r>
      <w:r>
        <w:rPr>
          <w:rFonts w:ascii="Times New Roman" w:cs="Times New Roman" w:eastAsia="Times New Roman" w:hAnsi="Times New Roman"/>
          <w:sz w:val="15"/>
          <w:szCs w:val="15"/>
          <w:color w:val="auto"/>
        </w:rPr>
        <w:t>”). The Administrative Fees shall be fully earned, non-refundable and due and payable as of the Effective Date and shall not be applied to reduce the Obligations.</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5</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Forbearance</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firstLine="974"/>
        <w:spacing w:after="0" w:line="25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i w:val="1"/>
          <w:iCs w:val="1"/>
          <w:color w:val="auto"/>
        </w:rPr>
        <w:t>Forbearance.</w:t>
      </w:r>
      <w:r>
        <w:rPr>
          <w:rFonts w:ascii="Times New Roman" w:cs="Times New Roman" w:eastAsia="Times New Roman" w:hAnsi="Times New Roman"/>
          <w:sz w:val="15"/>
          <w:szCs w:val="15"/>
          <w:color w:val="auto"/>
        </w:rPr>
        <w:t xml:space="preserve"> Subject to the terms and conditions set forth herein, the Administrative Agent, the L/C Issuer, and the Lenders shall, during the Forbearance Period, forbear from exercising any and all of the rights and remedies available to them under the Loan Documents and applicable Laws, but only to the extent that such rights and remedies arise exclusively as a result of the existence of the Lugano Events of Default;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5"/>
          <w:szCs w:val="15"/>
          <w:color w:val="auto"/>
        </w:rPr>
        <w:t>, that (i) the Administrative Agent, the L/C Issuer, and the Lenders shall be free to exercise any or all of their rights and remedies arising on account of the Lugano Events of Default at any time upon or after the occurrence of a Forbearance Termination Event and (ii) the Lugano Events of Default shall continue to exist and apply for all purposes and provisions under the Loan Documents, including those provisions, conditions, requirements, rights, and obligations that are dependent upon the absence of any Default or Event of Default.</w:t>
      </w:r>
    </w:p>
    <w:p>
      <w:pPr>
        <w:spacing w:after="0" w:line="105" w:lineRule="exact"/>
        <w:rPr>
          <w:sz w:val="20"/>
          <w:szCs w:val="20"/>
          <w:color w:val="auto"/>
        </w:rPr>
      </w:pPr>
    </w:p>
    <w:p>
      <w:pPr>
        <w:jc w:val="both"/>
        <w:ind w:firstLine="974"/>
        <w:spacing w:after="0" w:line="28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5"/>
          <w:szCs w:val="15"/>
          <w:color w:val="auto"/>
        </w:rPr>
        <w:t>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i w:val="1"/>
          <w:iCs w:val="1"/>
          <w:color w:val="auto"/>
        </w:rPr>
        <w:t>Forbearance Period</w:t>
      </w:r>
      <w:r>
        <w:rPr>
          <w:rFonts w:ascii="Times New Roman" w:cs="Times New Roman" w:eastAsia="Times New Roman" w:hAnsi="Times New Roman"/>
          <w:sz w:val="14"/>
          <w:szCs w:val="14"/>
          <w:color w:val="auto"/>
        </w:rPr>
        <w:t>. Nothing set forth herein or contemplated hereby is intended to constitute an agreement by the Administrative Agent, the L/C Issuer, or any Lender to forbear from exercising any of the rights or remedies available to the Administrative Agent, the L/C Issuer, and the Lenders under the Loan Documents or applicable Laws (all of which rights and remedies are hereby expressly reserved by the Administrative Agent, the L/C Issuer, and the Lenders) upon or after the occurrence of a Forbearance Termination Event.</w:t>
      </w:r>
    </w:p>
    <w:p>
      <w:pPr>
        <w:spacing w:after="0" w:line="1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6</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Borrowings During Forbearance Period</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ind w:firstLine="974"/>
        <w:spacing w:after="0" w:line="27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a</w:t>
      </w:r>
      <w:r>
        <w:rPr>
          <w:rFonts w:ascii="Times New Roman" w:cs="Times New Roman" w:eastAsia="Times New Roman" w:hAnsi="Times New Roman"/>
          <w:sz w:val="15"/>
          <w:szCs w:val="15"/>
          <w:color w:val="auto"/>
        </w:rPr>
        <w:t>) Notwithstanding the occurrence and continuance of the Lugano Events of Default, during the Forbearance Period the Lenders would honor Requests for Credit Extensions for Revolving Loans composed of Term SOFR Loans with an Applicable Rate of 2.50% per annum and an Interest Period of one (1) month (the “</w:t>
      </w:r>
      <w:r>
        <w:rPr>
          <w:rFonts w:ascii="Times New Roman" w:cs="Times New Roman" w:eastAsia="Times New Roman" w:hAnsi="Times New Roman"/>
          <w:sz w:val="16"/>
          <w:szCs w:val="16"/>
          <w:u w:val="single" w:color="auto"/>
          <w:color w:val="auto"/>
        </w:rPr>
        <w:t>Initial Specified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u w:val="single" w:color="auto"/>
          <w:color w:val="auto"/>
        </w:rPr>
        <w:t>Borrowings</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4"/>
          <w:szCs w:val="14"/>
          <w:color w:val="auto"/>
        </w:rPr>
        <w:t>, that the Borrower shall not request, and the Lenders shall have no obligation to make, any Initial Specified Borrowing that</w:t>
      </w:r>
    </w:p>
    <w:p>
      <w:pPr>
        <w:sectPr>
          <w:pgSz w:w="11900" w:h="16838" w:orient="portrait"/>
          <w:cols w:equalWidth="0" w:num="1">
            <w:col w:w="11280"/>
          </w:cols>
          <w:pgMar w:left="300" w:top="1286" w:right="31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5"/>
          <w:szCs w:val="15"/>
          <w:color w:val="auto"/>
        </w:rPr>
        <w:t>shall cause the aggregate Revolving Credit Exposures of the Lenders to exceed $60,000,000 (inclusive of the outstanding L/C Obligations in the amount of $3,282,500.00 as of the Effective Date). During the Forbearance Period additional Revolving Loans in an aggregate amount not to exceed $10,000,000 (together with the Initial Specified Borrowings, collectively the “</w:t>
      </w:r>
      <w:r>
        <w:rPr>
          <w:rFonts w:ascii="Times New Roman" w:cs="Times New Roman" w:eastAsia="Times New Roman" w:hAnsi="Times New Roman"/>
          <w:sz w:val="16"/>
          <w:szCs w:val="16"/>
          <w:u w:val="single" w:color="auto"/>
          <w:color w:val="auto"/>
        </w:rPr>
        <w:t>Specified Borrowings</w:t>
      </w:r>
      <w:r>
        <w:rPr>
          <w:rFonts w:ascii="Times New Roman" w:cs="Times New Roman" w:eastAsia="Times New Roman" w:hAnsi="Times New Roman"/>
          <w:sz w:val="15"/>
          <w:szCs w:val="15"/>
          <w:color w:val="auto"/>
        </w:rPr>
        <w:t>”) may be made available at the discretion of the Required Lenders subject to (i) delivery of Requests for Credit Extensions by the Borrower for such additional Revolving Loans and (ii) delivery by the Borrower of any supporting reports or other information reasonably requested by the Administrative Agent demonstrating the need for the additional Revolving Loans. The Borrower shall use the funds advanced pursuant to a Specified Borrowing for working capital, capital expenditures, general corporate purposes and any other purpose of the Borrower not otherwise prohibited under the Credit Agreement.</w:t>
      </w:r>
    </w:p>
    <w:p>
      <w:pPr>
        <w:spacing w:after="0" w:line="108" w:lineRule="exact"/>
        <w:rPr>
          <w:sz w:val="20"/>
          <w:szCs w:val="20"/>
          <w:color w:val="auto"/>
        </w:rPr>
      </w:pPr>
    </w:p>
    <w:p>
      <w:pPr>
        <w:jc w:val="both"/>
        <w:ind w:firstLine="974"/>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b</w:t>
      </w:r>
      <w:r>
        <w:rPr>
          <w:rFonts w:ascii="Times New Roman" w:cs="Times New Roman" w:eastAsia="Times New Roman" w:hAnsi="Times New Roman"/>
          <w:sz w:val="15"/>
          <w:szCs w:val="15"/>
          <w:color w:val="auto"/>
        </w:rPr>
        <w:t>) The Consenting Lenders, constituting the Required Lenders, hereby agree solely in respect of the Specified Borrowings that (i) the condition precedent set forth in Section 4.02(a) of the Credit Agreement shall be qualified to the extent any representations and warranties referred to therein relate to the absence of any Default or Event of Default, and (ii) the condition precedent set forth in Section 4.02(b) of the Credit Agreement shall be deemed waived.</w:t>
      </w:r>
    </w:p>
    <w:p>
      <w:pPr>
        <w:spacing w:after="0" w:line="92" w:lineRule="exact"/>
        <w:rPr>
          <w:sz w:val="20"/>
          <w:szCs w:val="20"/>
          <w:color w:val="auto"/>
        </w:rPr>
      </w:pPr>
    </w:p>
    <w:p>
      <w:pPr>
        <w:jc w:val="both"/>
        <w:ind w:firstLine="974"/>
        <w:spacing w:after="0" w:line="25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c</w:t>
      </w:r>
      <w:r>
        <w:rPr>
          <w:rFonts w:ascii="Times New Roman" w:cs="Times New Roman" w:eastAsia="Times New Roman" w:hAnsi="Times New Roman"/>
          <w:sz w:val="15"/>
          <w:szCs w:val="15"/>
          <w:color w:val="auto"/>
        </w:rPr>
        <w:t>) The waivers and qualifications of any Lender set forth herein shall not be deemed to modify or affect the obligations of the Borrower to comply with each and every obligation, covenant, duty, and agreement under the Loan Documents, in each case as amended by this Agreement. Such waivers and qualifications shall be limited exclusively to the Lugano Events of Default during the Forbearance Period and shall not be construed to be a waiver of, or in any way obligate the Lenders to waive, any other Default or Event of Default that may have occurred or that may occur from and after the Effective Date. Nothing set forth herein or contemplated hereby is intended to constitute an agreement by the Administrative Agent, the L/C Issuer, or any Lender to waive or forbear from exercising any of the rights or remedies available to the Administrative Agent, the L/C Issuer, or the Lenders under the Loan Documents or applicable laws (all of which rights and remedies are hereby expressly reserved) with respect to any Default or Events of Default (including, without limitation, the Lugano Events of Default) upon or after the occurrence of a Forbearance Termination Event.</w:t>
      </w:r>
    </w:p>
    <w:p>
      <w:pPr>
        <w:spacing w:after="0" w:line="151" w:lineRule="exact"/>
        <w:rPr>
          <w:sz w:val="20"/>
          <w:szCs w:val="20"/>
          <w:color w:val="auto"/>
        </w:rPr>
      </w:pPr>
    </w:p>
    <w:p>
      <w:pPr>
        <w:jc w:val="both"/>
        <w:ind w:firstLine="487"/>
        <w:spacing w:after="0" w:line="276" w:lineRule="auto"/>
        <w:rPr>
          <w:sz w:val="20"/>
          <w:szCs w:val="20"/>
          <w:color w:val="auto"/>
        </w:rPr>
      </w:pPr>
      <w:r>
        <w:rPr>
          <w:rFonts w:ascii="Times New Roman" w:cs="Times New Roman" w:eastAsia="Times New Roman" w:hAnsi="Times New Roman"/>
          <w:sz w:val="16"/>
          <w:szCs w:val="16"/>
          <w:color w:val="auto"/>
        </w:rPr>
        <w:t>7</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Restricted Payments During Forbearance Period</w:t>
      </w:r>
      <w:r>
        <w:rPr>
          <w:rFonts w:ascii="Times New Roman" w:cs="Times New Roman" w:eastAsia="Times New Roman" w:hAnsi="Times New Roman"/>
          <w:sz w:val="14"/>
          <w:szCs w:val="14"/>
          <w:color w:val="auto"/>
        </w:rPr>
        <w:t>. Notwithstanding anything in the Credit Agreement or any other Loan Document to the contrary (including any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 xml:space="preserve">provision set forth in Section 7.06(g)), solely during the Forbearance Period the Borrower may make Restricted Payments pursuant to Section 7.06(g) of the Credit Agreement if after giving effect thereto and the incurrence of any Indebtedness in connection therewith the sum of (a) all cash and Cash Equivalents of the Borrower on deposit in an account that is with the Administrative Agent or is subject to a Qualifying Control Agreement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4"/>
          <w:szCs w:val="14"/>
          <w:color w:val="auto"/>
        </w:rPr>
        <w:t xml:space="preserve"> (b) Unused Borrowing Availability (based upon the limitations on borrowing availability set forth in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u w:val="single" w:color="auto"/>
          <w:color w:val="auto"/>
        </w:rPr>
        <w:t>6(a)</w:t>
      </w:r>
      <w:r>
        <w:rPr>
          <w:rFonts w:ascii="Times New Roman" w:cs="Times New Roman" w:eastAsia="Times New Roman" w:hAnsi="Times New Roman"/>
          <w:sz w:val="14"/>
          <w:szCs w:val="14"/>
          <w:color w:val="auto"/>
        </w:rPr>
        <w:t>) is not less than $10,000,000.</w:t>
      </w:r>
    </w:p>
    <w:p>
      <w:pPr>
        <w:spacing w:after="0" w:line="333" w:lineRule="exact"/>
        <w:rPr>
          <w:sz w:val="20"/>
          <w:szCs w:val="20"/>
          <w:color w:val="auto"/>
        </w:rPr>
      </w:pPr>
    </w:p>
    <w:p>
      <w:pPr>
        <w:jc w:val="both"/>
        <w:ind w:firstLine="487"/>
        <w:spacing w:after="0" w:line="285" w:lineRule="auto"/>
        <w:rPr>
          <w:sz w:val="20"/>
          <w:szCs w:val="20"/>
          <w:color w:val="auto"/>
        </w:rPr>
      </w:pPr>
      <w:r>
        <w:rPr>
          <w:rFonts w:ascii="Times New Roman" w:cs="Times New Roman" w:eastAsia="Times New Roman" w:hAnsi="Times New Roman"/>
          <w:sz w:val="16"/>
          <w:szCs w:val="16"/>
          <w:color w:val="auto"/>
        </w:rPr>
        <w:t>8</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Accrual of Interest During Forbearance Period</w:t>
      </w:r>
      <w:r>
        <w:rPr>
          <w:rFonts w:ascii="Times New Roman" w:cs="Times New Roman" w:eastAsia="Times New Roman" w:hAnsi="Times New Roman"/>
          <w:sz w:val="14"/>
          <w:szCs w:val="14"/>
          <w:color w:val="auto"/>
        </w:rPr>
        <w:t>. Notwithstanding anything in the Credit Agreement or any other Loan Document to the contrary, during the Forbearance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Period all Term SOFR Loans, Base Rate Loans, Letter of Credit Fees, and Commitment Fees under the Credit Agreement or any other Loan Document shall accrue at the level of Pricing Tier 5 set forth in the definition of “Applicable Rate” in Section 1.01 of the Credit Agreement.</w:t>
      </w:r>
    </w:p>
    <w:p>
      <w:pPr>
        <w:spacing w:after="0" w:line="1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9</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Additional Reporting</w:t>
      </w:r>
      <w:r>
        <w:rPr>
          <w:rFonts w:ascii="Times New Roman" w:cs="Times New Roman" w:eastAsia="Times New Roman" w:hAnsi="Times New Roman"/>
          <w:sz w:val="14"/>
          <w:szCs w:val="14"/>
          <w:color w:val="auto"/>
        </w:rPr>
        <w:t>. In addition to all existing reporting requirements under the Credit Agreement and the other Loan Documents, the Borrower shall deliver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Administrative Agent, for distribution to the Lenders, in each case in form and detail reasonably satisfactory to the Administrative Agent:</w:t>
      </w:r>
    </w:p>
    <w:p>
      <w:pPr>
        <w:sectPr>
          <w:pgSz w:w="11900" w:h="16838" w:orient="portrait"/>
          <w:cols w:equalWidth="0" w:num="1">
            <w:col w:w="11280"/>
          </w:cols>
          <w:pgMar w:left="300" w:top="1219" w:right="319" w:bottom="1440" w:gutter="0" w:footer="0" w:header="0"/>
        </w:sectPr>
      </w:pPr>
    </w:p>
    <w:bookmarkStart w:id="9" w:name="page10"/>
    <w:bookmarkEnd w:id="9"/>
    <w:p>
      <w:pPr>
        <w:jc w:val="both"/>
        <w:ind w:firstLine="974"/>
        <w:spacing w:after="0" w:line="29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a</w:t>
      </w:r>
      <w:r>
        <w:rPr>
          <w:rFonts w:ascii="Times New Roman" w:cs="Times New Roman" w:eastAsia="Times New Roman" w:hAnsi="Times New Roman"/>
          <w:sz w:val="15"/>
          <w:szCs w:val="15"/>
          <w:color w:val="auto"/>
        </w:rPr>
        <w:t>) on the first Business Day of each week a rolling 13-week forecast of cash flows for the Borrower as of the last day of the immediately preceding week (each a “</w:t>
      </w:r>
      <w:r>
        <w:rPr>
          <w:rFonts w:ascii="Times New Roman" w:cs="Times New Roman" w:eastAsia="Times New Roman" w:hAnsi="Times New Roman"/>
          <w:sz w:val="16"/>
          <w:szCs w:val="16"/>
          <w:u w:val="single" w:color="auto"/>
          <w:color w:val="auto"/>
        </w:rPr>
        <w:t>Cash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u w:val="single" w:color="auto"/>
          <w:color w:val="auto"/>
        </w:rPr>
        <w:t>Flow Forecast</w:t>
      </w:r>
      <w:r>
        <w:rPr>
          <w:rFonts w:ascii="Times New Roman" w:cs="Times New Roman" w:eastAsia="Times New Roman" w:hAnsi="Times New Roman"/>
          <w:sz w:val="14"/>
          <w:szCs w:val="14"/>
          <w:color w:val="auto"/>
        </w:rPr>
        <w:t>”); and</w:t>
      </w:r>
    </w:p>
    <w:p>
      <w:pPr>
        <w:spacing w:after="0" w:line="59" w:lineRule="exact"/>
        <w:rPr>
          <w:sz w:val="20"/>
          <w:szCs w:val="20"/>
          <w:color w:val="auto"/>
        </w:rPr>
      </w:pPr>
    </w:p>
    <w:p>
      <w:pPr>
        <w:jc w:val="both"/>
        <w:ind w:firstLine="974"/>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b</w:t>
      </w:r>
      <w:r>
        <w:rPr>
          <w:rFonts w:ascii="Times New Roman" w:cs="Times New Roman" w:eastAsia="Times New Roman" w:hAnsi="Times New Roman"/>
          <w:sz w:val="15"/>
          <w:szCs w:val="15"/>
          <w:color w:val="auto"/>
        </w:rPr>
        <w:t>) on the first Business Day of each week a variance report showing a comparison of the previous week’s actual cash flows for the Borrower to the most recently previously delivered Cash Flow Forecast in both dollar and percentage units, together with a written explanation of any variance (positive or negative) for any line item that exceeds ten percent (10%) on a line item (provided that such variance is greater than $100,000 on any line item) or on a cumulative basis.</w:t>
      </w:r>
    </w:p>
    <w:p>
      <w:pPr>
        <w:spacing w:after="0" w:line="143" w:lineRule="exact"/>
        <w:rPr>
          <w:sz w:val="20"/>
          <w:szCs w:val="20"/>
          <w:color w:val="auto"/>
        </w:rPr>
      </w:pPr>
    </w:p>
    <w:p>
      <w:pPr>
        <w:jc w:val="both"/>
        <w:ind w:firstLine="487"/>
        <w:spacing w:after="0" w:line="278" w:lineRule="auto"/>
        <w:rPr>
          <w:sz w:val="20"/>
          <w:szCs w:val="20"/>
          <w:color w:val="auto"/>
        </w:rPr>
      </w:pPr>
      <w:r>
        <w:rPr>
          <w:rFonts w:ascii="Times New Roman" w:cs="Times New Roman" w:eastAsia="Times New Roman" w:hAnsi="Times New Roman"/>
          <w:sz w:val="16"/>
          <w:szCs w:val="16"/>
          <w:color w:val="auto"/>
        </w:rPr>
        <w:t>10</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Lender Updates</w:t>
      </w:r>
      <w:r>
        <w:rPr>
          <w:rFonts w:ascii="Times New Roman" w:cs="Times New Roman" w:eastAsia="Times New Roman" w:hAnsi="Times New Roman"/>
          <w:sz w:val="14"/>
          <w:szCs w:val="14"/>
          <w:color w:val="auto"/>
        </w:rPr>
        <w:t>. The Borrower shall make certain representatives of the Borrower and its advisors, as reasonably requested by the Administrative Agent, available to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Administrative Agent and the Lenders for periodic conference calls to be held on dates and at times as determined by the Administrative Agent in its sole discretion to provide updates regarding the business operations of the Borrower and its Subsidiaries as well as the investigations regarding Lugano.</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Amendments to Credit Agreement</w:t>
      </w:r>
      <w:r>
        <w:rPr>
          <w:rFonts w:ascii="Times New Roman" w:cs="Times New Roman" w:eastAsia="Times New Roman" w:hAnsi="Times New Roman"/>
          <w:sz w:val="14"/>
          <w:szCs w:val="14"/>
          <w:color w:val="auto"/>
        </w:rPr>
        <w:t>. The Credit Agreement is hereby amended as follows:</w:t>
      </w: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a</w:t>
      </w:r>
      <w:r>
        <w:rPr>
          <w:rFonts w:ascii="Times New Roman" w:cs="Times New Roman" w:eastAsia="Times New Roman" w:hAnsi="Times New Roman"/>
          <w:sz w:val="15"/>
          <w:szCs w:val="15"/>
          <w:color w:val="auto"/>
        </w:rPr>
        <w:t>) Section 1.01 is hereby amended to add the following definition in its appropriate alphabetical order:</w:t>
      </w:r>
    </w:p>
    <w:p>
      <w:pPr>
        <w:spacing w:after="0" w:line="141" w:lineRule="exact"/>
        <w:rPr>
          <w:sz w:val="20"/>
          <w:szCs w:val="20"/>
          <w:color w:val="auto"/>
        </w:rPr>
      </w:pPr>
    </w:p>
    <w:p>
      <w:pPr>
        <w:jc w:val="both"/>
        <w:ind w:firstLine="1461"/>
        <w:spacing w:after="0" w:line="28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Third Amendment</w:t>
      </w:r>
      <w:r>
        <w:rPr>
          <w:rFonts w:ascii="Times New Roman" w:cs="Times New Roman" w:eastAsia="Times New Roman" w:hAnsi="Times New Roman"/>
          <w:sz w:val="15"/>
          <w:szCs w:val="15"/>
          <w:color w:val="auto"/>
        </w:rPr>
        <w:t>” means that certain Second Forbearance Agreement and Third Amendment to Credit Agreement dated as of July 25, 2025, by and among the Borrower, the Lenders, the Administrative Agent and the L/C Issuer.</w:t>
      </w:r>
    </w:p>
    <w:p>
      <w:pPr>
        <w:spacing w:after="0" w:line="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b</w:t>
      </w:r>
      <w:r>
        <w:rPr>
          <w:rFonts w:ascii="Times New Roman" w:cs="Times New Roman" w:eastAsia="Times New Roman" w:hAnsi="Times New Roman"/>
          <w:sz w:val="15"/>
          <w:szCs w:val="15"/>
          <w:color w:val="auto"/>
        </w:rPr>
        <w:t>) The following definitions in Section 1.01 are hereby amended to read as follows:</w:t>
      </w:r>
    </w:p>
    <w:p>
      <w:pPr>
        <w:spacing w:after="0" w:line="14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u w:val="single" w:color="auto"/>
          <w:color w:val="auto"/>
        </w:rPr>
        <w:t>Lugano Events of Default</w:t>
      </w:r>
      <w:r>
        <w:rPr>
          <w:rFonts w:ascii="Times New Roman" w:cs="Times New Roman" w:eastAsia="Times New Roman" w:hAnsi="Times New Roman"/>
          <w:sz w:val="15"/>
          <w:szCs w:val="15"/>
          <w:color w:val="auto"/>
        </w:rPr>
        <w:t>” has the meaning specified in the Third Amendment.</w:t>
      </w: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c</w:t>
      </w:r>
      <w:r>
        <w:rPr>
          <w:rFonts w:ascii="Times New Roman" w:cs="Times New Roman" w:eastAsia="Times New Roman" w:hAnsi="Times New Roman"/>
          <w:sz w:val="15"/>
          <w:szCs w:val="15"/>
          <w:color w:val="auto"/>
        </w:rPr>
        <w:t>) Section 7.06(d) of the Credit Agreement is hereby amended by replacing the proviso at the end of such Section with the following proviso:</w:t>
      </w:r>
    </w:p>
    <w:p>
      <w:pPr>
        <w:spacing w:after="0" w:line="135" w:lineRule="exact"/>
        <w:rPr>
          <w:sz w:val="20"/>
          <w:szCs w:val="20"/>
          <w:color w:val="auto"/>
        </w:rPr>
      </w:pPr>
    </w:p>
    <w:p>
      <w:pPr>
        <w:jc w:val="both"/>
        <w:ind w:firstLine="974"/>
        <w:spacing w:after="0" w:line="258" w:lineRule="auto"/>
        <w:rPr>
          <w:sz w:val="20"/>
          <w:szCs w:val="20"/>
          <w:color w:val="auto"/>
        </w:rPr>
      </w:pP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prior to the waiver or other resolution of the Lugano Events of Default the (i) Borrower shall not pay Management Fees to the Manager in an aggregate amount in excess of $5,000,000 per fiscal quarter and (ii) the Portfolio Companies shall not pay management fees to the Manager in an aggregate amount in excess of $2,000,000 per fiscal quarter (provided, for the avoidance of doubt, such payments by Portfolio Companies shall not limit the payments by Borrower allowed by subsection (i) hereof), which payments shall be made in the ordinary course of business consistent with past practice;</w:t>
      </w:r>
    </w:p>
    <w:p>
      <w:pPr>
        <w:spacing w:after="0" w:line="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d</w:t>
      </w:r>
      <w:r>
        <w:rPr>
          <w:rFonts w:ascii="Times New Roman" w:cs="Times New Roman" w:eastAsia="Times New Roman" w:hAnsi="Times New Roman"/>
          <w:sz w:val="15"/>
          <w:szCs w:val="15"/>
          <w:color w:val="auto"/>
        </w:rPr>
        <w:t>) Section 7.11 of the Credit Agreement is hereby amended by replacing the paragraph at the end of such Section with the following paragraph:</w:t>
      </w:r>
    </w:p>
    <w:p>
      <w:pPr>
        <w:spacing w:after="0" w:line="100" w:lineRule="exact"/>
        <w:rPr>
          <w:sz w:val="20"/>
          <w:szCs w:val="20"/>
          <w:color w:val="auto"/>
        </w:rPr>
      </w:pPr>
    </w:p>
    <w:p>
      <w:pPr>
        <w:jc w:val="both"/>
        <w:ind w:firstLine="1461"/>
        <w:spacing w:after="0" w:line="268" w:lineRule="auto"/>
        <w:rPr>
          <w:sz w:val="20"/>
          <w:szCs w:val="20"/>
          <w:color w:val="auto"/>
        </w:rPr>
      </w:pPr>
      <w:r>
        <w:rPr>
          <w:rFonts w:ascii="Times New Roman" w:cs="Times New Roman" w:eastAsia="Times New Roman" w:hAnsi="Times New Roman"/>
          <w:sz w:val="15"/>
          <w:szCs w:val="15"/>
          <w:color w:val="auto"/>
        </w:rPr>
        <w:t xml:space="preserve">Notwithstanding anything in this Agreement to the contrary (including, without limitation, </w:t>
      </w:r>
      <w:r>
        <w:rPr>
          <w:rFonts w:ascii="Times New Roman" w:cs="Times New Roman" w:eastAsia="Times New Roman" w:hAnsi="Times New Roman"/>
          <w:sz w:val="16"/>
          <w:szCs w:val="16"/>
          <w:u w:val="single" w:color="auto"/>
          <w:color w:val="auto"/>
        </w:rPr>
        <w:t>Section 8.01</w:t>
      </w:r>
      <w:r>
        <w:rPr>
          <w:rFonts w:ascii="Times New Roman" w:cs="Times New Roman" w:eastAsia="Times New Roman" w:hAnsi="Times New Roman"/>
          <w:sz w:val="15"/>
          <w:szCs w:val="15"/>
          <w:color w:val="auto"/>
        </w:rPr>
        <w:t xml:space="preserve">), no Default or Event of Default shall occur under this Agreement or any other Loan Document based upon the Borrower’s failure to comply with any financial covenant set forth in this </w:t>
      </w:r>
      <w:r>
        <w:rPr>
          <w:rFonts w:ascii="Times New Roman" w:cs="Times New Roman" w:eastAsia="Times New Roman" w:hAnsi="Times New Roman"/>
          <w:sz w:val="16"/>
          <w:szCs w:val="16"/>
          <w:u w:val="single" w:color="auto"/>
          <w:color w:val="auto"/>
        </w:rPr>
        <w:t>Section 7.11</w:t>
      </w:r>
      <w:r>
        <w:rPr>
          <w:rFonts w:ascii="Times New Roman" w:cs="Times New Roman" w:eastAsia="Times New Roman" w:hAnsi="Times New Roman"/>
          <w:sz w:val="15"/>
          <w:szCs w:val="15"/>
          <w:color w:val="auto"/>
        </w:rPr>
        <w:t xml:space="preserve"> for the fiscal quarters ending June 30, 2025 and September 30, 2025.</w:t>
      </w:r>
    </w:p>
    <w:p>
      <w:pPr>
        <w:sectPr>
          <w:pgSz w:w="11900" w:h="16838" w:orient="portrait"/>
          <w:cols w:equalWidth="0" w:num="1">
            <w:col w:w="11280"/>
          </w:cols>
          <w:pgMar w:left="300" w:top="1408" w:right="319" w:bottom="1440" w:gutter="0" w:footer="0" w:header="0"/>
        </w:sectPr>
      </w:pPr>
    </w:p>
    <w:bookmarkStart w:id="10" w:name="page11"/>
    <w:bookmarkEnd w:id="10"/>
    <w:p>
      <w:pPr>
        <w:ind w:left="480"/>
        <w:spacing w:after="0"/>
        <w:rPr>
          <w:sz w:val="20"/>
          <w:szCs w:val="20"/>
          <w:color w:val="auto"/>
        </w:rPr>
      </w:pPr>
      <w:r>
        <w:rPr>
          <w:rFonts w:ascii="Times New Roman" w:cs="Times New Roman" w:eastAsia="Times New Roman" w:hAnsi="Times New Roman"/>
          <w:sz w:val="16"/>
          <w:szCs w:val="16"/>
          <w:color w:val="auto"/>
        </w:rPr>
        <w:t>12</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Post-Closing Matters</w:t>
      </w:r>
      <w:r>
        <w:rPr>
          <w:rFonts w:ascii="Times New Roman" w:cs="Times New Roman" w:eastAsia="Times New Roman" w:hAnsi="Times New Roman"/>
          <w:sz w:val="14"/>
          <w:szCs w:val="14"/>
          <w:color w:val="auto"/>
        </w:rPr>
        <w:t>. The Borrower shall deliver to the Administrative Agent:</w:t>
      </w:r>
    </w:p>
    <w:p>
      <w:pPr>
        <w:spacing w:after="0" w:line="14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5"/>
          <w:szCs w:val="15"/>
          <w:color w:val="auto"/>
        </w:rPr>
        <w:t>a</w:t>
      </w:r>
      <w:r>
        <w:rPr>
          <w:rFonts w:ascii="Times New Roman" w:cs="Times New Roman" w:eastAsia="Times New Roman" w:hAnsi="Times New Roman"/>
          <w:sz w:val="14"/>
          <w:szCs w:val="14"/>
          <w:color w:val="auto"/>
        </w:rPr>
        <w:t>) on or before September 30, 2025 (or such later date as may be agreed to by the Administrative Agent, provided that such date may not be extended for not more than ten</w:t>
      </w:r>
    </w:p>
    <w:p>
      <w:pPr>
        <w:spacing w:after="0" w:line="30" w:lineRule="exact"/>
        <w:rPr>
          <w:sz w:val="20"/>
          <w:szCs w:val="20"/>
          <w:color w:val="auto"/>
        </w:rPr>
      </w:pPr>
    </w:p>
    <w:p>
      <w:pPr>
        <w:jc w:val="both"/>
        <w:ind w:firstLine="1"/>
        <w:spacing w:after="0" w:line="249" w:lineRule="auto"/>
        <w:tabs>
          <w:tab w:leader="none" w:pos="296"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(i) the restated audited financials required under Section 6.01(a)(i) of the Credit Agreement for the fiscal year ended December 31, 2024 and any other fiscal years for which restated financials are prepared, together with restated calculations of financial covenants for each restated period for which Compliance Certificates were required to be delivered, and (ii) the financials required under Section 6.01(b) of the Credit Agreement for the month ended June 30, 2025;</w:t>
      </w:r>
    </w:p>
    <w:p>
      <w:pPr>
        <w:spacing w:after="0" w:line="113" w:lineRule="exact"/>
        <w:rPr>
          <w:sz w:val="20"/>
          <w:szCs w:val="20"/>
          <w:color w:val="auto"/>
        </w:rPr>
      </w:pPr>
    </w:p>
    <w:p>
      <w:pPr>
        <w:jc w:val="both"/>
        <w:ind w:firstLine="974"/>
        <w:spacing w:after="0" w:line="28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b</w:t>
      </w:r>
      <w:r>
        <w:rPr>
          <w:rFonts w:ascii="Times New Roman" w:cs="Times New Roman" w:eastAsia="Times New Roman" w:hAnsi="Times New Roman"/>
          <w:sz w:val="15"/>
          <w:szCs w:val="15"/>
          <w:color w:val="auto"/>
        </w:rPr>
        <w:t>) together with the monthly financials required under Section 6.01(b) of the Credit Agreement, comparable year-to-date figures with sufficient detail for the Lenders to calculate trailing twelve month EBITDA (excluding Lugano) commencing with the month ending July 31, 2025;</w:t>
      </w:r>
    </w:p>
    <w:p>
      <w:pPr>
        <w:spacing w:after="0" w:line="74" w:lineRule="exact"/>
        <w:rPr>
          <w:sz w:val="20"/>
          <w:szCs w:val="20"/>
          <w:color w:val="auto"/>
        </w:rPr>
      </w:pPr>
    </w:p>
    <w:p>
      <w:pPr>
        <w:jc w:val="both"/>
        <w:ind w:firstLine="974"/>
        <w:spacing w:after="0" w:line="28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c</w:t>
      </w:r>
      <w:r>
        <w:rPr>
          <w:rFonts w:ascii="Times New Roman" w:cs="Times New Roman" w:eastAsia="Times New Roman" w:hAnsi="Times New Roman"/>
          <w:sz w:val="15"/>
          <w:szCs w:val="15"/>
          <w:color w:val="auto"/>
        </w:rPr>
        <w:t>) on or before October 10, 2025 (or such later date as may be agreed to by the Administrative Agent) updated financial projections for the Borrower (excluding Lugano) prepared by management of the Borrower, in form and detail satisfactory to the Administrative Agent; and</w:t>
      </w:r>
    </w:p>
    <w:p>
      <w:pPr>
        <w:spacing w:after="0" w:line="74" w:lineRule="exact"/>
        <w:rPr>
          <w:sz w:val="20"/>
          <w:szCs w:val="20"/>
          <w:color w:val="auto"/>
        </w:rPr>
      </w:pPr>
    </w:p>
    <w:p>
      <w:pPr>
        <w:jc w:val="both"/>
        <w:ind w:firstLine="974"/>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d</w:t>
      </w:r>
      <w:r>
        <w:rPr>
          <w:rFonts w:ascii="Times New Roman" w:cs="Times New Roman" w:eastAsia="Times New Roman" w:hAnsi="Times New Roman"/>
          <w:sz w:val="15"/>
          <w:szCs w:val="15"/>
          <w:color w:val="auto"/>
        </w:rPr>
        <w:t xml:space="preserve">) on or before October 10, 2025, provide an updated report prepared by the Borrower, with input from its advisors outlining the proposed actions to be taken by the Borrower (including, without limitation, specific actions, if any, to address the financial reporting of Lugano Holding, Inc., estimated timelines, responsible officers for overseeing implementation of such actions, and amounts and timing of additional equity to be infused to fund a turnaround plan, if any), such report to be in form and containing such detail as is reasonably acceptable to the Administrative Agent; and; provided, however, that notwithstanding anything to the contrary in this </w:t>
      </w:r>
      <w:r>
        <w:rPr>
          <w:rFonts w:ascii="Times New Roman" w:cs="Times New Roman" w:eastAsia="Times New Roman" w:hAnsi="Times New Roman"/>
          <w:sz w:val="16"/>
          <w:szCs w:val="16"/>
          <w:u w:val="single" w:color="auto"/>
          <w:color w:val="auto"/>
        </w:rPr>
        <w:t>Section 12(d)</w:t>
      </w:r>
      <w:r>
        <w:rPr>
          <w:rFonts w:ascii="Times New Roman" w:cs="Times New Roman" w:eastAsia="Times New Roman" w:hAnsi="Times New Roman"/>
          <w:sz w:val="15"/>
          <w:szCs w:val="15"/>
          <w:color w:val="auto"/>
        </w:rPr>
        <w:t>, such report need not include any information that would be subject to legal privilege.</w:t>
      </w:r>
    </w:p>
    <w:p>
      <w:pPr>
        <w:spacing w:after="0" w:line="153" w:lineRule="exact"/>
        <w:rPr>
          <w:sz w:val="20"/>
          <w:szCs w:val="20"/>
          <w:color w:val="auto"/>
        </w:rPr>
      </w:pPr>
    </w:p>
    <w:p>
      <w:pPr>
        <w:jc w:val="both"/>
        <w:ind w:firstLine="487"/>
        <w:spacing w:after="0" w:line="263" w:lineRule="auto"/>
        <w:rPr>
          <w:sz w:val="20"/>
          <w:szCs w:val="20"/>
          <w:color w:val="auto"/>
        </w:rPr>
      </w:pPr>
      <w:r>
        <w:rPr>
          <w:rFonts w:ascii="Times New Roman" w:cs="Times New Roman" w:eastAsia="Times New Roman" w:hAnsi="Times New Roman"/>
          <w:sz w:val="16"/>
          <w:szCs w:val="16"/>
          <w:color w:val="auto"/>
        </w:rPr>
        <w:t>13</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Administrative Agent’s Financial Advisor</w:t>
      </w:r>
      <w:r>
        <w:rPr>
          <w:rFonts w:ascii="Times New Roman" w:cs="Times New Roman" w:eastAsia="Times New Roman" w:hAnsi="Times New Roman"/>
          <w:sz w:val="16"/>
          <w:szCs w:val="16"/>
          <w:color w:val="auto"/>
        </w:rPr>
        <w:t>. The Administrative Agent, through its counsel, has retained FTI Consulting, LLC, as financial advisor to the Administrative Agent (the “</w:t>
      </w:r>
      <w:r>
        <w:rPr>
          <w:rFonts w:ascii="Times New Roman" w:cs="Times New Roman" w:eastAsia="Times New Roman" w:hAnsi="Times New Roman"/>
          <w:sz w:val="16"/>
          <w:szCs w:val="16"/>
          <w:u w:val="single" w:color="auto"/>
          <w:color w:val="auto"/>
        </w:rPr>
        <w:t>Administrative Agent’s Financial Advisor</w:t>
      </w:r>
      <w:r>
        <w:rPr>
          <w:rFonts w:ascii="Times New Roman" w:cs="Times New Roman" w:eastAsia="Times New Roman" w:hAnsi="Times New Roman"/>
          <w:sz w:val="16"/>
          <w:szCs w:val="16"/>
          <w:color w:val="auto"/>
        </w:rPr>
        <w:t xml:space="preserve">”), to monitor the Borrower’s financial and operational performance. The Borrower shall cooperate with the Administrative Agent’s Financial Advisor and provide the Administrative Agent’s Financial Advisor with reasonable access to the Borrower’s facilities, books and records, officers and consultants and to any information reasonably necessary for the Administrative Agent’s Financial Advisor to perform the services within the scope of its engagement; provided, however, that notwithstanding anything to the contrary in this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such access need not include any access to information that would be subject to legal privilege.</w:t>
      </w:r>
    </w:p>
    <w:p>
      <w:pPr>
        <w:spacing w:after="0" w:line="130" w:lineRule="exact"/>
        <w:rPr>
          <w:sz w:val="20"/>
          <w:szCs w:val="20"/>
          <w:color w:val="auto"/>
        </w:rPr>
      </w:pPr>
    </w:p>
    <w:p>
      <w:pPr>
        <w:jc w:val="both"/>
        <w:ind w:firstLine="487"/>
        <w:spacing w:after="0" w:line="267" w:lineRule="auto"/>
        <w:rPr>
          <w:sz w:val="20"/>
          <w:szCs w:val="20"/>
          <w:color w:val="auto"/>
        </w:rPr>
      </w:pPr>
      <w:r>
        <w:rPr>
          <w:rFonts w:ascii="Times New Roman" w:cs="Times New Roman" w:eastAsia="Times New Roman" w:hAnsi="Times New Roman"/>
          <w:sz w:val="16"/>
          <w:szCs w:val="16"/>
          <w:color w:val="auto"/>
        </w:rPr>
        <w:t>14</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Fees and Expenses</w:t>
      </w:r>
      <w:r>
        <w:rPr>
          <w:rFonts w:ascii="Times New Roman" w:cs="Times New Roman" w:eastAsia="Times New Roman" w:hAnsi="Times New Roman"/>
          <w:sz w:val="14"/>
          <w:szCs w:val="14"/>
          <w:color w:val="auto"/>
        </w:rPr>
        <w:t>. Without in any way limiting the obligations of the Borrower under the Loan Documents, including without limitation Section 10.04 of the Credit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 xml:space="preserve">Agreement, the Borrower </w:t>
      </w:r>
      <w:r>
        <w:rPr>
          <w:rFonts w:ascii="Times New Roman" w:cs="Times New Roman" w:eastAsia="Times New Roman" w:hAnsi="Times New Roman"/>
          <w:sz w:val="16"/>
          <w:szCs w:val="16"/>
          <w:color w:val="auto"/>
        </w:rPr>
        <w:t>shall, within</w:t>
      </w:r>
      <w:r>
        <w:rPr>
          <w:rFonts w:ascii="Times New Roman" w:cs="Times New Roman" w:eastAsia="Times New Roman" w:hAnsi="Times New Roman"/>
          <w:sz w:val="14"/>
          <w:szCs w:val="14"/>
          <w:color w:val="auto"/>
        </w:rPr>
        <w:t xml:space="preserve"> three (3) Business Days after written demand therefor, reimburse the Administrative Agent and any Lender for all of its documented and invoiced out-of-pocket fees and expenses reasonably incurred in connection with this Agreement, the Credit Agreement, and the other Loan Documents (including, without limitation, the documented and invoiced fees and out-of-pocket expenses of (i) Moore &amp; Van Allen PLLC, as counsel to the Administrative Agent, (ii) the Administrative Agent’s Financial Advisor, and (iii) counsel to any Lender).</w:t>
      </w:r>
    </w:p>
    <w:p>
      <w:pPr>
        <w:sectPr>
          <w:pgSz w:w="11900" w:h="16838" w:orient="portrait"/>
          <w:cols w:equalWidth="0" w:num="1">
            <w:col w:w="11280"/>
          </w:cols>
          <w:pgMar w:left="300" w:top="1286" w:right="319" w:bottom="1440" w:gutter="0" w:footer="0" w:header="0"/>
        </w:sectPr>
      </w:pPr>
    </w:p>
    <w:bookmarkStart w:id="11" w:name="page12"/>
    <w:bookmarkEnd w:id="11"/>
    <w:p>
      <w:pPr>
        <w:ind w:left="480"/>
        <w:spacing w:after="0"/>
        <w:rPr>
          <w:sz w:val="20"/>
          <w:szCs w:val="20"/>
          <w:color w:val="auto"/>
        </w:rPr>
      </w:pPr>
      <w:r>
        <w:rPr>
          <w:rFonts w:ascii="Times New Roman" w:cs="Times New Roman" w:eastAsia="Times New Roman" w:hAnsi="Times New Roman"/>
          <w:sz w:val="16"/>
          <w:szCs w:val="16"/>
          <w:color w:val="auto"/>
        </w:rPr>
        <w:t>15</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Conditions Precedent</w:t>
      </w:r>
      <w:r>
        <w:rPr>
          <w:rFonts w:ascii="Times New Roman" w:cs="Times New Roman" w:eastAsia="Times New Roman" w:hAnsi="Times New Roman"/>
          <w:sz w:val="14"/>
          <w:szCs w:val="14"/>
          <w:color w:val="auto"/>
        </w:rPr>
        <w:t>. This Agreement shall be effective on the date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4"/>
          <w:szCs w:val="14"/>
          <w:color w:val="auto"/>
        </w:rPr>
        <w:t>”) that each of the following conditions have been satisfied as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Administrative Agent in its reasonable discretion, or waived by the Administrative Agent in its sole discretion:</w:t>
      </w:r>
    </w:p>
    <w:p>
      <w:pPr>
        <w:spacing w:after="0" w:line="72" w:lineRule="exact"/>
        <w:rPr>
          <w:sz w:val="20"/>
          <w:szCs w:val="20"/>
          <w:color w:val="auto"/>
        </w:rPr>
      </w:pPr>
    </w:p>
    <w:p>
      <w:pPr>
        <w:jc w:val="both"/>
        <w:ind w:firstLine="974"/>
        <w:spacing w:after="0" w:line="28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i w:val="1"/>
          <w:iCs w:val="1"/>
          <w:color w:val="auto"/>
        </w:rPr>
        <w:t>Executed Agreement</w:t>
      </w:r>
      <w:r>
        <w:rPr>
          <w:rFonts w:ascii="Times New Roman" w:cs="Times New Roman" w:eastAsia="Times New Roman" w:hAnsi="Times New Roman"/>
          <w:sz w:val="15"/>
          <w:szCs w:val="15"/>
          <w:color w:val="auto"/>
        </w:rPr>
        <w:t>. The Administrative Agent shall have received a copy of this Agreement duly executed by each of the Borrower, the Lenders constituting the Required Lenders, and the Administrative Agent.</w:t>
      </w:r>
    </w:p>
    <w:p>
      <w:pPr>
        <w:spacing w:after="0" w:line="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i w:val="1"/>
          <w:iCs w:val="1"/>
          <w:color w:val="auto"/>
        </w:rPr>
        <w:t>Administrative Fees</w:t>
      </w:r>
      <w:r>
        <w:rPr>
          <w:rFonts w:ascii="Times New Roman" w:cs="Times New Roman" w:eastAsia="Times New Roman" w:hAnsi="Times New Roman"/>
          <w:sz w:val="15"/>
          <w:szCs w:val="15"/>
          <w:color w:val="auto"/>
        </w:rPr>
        <w:t>. The Administrative Agent shall have received payment of the Administrative Fees for the benefit of the Consenting Lenders.</w:t>
      </w:r>
    </w:p>
    <w:p>
      <w:pPr>
        <w:spacing w:after="0" w:line="141" w:lineRule="exact"/>
        <w:rPr>
          <w:sz w:val="20"/>
          <w:szCs w:val="20"/>
          <w:color w:val="auto"/>
        </w:rPr>
      </w:pPr>
    </w:p>
    <w:p>
      <w:pPr>
        <w:jc w:val="both"/>
        <w:ind w:firstLine="974"/>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i w:val="1"/>
          <w:iCs w:val="1"/>
          <w:color w:val="auto"/>
        </w:rPr>
        <w:t>Officer’s Certificate, Authorizing Resolutions, and Incumbencies.</w:t>
      </w:r>
      <w:r>
        <w:rPr>
          <w:rFonts w:ascii="Times New Roman" w:cs="Times New Roman" w:eastAsia="Times New Roman" w:hAnsi="Times New Roman"/>
          <w:sz w:val="15"/>
          <w:szCs w:val="15"/>
          <w:color w:val="auto"/>
        </w:rPr>
        <w:t xml:space="preserve"> The Administrative Agent shall have received certificates of resolutions or other action, incumbency certificates, and/or other certificates of the Secretary, Assistant Secretary, or other appropriate officer (or member or manager, as the case may be, in the case of limited liability companies) acceptable to the Administrative Agent, of the Borrower, dated as of the Effective Date, reflecting the transactions contemplated by this Agreement and in form reasonably satisfactory to the Administrative Agent;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5"/>
          <w:szCs w:val="15"/>
          <w:color w:val="auto"/>
        </w:rPr>
        <w:t>, that to the extent none of the foregoing has changed since they were most recently delivered to the Administrative Agent for the Borrower, then the Borrower may deliver a customary, short-form “bring down” certificate.</w:t>
      </w:r>
    </w:p>
    <w:p>
      <w:pPr>
        <w:spacing w:after="0" w:line="104" w:lineRule="exact"/>
        <w:rPr>
          <w:sz w:val="20"/>
          <w:szCs w:val="20"/>
          <w:color w:val="auto"/>
        </w:rPr>
      </w:pPr>
    </w:p>
    <w:p>
      <w:pPr>
        <w:jc w:val="both"/>
        <w:ind w:firstLine="974"/>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i w:val="1"/>
          <w:iCs w:val="1"/>
          <w:color w:val="auto"/>
        </w:rPr>
        <w:t>Fees and Expenses</w:t>
      </w:r>
      <w:r>
        <w:rPr>
          <w:rFonts w:ascii="Times New Roman" w:cs="Times New Roman" w:eastAsia="Times New Roman" w:hAnsi="Times New Roman"/>
          <w:sz w:val="15"/>
          <w:szCs w:val="15"/>
          <w:color w:val="auto"/>
        </w:rPr>
        <w:t>. The Administrative Agent shall have received reimbursement from the Borrower for all documented and invoiced out-of-pocket fees and expenses reasonably incurred in connection with this Agreement, the Credit Agreement, and the other Loan Documents (including, without limitation, the documented and invoiced fees and out-of-pocket expenses of (i) Moore &amp; Van Allen PLLC, as counsel to the Administrative Agent, and (ii) the Administrative Agent’s Financial Advisor, in each case through the Effective Date and to the extent invoiced to the Borrower at least one (1) Business Day prior to the Effective Date), except to the extent otherwise agreed by the Administrative Agent.</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16</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Representations of the Borrower</w:t>
      </w:r>
      <w:r>
        <w:rPr>
          <w:rFonts w:ascii="Times New Roman" w:cs="Times New Roman" w:eastAsia="Times New Roman" w:hAnsi="Times New Roman"/>
          <w:sz w:val="14"/>
          <w:szCs w:val="14"/>
          <w:color w:val="auto"/>
        </w:rPr>
        <w:t>. The Borrower represents and warrants to the Administrative Agent and the Lenders as follows:</w:t>
      </w:r>
    </w:p>
    <w:p>
      <w:pPr>
        <w:spacing w:after="0" w:line="100" w:lineRule="exact"/>
        <w:rPr>
          <w:sz w:val="20"/>
          <w:szCs w:val="20"/>
          <w:color w:val="auto"/>
        </w:rPr>
      </w:pPr>
    </w:p>
    <w:p>
      <w:pPr>
        <w:jc w:val="both"/>
        <w:ind w:firstLine="974"/>
        <w:spacing w:after="0" w:line="28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a</w:t>
      </w:r>
      <w:r>
        <w:rPr>
          <w:rFonts w:ascii="Times New Roman" w:cs="Times New Roman" w:eastAsia="Times New Roman" w:hAnsi="Times New Roman"/>
          <w:sz w:val="15"/>
          <w:szCs w:val="15"/>
          <w:color w:val="auto"/>
        </w:rPr>
        <w:t>) The Borrower has the requisite power and authority and has taken all necessary action to authorize the execution, delivery, and performance of this Agreement in accordance with its terms.</w:t>
      </w:r>
    </w:p>
    <w:p>
      <w:pPr>
        <w:spacing w:after="0" w:line="33" w:lineRule="exact"/>
        <w:rPr>
          <w:sz w:val="20"/>
          <w:szCs w:val="20"/>
          <w:color w:val="auto"/>
        </w:rPr>
      </w:pPr>
    </w:p>
    <w:p>
      <w:pPr>
        <w:jc w:val="both"/>
        <w:ind w:firstLine="974"/>
        <w:spacing w:after="0" w:line="28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b</w:t>
      </w:r>
      <w:r>
        <w:rPr>
          <w:rFonts w:ascii="Times New Roman" w:cs="Times New Roman" w:eastAsia="Times New Roman" w:hAnsi="Times New Roman"/>
          <w:sz w:val="15"/>
          <w:szCs w:val="15"/>
          <w:color w:val="auto"/>
        </w:rPr>
        <w:t>) This Agreement has been duly executed and delivered by the Borrower and is the legally valid and binding obligation of the Borrower, enforceable against such Person in accordance with its respective terms, except as may be limited by Debtor Relief Laws or by equitable principles relating to enforceability.</w:t>
      </w:r>
    </w:p>
    <w:p>
      <w:pPr>
        <w:spacing w:after="0" w:line="33" w:lineRule="exact"/>
        <w:rPr>
          <w:sz w:val="20"/>
          <w:szCs w:val="20"/>
          <w:color w:val="auto"/>
        </w:rPr>
      </w:pPr>
    </w:p>
    <w:p>
      <w:pPr>
        <w:jc w:val="both"/>
        <w:ind w:firstLine="974"/>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c</w:t>
      </w:r>
      <w:r>
        <w:rPr>
          <w:rFonts w:ascii="Times New Roman" w:cs="Times New Roman" w:eastAsia="Times New Roman" w:hAnsi="Times New Roman"/>
          <w:sz w:val="15"/>
          <w:szCs w:val="15"/>
          <w:color w:val="auto"/>
        </w:rPr>
        <w:t>) The execution, delivery, and performance by the Borrower of this Agreement and the consummation of the transactions contemplated by this Agreement do not and will not require, as a condition to the effectiveness thereof, any registration with, consent, or approval of, or notice to, or other action to, with, or by, any Governmental Authority except (i) to the extent already obtained, (ii) for filings necessary to perfect, and/or maintain the perfection of, the Liens created under the Loan Documents or (iii) for filings, recordings, or consents where failure to obtain or make could not reasonably be expected to have a Material Adverse Effect.</w:t>
      </w:r>
    </w:p>
    <w:p>
      <w:pPr>
        <w:sectPr>
          <w:pgSz w:w="11900" w:h="16838" w:orient="portrait"/>
          <w:cols w:equalWidth="0" w:num="1">
            <w:col w:w="11280"/>
          </w:cols>
          <w:pgMar w:left="300" w:top="1225" w:right="319" w:bottom="1440" w:gutter="0" w:footer="0" w:header="0"/>
        </w:sectPr>
      </w:pPr>
    </w:p>
    <w:bookmarkStart w:id="12" w:name="page13"/>
    <w:bookmarkEnd w:id="12"/>
    <w:p>
      <w:pPr>
        <w:jc w:val="both"/>
        <w:ind w:firstLine="974"/>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After giving effect to this Agreement: (i) the representations and warranties of the Borrower set forth in the Loan Documents (other than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representations and warranties set forth in Section 5.05, Section 5.06, Section 5.07, and Section 5.16 of the Credit Agreement, solely as they relate to the Lugano Events of Default) are true and correct in all material respects (but without duplication of any existing materiality qualifiers) on and as of the Effective Date to the same extent as though made on and as of such date except to the extent such representations and warranties specifically relate to an earlier date (in which case they are true, accurate and complete in all material respects (but without duplication of any existing materiality qualifiers) as of such earlier date); and (ii) no Default or Event of Default (other than any Lugano Event of Default) exists on and as of the Effective Date.</w:t>
      </w:r>
    </w:p>
    <w:p>
      <w:pPr>
        <w:spacing w:after="0" w:line="52" w:lineRule="exact"/>
        <w:rPr>
          <w:sz w:val="20"/>
          <w:szCs w:val="20"/>
          <w:color w:val="auto"/>
        </w:rPr>
      </w:pPr>
    </w:p>
    <w:p>
      <w:pPr>
        <w:jc w:val="both"/>
        <w:ind w:firstLine="487"/>
        <w:spacing w:after="0" w:line="267" w:lineRule="auto"/>
        <w:rPr>
          <w:sz w:val="20"/>
          <w:szCs w:val="20"/>
          <w:color w:val="auto"/>
        </w:rPr>
      </w:pPr>
      <w:r>
        <w:rPr>
          <w:rFonts w:ascii="Times New Roman" w:cs="Times New Roman" w:eastAsia="Times New Roman" w:hAnsi="Times New Roman"/>
          <w:sz w:val="15"/>
          <w:szCs w:val="15"/>
          <w:color w:val="auto"/>
        </w:rPr>
        <w:t>If any representation and warranty set forth in this Section is incorrect in any material respect, then such incorrect representation and warranty shall constitute a new and immediate Forbearance Termination Event without regard to any otherwise applicable notice, cure, or grace period.</w:t>
      </w:r>
    </w:p>
    <w:p>
      <w:pPr>
        <w:spacing w:after="0" w:line="160" w:lineRule="exact"/>
        <w:rPr>
          <w:sz w:val="20"/>
          <w:szCs w:val="20"/>
          <w:color w:val="auto"/>
        </w:rPr>
      </w:pPr>
    </w:p>
    <w:p>
      <w:pPr>
        <w:jc w:val="both"/>
        <w:ind w:firstLine="487"/>
        <w:spacing w:after="0" w:line="267" w:lineRule="auto"/>
        <w:rPr>
          <w:sz w:val="20"/>
          <w:szCs w:val="20"/>
          <w:color w:val="auto"/>
        </w:rPr>
      </w:pPr>
      <w:r>
        <w:rPr>
          <w:rFonts w:ascii="Times New Roman" w:cs="Times New Roman" w:eastAsia="Times New Roman" w:hAnsi="Times New Roman"/>
          <w:sz w:val="16"/>
          <w:szCs w:val="16"/>
          <w:color w:val="auto"/>
        </w:rPr>
        <w:t>17</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Release</w:t>
      </w:r>
      <w:r>
        <w:rPr>
          <w:rFonts w:ascii="Times New Roman" w:cs="Times New Roman" w:eastAsia="Times New Roman" w:hAnsi="Times New Roman"/>
          <w:sz w:val="14"/>
          <w:szCs w:val="14"/>
          <w:color w:val="auto"/>
        </w:rPr>
        <w:t>. The Borrower hereby releases and forever discharges the Administrative Agent, the Swing Line Lender, the L/C Issuer, each Lender, and each of their respective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predecessors, successors, assigns, and Related Parties (each and every of the foregoing, a “</w:t>
      </w:r>
      <w:r>
        <w:rPr>
          <w:rFonts w:ascii="Times New Roman" w:cs="Times New Roman" w:eastAsia="Times New Roman" w:hAnsi="Times New Roman"/>
          <w:sz w:val="16"/>
          <w:szCs w:val="16"/>
          <w:u w:val="single" w:color="auto"/>
          <w:color w:val="auto"/>
        </w:rPr>
        <w:t>Released Party</w:t>
      </w:r>
      <w:r>
        <w:rPr>
          <w:rFonts w:ascii="Times New Roman" w:cs="Times New Roman" w:eastAsia="Times New Roman" w:hAnsi="Times New Roman"/>
          <w:sz w:val="14"/>
          <w:szCs w:val="14"/>
          <w:color w:val="auto"/>
        </w:rPr>
        <w:t>”) from any and all claims, counterclaims, demands, damages, debts, suits, liabilities, actions, and causes of action of any nature whatsoever, in each case through the Effective Date, whether arising at law or in equity, whether known or unknown, whether liability be direct or indirect, whether liquidated or unliquidated, whether absolute or contingent, whether foreseen or unforeseen, and whether or not heretofore asserted, which the Borrower may have or claim to have against any Released Party.</w:t>
      </w:r>
    </w:p>
    <w:p>
      <w:pPr>
        <w:spacing w:after="0" w:line="349" w:lineRule="exact"/>
        <w:rPr>
          <w:sz w:val="20"/>
          <w:szCs w:val="20"/>
          <w:color w:val="auto"/>
        </w:rPr>
      </w:pPr>
    </w:p>
    <w:p>
      <w:pPr>
        <w:jc w:val="both"/>
        <w:ind w:firstLine="487"/>
        <w:spacing w:after="0" w:line="284" w:lineRule="auto"/>
        <w:rPr>
          <w:sz w:val="20"/>
          <w:szCs w:val="20"/>
          <w:color w:val="auto"/>
        </w:rPr>
      </w:pPr>
      <w:r>
        <w:rPr>
          <w:rFonts w:ascii="Times New Roman" w:cs="Times New Roman" w:eastAsia="Times New Roman" w:hAnsi="Times New Roman"/>
          <w:sz w:val="16"/>
          <w:szCs w:val="16"/>
          <w:color w:val="auto"/>
        </w:rPr>
        <w:t>18</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No Actions, Claims</w:t>
      </w:r>
      <w:r>
        <w:rPr>
          <w:rFonts w:ascii="Times New Roman" w:cs="Times New Roman" w:eastAsia="Times New Roman" w:hAnsi="Times New Roman"/>
          <w:sz w:val="14"/>
          <w:szCs w:val="14"/>
          <w:color w:val="auto"/>
        </w:rPr>
        <w:t>. The Borrower hereby represents, warrants, acknowledges, and confirms that the Borrower has no knowledge of any action, cause of action, claim,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demand, damage, or liability of whatever kind or nature, in law or in equity, against any Released Party arising from any action by such Person, or failure of such Person to act, in any way on or prior to the date hereof.</w:t>
      </w:r>
    </w:p>
    <w:p>
      <w:pPr>
        <w:spacing w:after="0" w:line="323" w:lineRule="exact"/>
        <w:rPr>
          <w:sz w:val="20"/>
          <w:szCs w:val="20"/>
          <w:color w:val="auto"/>
        </w:rPr>
      </w:pPr>
    </w:p>
    <w:p>
      <w:pPr>
        <w:jc w:val="both"/>
        <w:ind w:firstLine="487"/>
        <w:spacing w:after="0" w:line="276" w:lineRule="auto"/>
        <w:rPr>
          <w:sz w:val="20"/>
          <w:szCs w:val="20"/>
          <w:color w:val="auto"/>
        </w:rPr>
      </w:pPr>
      <w:r>
        <w:rPr>
          <w:rFonts w:ascii="Times New Roman" w:cs="Times New Roman" w:eastAsia="Times New Roman" w:hAnsi="Times New Roman"/>
          <w:sz w:val="16"/>
          <w:szCs w:val="16"/>
          <w:color w:val="auto"/>
        </w:rPr>
        <w:t>19</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Incorporation of Agreement</w:t>
      </w:r>
      <w:r>
        <w:rPr>
          <w:rFonts w:ascii="Times New Roman" w:cs="Times New Roman" w:eastAsia="Times New Roman" w:hAnsi="Times New Roman"/>
          <w:sz w:val="14"/>
          <w:szCs w:val="14"/>
          <w:color w:val="auto"/>
        </w:rPr>
        <w:t>. Except as specifically modified herein, the terms of the Loan Documents shall remain in full force and effect. The execution, delivery,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effectiveness of this Agreement shall not operate as a waiver of any right, power, or remedy of the Administrative Agent or the Lenders under the Loan Documents or constitute a waiver or amendment of any provision of the Loan Documents. The breach of any covenant or provision of this Agreement shall constitute an immediate Forbearance Termination Event and this Agreement shall constitute a Loan Document.</w:t>
      </w:r>
    </w:p>
    <w:p>
      <w:pPr>
        <w:spacing w:after="0" w:line="157" w:lineRule="exact"/>
        <w:rPr>
          <w:sz w:val="20"/>
          <w:szCs w:val="20"/>
          <w:color w:val="auto"/>
        </w:rPr>
      </w:pPr>
    </w:p>
    <w:p>
      <w:pPr>
        <w:jc w:val="both"/>
        <w:ind w:firstLine="487"/>
        <w:spacing w:after="0" w:line="277" w:lineRule="auto"/>
        <w:rPr>
          <w:sz w:val="20"/>
          <w:szCs w:val="20"/>
          <w:color w:val="auto"/>
        </w:rPr>
      </w:pPr>
      <w:r>
        <w:rPr>
          <w:rFonts w:ascii="Times New Roman" w:cs="Times New Roman" w:eastAsia="Times New Roman" w:hAnsi="Times New Roman"/>
          <w:sz w:val="16"/>
          <w:szCs w:val="16"/>
          <w:color w:val="auto"/>
        </w:rPr>
        <w:t>20</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No Third-Party Beneficiaries</w:t>
      </w:r>
      <w:r>
        <w:rPr>
          <w:rFonts w:ascii="Times New Roman" w:cs="Times New Roman" w:eastAsia="Times New Roman" w:hAnsi="Times New Roman"/>
          <w:sz w:val="14"/>
          <w:szCs w:val="14"/>
          <w:color w:val="auto"/>
        </w:rPr>
        <w:t>. This Agreement and the rights and benefits hereof shall inure to the benefit of each of the parties hereto and their respective successors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 xml:space="preserve">assigns, and the obligations hereof shall be binding upon the Borrower. No other Person shall have or be entitled to assert rights or benefits under this Agreement, other than any non-party Released Party with respect to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6"/>
          <w:szCs w:val="16"/>
          <w:u w:val="single" w:color="auto"/>
          <w:color w:val="auto"/>
        </w:rPr>
        <w:t>Section 18</w:t>
      </w:r>
      <w:r>
        <w:rPr>
          <w:rFonts w:ascii="Times New Roman" w:cs="Times New Roman" w:eastAsia="Times New Roman" w:hAnsi="Times New Roman"/>
          <w:sz w:val="14"/>
          <w:szCs w:val="14"/>
          <w:color w:val="auto"/>
        </w:rPr>
        <w:t xml:space="preserve"> hereof (which Persons are intended to be third party beneficiaries of this Agreement).</w:t>
      </w:r>
    </w:p>
    <w:p>
      <w:pPr>
        <w:spacing w:after="0" w:line="151" w:lineRule="exact"/>
        <w:rPr>
          <w:sz w:val="20"/>
          <w:szCs w:val="20"/>
          <w:color w:val="auto"/>
        </w:rPr>
      </w:pPr>
    </w:p>
    <w:p>
      <w:pPr>
        <w:jc w:val="both"/>
        <w:ind w:firstLine="487"/>
        <w:spacing w:after="0" w:line="262" w:lineRule="auto"/>
        <w:rPr>
          <w:sz w:val="20"/>
          <w:szCs w:val="20"/>
          <w:color w:val="auto"/>
        </w:rPr>
      </w:pPr>
      <w:r>
        <w:rPr>
          <w:rFonts w:ascii="Times New Roman" w:cs="Times New Roman" w:eastAsia="Times New Roman" w:hAnsi="Times New Roman"/>
          <w:sz w:val="16"/>
          <w:szCs w:val="16"/>
          <w:color w:val="auto"/>
        </w:rPr>
        <w:t>21</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Entirety</w:t>
      </w:r>
      <w:r>
        <w:rPr>
          <w:rFonts w:ascii="Times New Roman" w:cs="Times New Roman" w:eastAsia="Times New Roman" w:hAnsi="Times New Roman"/>
          <w:sz w:val="14"/>
          <w:szCs w:val="14"/>
          <w:color w:val="auto"/>
        </w:rPr>
        <w:t>. This Agreement, the Credit Agreement, and the other Loan Documents embody the entire agreement among the parties hereto and supersede all prior agreements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understandings, oral or written, if any, relating to the subject matter hereof. This Agreement, the Credit Agreement, and the other Loan Documents represent the final agreement between the parties and may not be contradicted by evidence of prior, contemporaneous, or subsequent oral agreements of the parties.</w:t>
      </w:r>
    </w:p>
    <w:p>
      <w:pPr>
        <w:sectPr>
          <w:pgSz w:w="11900" w:h="16838" w:orient="portrait"/>
          <w:cols w:equalWidth="0" w:num="1">
            <w:col w:w="11280"/>
          </w:cols>
          <w:pgMar w:left="300" w:top="1185" w:right="319" w:bottom="1440" w:gutter="0" w:footer="0" w:header="0"/>
        </w:sectPr>
      </w:pPr>
    </w:p>
    <w:bookmarkStart w:id="13" w:name="page14"/>
    <w:bookmarkEnd w:id="13"/>
    <w:p>
      <w:pPr>
        <w:ind w:left="480"/>
        <w:spacing w:after="0"/>
        <w:rPr>
          <w:sz w:val="20"/>
          <w:szCs w:val="20"/>
          <w:color w:val="auto"/>
        </w:rPr>
      </w:pPr>
      <w:r>
        <w:rPr>
          <w:rFonts w:ascii="Times New Roman" w:cs="Times New Roman" w:eastAsia="Times New Roman" w:hAnsi="Times New Roman"/>
          <w:sz w:val="16"/>
          <w:szCs w:val="16"/>
          <w:color w:val="auto"/>
        </w:rPr>
        <w:t>22</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4"/>
          <w:szCs w:val="14"/>
          <w:color w:val="auto"/>
        </w:rPr>
        <w:t>. This Agreement may be executed in counterparts (and by different parties hereto in different counterparts), each of which shall constitute an original, but all of</w:t>
      </w:r>
    </w:p>
    <w:p>
      <w:pPr>
        <w:spacing w:after="0" w:line="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which when taken together shall constitute a single contract. Delivery of an executed counterpart of a signature page of this Agreement by telecopy or other electronic imaging means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5"/>
          <w:szCs w:val="15"/>
          <w:color w:val="auto"/>
        </w:rPr>
        <w:t>, “pdf” or “tif” format) shall be effective as delivery of a manually executed counterpart of this Agreement.</w:t>
      </w:r>
    </w:p>
    <w:p>
      <w:pPr>
        <w:spacing w:after="0" w:line="145" w:lineRule="exact"/>
        <w:rPr>
          <w:sz w:val="20"/>
          <w:szCs w:val="20"/>
          <w:color w:val="auto"/>
        </w:rPr>
      </w:pPr>
    </w:p>
    <w:p>
      <w:pPr>
        <w:jc w:val="both"/>
        <w:ind w:firstLine="487"/>
        <w:spacing w:after="0" w:line="286" w:lineRule="auto"/>
        <w:rPr>
          <w:sz w:val="20"/>
          <w:szCs w:val="20"/>
          <w:color w:val="auto"/>
        </w:rPr>
      </w:pPr>
      <w:r>
        <w:rPr>
          <w:rFonts w:ascii="Times New Roman" w:cs="Times New Roman" w:eastAsia="Times New Roman" w:hAnsi="Times New Roman"/>
          <w:sz w:val="16"/>
          <w:szCs w:val="16"/>
          <w:color w:val="auto"/>
        </w:rPr>
        <w:t>23</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Governing Law; Jurisdiction; Consent to Service of Process; Waiver of Jury Trial</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The governing law, jurisdiction, consent to service of process, and waiver of jury trial provisions contained in Sections 10.14 and 10.15 of the Credit Agreement are hereby incorporated by reference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w:t>
      </w:r>
    </w:p>
    <w:p>
      <w:pPr>
        <w:spacing w:after="0" w:line="120" w:lineRule="exact"/>
        <w:rPr>
          <w:sz w:val="20"/>
          <w:szCs w:val="20"/>
          <w:color w:val="auto"/>
        </w:rPr>
      </w:pPr>
    </w:p>
    <w:p>
      <w:pPr>
        <w:jc w:val="both"/>
        <w:ind w:firstLine="487"/>
        <w:spacing w:after="0" w:line="291" w:lineRule="auto"/>
        <w:rPr>
          <w:sz w:val="20"/>
          <w:szCs w:val="20"/>
          <w:color w:val="auto"/>
        </w:rPr>
      </w:pPr>
      <w:r>
        <w:rPr>
          <w:rFonts w:ascii="Times New Roman" w:cs="Times New Roman" w:eastAsia="Times New Roman" w:hAnsi="Times New Roman"/>
          <w:sz w:val="16"/>
          <w:szCs w:val="16"/>
          <w:color w:val="auto"/>
        </w:rPr>
        <w:t>24</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4"/>
          <w:szCs w:val="14"/>
          <w:color w:val="auto"/>
        </w:rPr>
        <w:t>. Each of the parties hereto agrees to execute and deliver, or to cause to be executed and delivered, all such instruments as may reasonably be requested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effectuate the intent and purposes, and to carry out the terms, of this Agreement.</w:t>
      </w:r>
    </w:p>
    <w:p>
      <w:pPr>
        <w:spacing w:after="0" w:line="120" w:lineRule="exact"/>
        <w:rPr>
          <w:sz w:val="20"/>
          <w:szCs w:val="20"/>
          <w:color w:val="auto"/>
        </w:rPr>
      </w:pPr>
    </w:p>
    <w:p>
      <w:pPr>
        <w:jc w:val="both"/>
        <w:ind w:firstLine="487"/>
        <w:spacing w:after="0" w:line="272" w:lineRule="auto"/>
        <w:rPr>
          <w:sz w:val="20"/>
          <w:szCs w:val="20"/>
          <w:color w:val="auto"/>
        </w:rPr>
      </w:pPr>
      <w:r>
        <w:rPr>
          <w:rFonts w:ascii="Times New Roman" w:cs="Times New Roman" w:eastAsia="Times New Roman" w:hAnsi="Times New Roman"/>
          <w:sz w:val="16"/>
          <w:szCs w:val="16"/>
          <w:color w:val="auto"/>
        </w:rPr>
        <w:t>25</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4"/>
          <w:szCs w:val="14"/>
          <w:color w:val="auto"/>
        </w:rPr>
        <w:t>. Section headings in this Agreement are included herein for convenience of reference only and shall not constitute a part of this Agreement for any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purpose. Wherever possible, each provision of this Agreement shall be interpreted in such a manner as to be effective and valid under applicable law, but if any provision of this Agreement shall be prohibited by or invalid under applicable law, then such provision shall be ineffective to the extent of such prohibition or invalidity, without invalidating the remainder of such provision or the remaining provisions of this Agreement. Except as otherwise provided in this Agreement, if any provision contained in this Agreement conflicts with, or is inconsistent with, any provision in any Loan Document, then the provision contained in this Agreement shall govern and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Remainder of page intentionally left blank.</w:t>
      </w:r>
      <w:r>
        <w:rPr>
          <w:rFonts w:ascii="Times New Roman" w:cs="Times New Roman" w:eastAsia="Times New Roman" w:hAnsi="Times New Roman"/>
          <w:sz w:val="15"/>
          <w:szCs w:val="15"/>
          <w:color w:val="auto"/>
        </w:rPr>
        <w:t>]</w:t>
      </w:r>
    </w:p>
    <w:p>
      <w:pPr>
        <w:sectPr>
          <w:pgSz w:w="11900" w:h="16838" w:orient="portrait"/>
          <w:cols w:equalWidth="0" w:num="1">
            <w:col w:w="11280"/>
          </w:cols>
          <w:pgMar w:left="300" w:top="1266" w:right="319"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5"/>
          <w:szCs w:val="15"/>
          <w:color w:val="auto"/>
        </w:rPr>
        <w:t xml:space="preserve">IN WITNESS WHEREOF, </w:t>
      </w:r>
      <w:r>
        <w:rPr>
          <w:rFonts w:ascii="Times New Roman" w:cs="Times New Roman" w:eastAsia="Times New Roman" w:hAnsi="Times New Roman"/>
          <w:sz w:val="13"/>
          <w:szCs w:val="13"/>
          <w:color w:val="2F2F2F"/>
        </w:rPr>
        <w:t>the parties hereto have caused this Agreement to be duly executed as of the date first above written.</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40" w:type="dxa"/>
            <w:vAlign w:val="bottom"/>
          </w:tcPr>
          <w:p>
            <w:pPr>
              <w:spacing w:after="0"/>
              <w:rPr>
                <w:sz w:val="20"/>
                <w:szCs w:val="20"/>
                <w:color w:val="auto"/>
              </w:rPr>
            </w:pPr>
            <w:r>
              <w:rPr>
                <w:rFonts w:ascii="Times New Roman" w:cs="Times New Roman" w:eastAsia="Times New Roman" w:hAnsi="Times New Roman"/>
                <w:sz w:val="15"/>
                <w:szCs w:val="15"/>
                <w:color w:val="auto"/>
              </w:rPr>
              <w:t>BORROWER:</w:t>
            </w:r>
          </w:p>
        </w:tc>
        <w:tc>
          <w:tcPr>
            <w:tcW w:w="6300" w:type="dxa"/>
            <w:vAlign w:val="bottom"/>
            <w:gridSpan w:val="2"/>
          </w:tcPr>
          <w:p>
            <w:pPr>
              <w:ind w:left="1840"/>
              <w:spacing w:after="0"/>
              <w:rPr>
                <w:sz w:val="20"/>
                <w:szCs w:val="20"/>
                <w:color w:val="auto"/>
              </w:rPr>
            </w:pPr>
            <w:r>
              <w:rPr>
                <w:rFonts w:ascii="Times New Roman" w:cs="Times New Roman" w:eastAsia="Times New Roman" w:hAnsi="Times New Roman"/>
                <w:sz w:val="15"/>
                <w:szCs w:val="15"/>
                <w:color w:val="auto"/>
              </w:rPr>
              <w:t>COMPASS GROUP DIVERSIFIED HOLDINGS LLC,</w:t>
            </w:r>
          </w:p>
        </w:tc>
      </w:tr>
      <w:tr>
        <w:trPr>
          <w:trHeight w:val="193"/>
        </w:trPr>
        <w:tc>
          <w:tcPr>
            <w:tcW w:w="2740" w:type="dxa"/>
            <w:vAlign w:val="bottom"/>
          </w:tcPr>
          <w:p>
            <w:pPr>
              <w:spacing w:after="0"/>
              <w:rPr>
                <w:sz w:val="16"/>
                <w:szCs w:val="16"/>
                <w:color w:val="auto"/>
              </w:rPr>
            </w:pPr>
          </w:p>
        </w:tc>
        <w:tc>
          <w:tcPr>
            <w:tcW w:w="6300" w:type="dxa"/>
            <w:vAlign w:val="bottom"/>
            <w:gridSpan w:val="2"/>
          </w:tcPr>
          <w:p>
            <w:pPr>
              <w:ind w:left="1840"/>
              <w:spacing w:after="0"/>
              <w:rPr>
                <w:sz w:val="20"/>
                <w:szCs w:val="20"/>
                <w:color w:val="auto"/>
              </w:rPr>
            </w:pPr>
            <w:r>
              <w:rPr>
                <w:rFonts w:ascii="Times New Roman" w:cs="Times New Roman" w:eastAsia="Times New Roman" w:hAnsi="Times New Roman"/>
                <w:sz w:val="15"/>
                <w:szCs w:val="15"/>
                <w:color w:val="auto"/>
              </w:rPr>
              <w:t>a Delaware limited liability company</w:t>
            </w:r>
          </w:p>
        </w:tc>
      </w:tr>
      <w:tr>
        <w:trPr>
          <w:trHeight w:val="396"/>
        </w:trPr>
        <w:tc>
          <w:tcPr>
            <w:tcW w:w="2740" w:type="dxa"/>
            <w:vAlign w:val="bottom"/>
          </w:tcPr>
          <w:p>
            <w:pPr>
              <w:spacing w:after="0"/>
              <w:rPr>
                <w:sz w:val="24"/>
                <w:szCs w:val="24"/>
                <w:color w:val="auto"/>
              </w:rPr>
            </w:pPr>
          </w:p>
        </w:tc>
        <w:tc>
          <w:tcPr>
            <w:tcW w:w="2820" w:type="dxa"/>
            <w:vAlign w:val="bottom"/>
          </w:tcPr>
          <w:p>
            <w:pPr>
              <w:ind w:left="1840"/>
              <w:spacing w:after="0"/>
              <w:rPr>
                <w:sz w:val="20"/>
                <w:szCs w:val="20"/>
                <w:color w:val="auto"/>
              </w:rPr>
            </w:pPr>
            <w:r>
              <w:rPr>
                <w:rFonts w:ascii="Times New Roman" w:cs="Times New Roman" w:eastAsia="Times New Roman" w:hAnsi="Times New Roman"/>
                <w:sz w:val="15"/>
                <w:szCs w:val="15"/>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Stephen Keller</w:t>
            </w:r>
          </w:p>
        </w:tc>
      </w:tr>
      <w:tr>
        <w:trPr>
          <w:trHeight w:val="183"/>
        </w:trPr>
        <w:tc>
          <w:tcPr>
            <w:tcW w:w="2740" w:type="dxa"/>
            <w:vAlign w:val="bottom"/>
          </w:tcPr>
          <w:p>
            <w:pPr>
              <w:spacing w:after="0"/>
              <w:rPr>
                <w:sz w:val="15"/>
                <w:szCs w:val="15"/>
                <w:color w:val="auto"/>
              </w:rPr>
            </w:pPr>
          </w:p>
        </w:tc>
        <w:tc>
          <w:tcPr>
            <w:tcW w:w="2820" w:type="dxa"/>
            <w:vAlign w:val="bottom"/>
          </w:tcPr>
          <w:p>
            <w:pPr>
              <w:ind w:left="1840"/>
              <w:spacing w:after="0"/>
              <w:rPr>
                <w:sz w:val="20"/>
                <w:szCs w:val="20"/>
                <w:color w:val="auto"/>
              </w:rPr>
            </w:pPr>
            <w:r>
              <w:rPr>
                <w:rFonts w:ascii="Times New Roman" w:cs="Times New Roman" w:eastAsia="Times New Roman" w:hAnsi="Times New Roman"/>
                <w:sz w:val="15"/>
                <w:szCs w:val="15"/>
                <w:color w:val="auto"/>
              </w:rPr>
              <w:t>Name:</w:t>
            </w:r>
          </w:p>
        </w:tc>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Stephen Keller</w:t>
            </w:r>
          </w:p>
        </w:tc>
      </w:tr>
      <w:tr>
        <w:trPr>
          <w:trHeight w:val="193"/>
        </w:trPr>
        <w:tc>
          <w:tcPr>
            <w:tcW w:w="2740" w:type="dxa"/>
            <w:vAlign w:val="bottom"/>
          </w:tcPr>
          <w:p>
            <w:pPr>
              <w:spacing w:after="0"/>
              <w:rPr>
                <w:sz w:val="16"/>
                <w:szCs w:val="16"/>
                <w:color w:val="auto"/>
              </w:rPr>
            </w:pPr>
          </w:p>
        </w:tc>
        <w:tc>
          <w:tcPr>
            <w:tcW w:w="2820" w:type="dxa"/>
            <w:vAlign w:val="bottom"/>
          </w:tcPr>
          <w:p>
            <w:pPr>
              <w:ind w:left="1840"/>
              <w:spacing w:after="0"/>
              <w:rPr>
                <w:sz w:val="20"/>
                <w:szCs w:val="20"/>
                <w:color w:val="auto"/>
              </w:rPr>
            </w:pPr>
            <w:r>
              <w:rPr>
                <w:rFonts w:ascii="Times New Roman" w:cs="Times New Roman" w:eastAsia="Times New Roman" w:hAnsi="Times New Roman"/>
                <w:sz w:val="15"/>
                <w:szCs w:val="15"/>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bl>
    <w:p>
      <w:pPr>
        <w:sectPr>
          <w:pgSz w:w="11900" w:h="16838" w:orient="portrait"/>
          <w:cols w:equalWidth="0" w:num="1">
            <w:col w:w="10139"/>
          </w:cols>
          <w:pgMar w:left="320" w:top="1280" w:right="1440" w:bottom="1440" w:gutter="0" w:footer="0" w:header="0"/>
        </w:sectPr>
      </w:pPr>
    </w:p>
    <w:bookmarkStart w:id="15" w:name="page16"/>
    <w:bookmarkEnd w:id="15"/>
    <w:p>
      <w:pPr>
        <w:spacing w:after="0" w:line="53" w:lineRule="exact"/>
        <w:rPr>
          <w:sz w:val="20"/>
          <w:szCs w:val="20"/>
          <w:color w:val="auto"/>
        </w:rPr>
      </w:pPr>
    </w:p>
    <w:tbl>
      <w:tblPr>
        <w:tblLayout w:type="fixed"/>
        <w:tblInd w:w="1800" w:type="dxa"/>
        <w:tblCellMar>
          <w:top w:w="0" w:type="dxa"/>
          <w:left w:w="0" w:type="dxa"/>
          <w:bottom w:w="0" w:type="dxa"/>
          <w:right w:w="0" w:type="dxa"/>
        </w:tblCellMar>
      </w:tblPr>
      <w:tr>
        <w:trPr>
          <w:trHeight w:val="193"/>
        </w:trPr>
        <w:tc>
          <w:tcPr>
            <w:tcW w:w="3200" w:type="dxa"/>
            <w:vAlign w:val="bottom"/>
          </w:tcPr>
          <w:p>
            <w:pPr>
              <w:spacing w:after="0"/>
              <w:rPr>
                <w:sz w:val="20"/>
                <w:szCs w:val="20"/>
                <w:color w:val="auto"/>
              </w:rPr>
            </w:pPr>
            <w:r>
              <w:rPr>
                <w:rFonts w:ascii="Times New Roman" w:cs="Times New Roman" w:eastAsia="Times New Roman" w:hAnsi="Times New Roman"/>
                <w:sz w:val="15"/>
                <w:szCs w:val="15"/>
                <w:color w:val="auto"/>
              </w:rPr>
              <w:t>ADMINISTRATIVE AGENT:</w:t>
            </w:r>
          </w:p>
        </w:tc>
        <w:tc>
          <w:tcPr>
            <w:tcW w:w="5220" w:type="dxa"/>
            <w:vAlign w:val="bottom"/>
            <w:gridSpan w:val="2"/>
          </w:tcPr>
          <w:p>
            <w:pPr>
              <w:ind w:left="1380"/>
              <w:spacing w:after="0"/>
              <w:rPr>
                <w:sz w:val="20"/>
                <w:szCs w:val="20"/>
                <w:color w:val="auto"/>
              </w:rPr>
            </w:pPr>
            <w:r>
              <w:rPr>
                <w:rFonts w:ascii="Times New Roman" w:cs="Times New Roman" w:eastAsia="Times New Roman" w:hAnsi="Times New Roman"/>
                <w:sz w:val="15"/>
                <w:szCs w:val="15"/>
                <w:color w:val="auto"/>
              </w:rPr>
              <w:t>BANK OF AMERICA, N.A., as Administrative Agent</w:t>
            </w:r>
          </w:p>
        </w:tc>
      </w:tr>
      <w:tr>
        <w:trPr>
          <w:trHeight w:val="396"/>
        </w:trPr>
        <w:tc>
          <w:tcPr>
            <w:tcW w:w="3200" w:type="dxa"/>
            <w:vAlign w:val="bottom"/>
          </w:tcPr>
          <w:p>
            <w:pPr>
              <w:spacing w:after="0"/>
              <w:rPr>
                <w:sz w:val="24"/>
                <w:szCs w:val="24"/>
                <w:color w:val="auto"/>
              </w:rPr>
            </w:pPr>
          </w:p>
        </w:tc>
        <w:tc>
          <w:tcPr>
            <w:tcW w:w="2360" w:type="dxa"/>
            <w:vAlign w:val="bottom"/>
          </w:tcPr>
          <w:p>
            <w:pPr>
              <w:ind w:left="1380"/>
              <w:spacing w:after="0"/>
              <w:rPr>
                <w:sz w:val="20"/>
                <w:szCs w:val="20"/>
                <w:color w:val="auto"/>
              </w:rPr>
            </w:pPr>
            <w:r>
              <w:rPr>
                <w:rFonts w:ascii="Times New Roman" w:cs="Times New Roman" w:eastAsia="Times New Roman" w:hAnsi="Times New Roman"/>
                <w:sz w:val="15"/>
                <w:szCs w:val="15"/>
                <w:color w:val="auto"/>
              </w:rPr>
              <w:t>By:</w:t>
            </w: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Kelly Weaver</w:t>
            </w:r>
          </w:p>
        </w:tc>
      </w:tr>
      <w:tr>
        <w:trPr>
          <w:trHeight w:val="183"/>
        </w:trPr>
        <w:tc>
          <w:tcPr>
            <w:tcW w:w="3200" w:type="dxa"/>
            <w:vAlign w:val="bottom"/>
          </w:tcPr>
          <w:p>
            <w:pPr>
              <w:spacing w:after="0"/>
              <w:rPr>
                <w:sz w:val="15"/>
                <w:szCs w:val="15"/>
                <w:color w:val="auto"/>
              </w:rPr>
            </w:pPr>
          </w:p>
        </w:tc>
        <w:tc>
          <w:tcPr>
            <w:tcW w:w="2360" w:type="dxa"/>
            <w:vAlign w:val="bottom"/>
          </w:tcPr>
          <w:p>
            <w:pPr>
              <w:ind w:left="1380"/>
              <w:spacing w:after="0"/>
              <w:rPr>
                <w:sz w:val="20"/>
                <w:szCs w:val="20"/>
                <w:color w:val="auto"/>
              </w:rPr>
            </w:pPr>
            <w:r>
              <w:rPr>
                <w:rFonts w:ascii="Times New Roman" w:cs="Times New Roman" w:eastAsia="Times New Roman" w:hAnsi="Times New Roman"/>
                <w:sz w:val="15"/>
                <w:szCs w:val="15"/>
                <w:color w:val="auto"/>
              </w:rPr>
              <w:t>Name:</w:t>
            </w:r>
          </w:p>
        </w:tc>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Kelly Weaver</w:t>
            </w:r>
          </w:p>
        </w:tc>
      </w:tr>
      <w:tr>
        <w:trPr>
          <w:trHeight w:val="193"/>
        </w:trPr>
        <w:tc>
          <w:tcPr>
            <w:tcW w:w="3200" w:type="dxa"/>
            <w:vAlign w:val="bottom"/>
          </w:tcPr>
          <w:p>
            <w:pPr>
              <w:spacing w:after="0"/>
              <w:rPr>
                <w:sz w:val="16"/>
                <w:szCs w:val="16"/>
                <w:color w:val="auto"/>
              </w:rPr>
            </w:pPr>
          </w:p>
        </w:tc>
        <w:tc>
          <w:tcPr>
            <w:tcW w:w="2360" w:type="dxa"/>
            <w:vAlign w:val="bottom"/>
          </w:tcPr>
          <w:p>
            <w:pPr>
              <w:ind w:left="1380"/>
              <w:spacing w:after="0"/>
              <w:rPr>
                <w:sz w:val="20"/>
                <w:szCs w:val="20"/>
                <w:color w:val="auto"/>
              </w:rPr>
            </w:pPr>
            <w:r>
              <w:rPr>
                <w:rFonts w:ascii="Times New Roman" w:cs="Times New Roman" w:eastAsia="Times New Roman" w:hAnsi="Times New Roman"/>
                <w:sz w:val="15"/>
                <w:szCs w:val="15"/>
                <w:color w:val="auto"/>
              </w:rPr>
              <w:t>Title:</w:t>
            </w:r>
          </w:p>
        </w:tc>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Vice President</w:t>
            </w:r>
          </w:p>
        </w:tc>
      </w:tr>
    </w:tbl>
    <w:p>
      <w:pPr>
        <w:sectPr>
          <w:pgSz w:w="11900" w:h="16838" w:orient="portrait"/>
          <w:cols w:equalWidth="0" w:num="1">
            <w:col w:w="10220"/>
          </w:cols>
          <w:pgMar w:left="1440" w:top="1440" w:right="239" w:bottom="1440" w:gutter="0" w:footer="0" w:header="0"/>
        </w:sectPr>
      </w:pPr>
    </w:p>
    <w:bookmarkStart w:id="16" w:name="page17"/>
    <w:bookmarkEnd w:id="16"/>
    <w:p>
      <w:pPr>
        <w:spacing w:after="0" w:line="1" w:lineRule="exact"/>
        <w:rPr>
          <w:sz w:val="20"/>
          <w:szCs w:val="20"/>
          <w:color w:val="auto"/>
        </w:rPr>
      </w:pPr>
    </w:p>
    <w:tbl>
      <w:tblPr>
        <w:tblLayout w:type="fixed"/>
        <w:tblInd w:w="1800" w:type="dxa"/>
        <w:tblCellMar>
          <w:top w:w="0" w:type="dxa"/>
          <w:left w:w="0" w:type="dxa"/>
          <w:bottom w:w="0" w:type="dxa"/>
          <w:right w:w="0" w:type="dxa"/>
        </w:tblCellMar>
      </w:tblPr>
      <w:tr>
        <w:trPr>
          <w:trHeight w:val="193"/>
        </w:trPr>
        <w:tc>
          <w:tcPr>
            <w:tcW w:w="2640" w:type="dxa"/>
            <w:vAlign w:val="bottom"/>
          </w:tcPr>
          <w:p>
            <w:pPr>
              <w:spacing w:after="0"/>
              <w:rPr>
                <w:sz w:val="20"/>
                <w:szCs w:val="20"/>
                <w:color w:val="auto"/>
              </w:rPr>
            </w:pPr>
            <w:r>
              <w:rPr>
                <w:rFonts w:ascii="Times New Roman" w:cs="Times New Roman" w:eastAsia="Times New Roman" w:hAnsi="Times New Roman"/>
                <w:sz w:val="15"/>
                <w:szCs w:val="15"/>
                <w:color w:val="auto"/>
              </w:rPr>
              <w:t>LENDERS:</w:t>
            </w:r>
          </w:p>
        </w:tc>
        <w:tc>
          <w:tcPr>
            <w:tcW w:w="5780" w:type="dxa"/>
            <w:vAlign w:val="bottom"/>
            <w:gridSpan w:val="2"/>
          </w:tcPr>
          <w:p>
            <w:pPr>
              <w:ind w:left="1940"/>
              <w:spacing w:after="0"/>
              <w:rPr>
                <w:sz w:val="20"/>
                <w:szCs w:val="20"/>
                <w:color w:val="auto"/>
              </w:rPr>
            </w:pPr>
            <w:r>
              <w:rPr>
                <w:rFonts w:ascii="Times New Roman" w:cs="Times New Roman" w:eastAsia="Times New Roman" w:hAnsi="Times New Roman"/>
                <w:sz w:val="15"/>
                <w:szCs w:val="15"/>
                <w:color w:val="auto"/>
              </w:rPr>
              <w:t>BANK OF AMERICA, N.A.,</w:t>
            </w:r>
          </w:p>
        </w:tc>
      </w:tr>
      <w:tr>
        <w:trPr>
          <w:trHeight w:val="193"/>
        </w:trPr>
        <w:tc>
          <w:tcPr>
            <w:tcW w:w="2640" w:type="dxa"/>
            <w:vAlign w:val="bottom"/>
          </w:tcPr>
          <w:p>
            <w:pPr>
              <w:spacing w:after="0"/>
              <w:rPr>
                <w:sz w:val="16"/>
                <w:szCs w:val="16"/>
                <w:color w:val="auto"/>
              </w:rPr>
            </w:pPr>
          </w:p>
        </w:tc>
        <w:tc>
          <w:tcPr>
            <w:tcW w:w="5780" w:type="dxa"/>
            <w:vAlign w:val="bottom"/>
            <w:gridSpan w:val="2"/>
          </w:tcPr>
          <w:p>
            <w:pPr>
              <w:ind w:left="1940"/>
              <w:spacing w:after="0"/>
              <w:rPr>
                <w:sz w:val="20"/>
                <w:szCs w:val="20"/>
                <w:color w:val="auto"/>
              </w:rPr>
            </w:pPr>
            <w:r>
              <w:rPr>
                <w:rFonts w:ascii="Times New Roman" w:cs="Times New Roman" w:eastAsia="Times New Roman" w:hAnsi="Times New Roman"/>
                <w:sz w:val="15"/>
                <w:szCs w:val="15"/>
                <w:color w:val="auto"/>
              </w:rPr>
              <w:t>as a Lender, the L/C Issuer and Swing Line Lender</w:t>
            </w:r>
          </w:p>
        </w:tc>
      </w:tr>
      <w:tr>
        <w:trPr>
          <w:trHeight w:val="396"/>
        </w:trPr>
        <w:tc>
          <w:tcPr>
            <w:tcW w:w="2640" w:type="dxa"/>
            <w:vAlign w:val="bottom"/>
          </w:tcPr>
          <w:p>
            <w:pPr>
              <w:spacing w:after="0"/>
              <w:rPr>
                <w:sz w:val="24"/>
                <w:szCs w:val="24"/>
                <w:color w:val="auto"/>
              </w:rPr>
            </w:pPr>
          </w:p>
        </w:tc>
        <w:tc>
          <w:tcPr>
            <w:tcW w:w="2920" w:type="dxa"/>
            <w:vAlign w:val="bottom"/>
          </w:tcPr>
          <w:p>
            <w:pPr>
              <w:ind w:left="1940"/>
              <w:spacing w:after="0"/>
              <w:rPr>
                <w:sz w:val="20"/>
                <w:szCs w:val="20"/>
                <w:color w:val="auto"/>
              </w:rPr>
            </w:pPr>
            <w:r>
              <w:rPr>
                <w:rFonts w:ascii="Times New Roman" w:cs="Times New Roman" w:eastAsia="Times New Roman" w:hAnsi="Times New Roman"/>
                <w:sz w:val="15"/>
                <w:szCs w:val="15"/>
                <w:color w:val="auto"/>
              </w:rPr>
              <w:t>By:</w:t>
            </w: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Timothy J. Waltman</w:t>
            </w:r>
          </w:p>
        </w:tc>
      </w:tr>
      <w:tr>
        <w:trPr>
          <w:trHeight w:val="183"/>
        </w:trPr>
        <w:tc>
          <w:tcPr>
            <w:tcW w:w="2640" w:type="dxa"/>
            <w:vAlign w:val="bottom"/>
          </w:tcPr>
          <w:p>
            <w:pPr>
              <w:spacing w:after="0"/>
              <w:rPr>
                <w:sz w:val="15"/>
                <w:szCs w:val="15"/>
                <w:color w:val="auto"/>
              </w:rPr>
            </w:pPr>
          </w:p>
        </w:tc>
        <w:tc>
          <w:tcPr>
            <w:tcW w:w="2920" w:type="dxa"/>
            <w:vAlign w:val="bottom"/>
          </w:tcPr>
          <w:p>
            <w:pPr>
              <w:ind w:left="1940"/>
              <w:spacing w:after="0"/>
              <w:rPr>
                <w:sz w:val="20"/>
                <w:szCs w:val="20"/>
                <w:color w:val="auto"/>
              </w:rPr>
            </w:pPr>
            <w:r>
              <w:rPr>
                <w:rFonts w:ascii="Times New Roman" w:cs="Times New Roman" w:eastAsia="Times New Roman" w:hAnsi="Times New Roman"/>
                <w:sz w:val="15"/>
                <w:szCs w:val="15"/>
                <w:color w:val="auto"/>
              </w:rPr>
              <w:t>Name:</w:t>
            </w:r>
          </w:p>
        </w:tc>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Timothy J. Waltman</w:t>
            </w:r>
          </w:p>
        </w:tc>
      </w:tr>
      <w:tr>
        <w:trPr>
          <w:trHeight w:val="193"/>
        </w:trPr>
        <w:tc>
          <w:tcPr>
            <w:tcW w:w="2640" w:type="dxa"/>
            <w:vAlign w:val="bottom"/>
          </w:tcPr>
          <w:p>
            <w:pPr>
              <w:spacing w:after="0"/>
              <w:rPr>
                <w:sz w:val="16"/>
                <w:szCs w:val="16"/>
                <w:color w:val="auto"/>
              </w:rPr>
            </w:pPr>
          </w:p>
        </w:tc>
        <w:tc>
          <w:tcPr>
            <w:tcW w:w="2920" w:type="dxa"/>
            <w:vAlign w:val="bottom"/>
          </w:tcPr>
          <w:p>
            <w:pPr>
              <w:ind w:left="1940"/>
              <w:spacing w:after="0"/>
              <w:rPr>
                <w:sz w:val="20"/>
                <w:szCs w:val="20"/>
                <w:color w:val="auto"/>
              </w:rPr>
            </w:pPr>
            <w:r>
              <w:rPr>
                <w:rFonts w:ascii="Times New Roman" w:cs="Times New Roman" w:eastAsia="Times New Roman" w:hAnsi="Times New Roman"/>
                <w:sz w:val="15"/>
                <w:szCs w:val="15"/>
                <w:color w:val="auto"/>
              </w:rPr>
              <w:t>Title:</w:t>
            </w:r>
          </w:p>
        </w:tc>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Senior Vice President</w:t>
            </w:r>
          </w:p>
        </w:tc>
      </w:tr>
    </w:tbl>
    <w:p>
      <w:pPr>
        <w:sectPr>
          <w:pgSz w:w="11900" w:h="16838" w:orient="portrait"/>
          <w:cols w:equalWidth="0" w:num="1">
            <w:col w:w="10220"/>
          </w:cols>
          <w:pgMar w:left="1440" w:top="1310" w:right="239" w:bottom="1440" w:gutter="0" w:footer="0" w:header="0"/>
        </w:sectPr>
      </w:pPr>
    </w:p>
    <w:bookmarkStart w:id="17" w:name="page18"/>
    <w:bookmarkEnd w:id="17"/>
    <w:p>
      <w:pPr>
        <w:ind w:left="6380"/>
        <w:spacing w:after="0"/>
        <w:rPr>
          <w:sz w:val="20"/>
          <w:szCs w:val="20"/>
          <w:color w:val="auto"/>
        </w:rPr>
      </w:pPr>
      <w:r>
        <w:rPr>
          <w:rFonts w:ascii="Times New Roman" w:cs="Times New Roman" w:eastAsia="Times New Roman" w:hAnsi="Times New Roman"/>
          <w:sz w:val="15"/>
          <w:szCs w:val="15"/>
          <w:color w:val="auto"/>
        </w:rPr>
        <w:t>JPMORGAN CHASE BANK, N.A.,</w:t>
      </w:r>
    </w:p>
    <w:p>
      <w:pPr>
        <w:spacing w:after="0" w:line="2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5"/>
          <w:szCs w:val="15"/>
          <w:color w:val="auto"/>
        </w:rPr>
        <w:t>as a Lender</w:t>
      </w:r>
    </w:p>
    <w:p>
      <w:pPr>
        <w:spacing w:after="0" w:line="223" w:lineRule="exact"/>
        <w:rPr>
          <w:sz w:val="20"/>
          <w:szCs w:val="20"/>
          <w:color w:val="auto"/>
        </w:rPr>
      </w:pPr>
    </w:p>
    <w:tbl>
      <w:tblPr>
        <w:tblLayout w:type="fixed"/>
        <w:tblInd w:w="6380" w:type="dxa"/>
        <w:tblCellMar>
          <w:top w:w="0" w:type="dxa"/>
          <w:left w:w="0" w:type="dxa"/>
          <w:bottom w:w="0" w:type="dxa"/>
          <w:right w:w="0" w:type="dxa"/>
        </w:tblCellMar>
      </w:tblPr>
      <w:tr>
        <w:trPr>
          <w:trHeight w:val="193"/>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Judy Marsh</w:t>
            </w:r>
          </w:p>
        </w:tc>
      </w:tr>
      <w:tr>
        <w:trPr>
          <w:trHeight w:val="183"/>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Judy Marsh</w:t>
            </w:r>
          </w:p>
        </w:tc>
      </w:tr>
      <w:tr>
        <w:trPr>
          <w:trHeight w:val="193"/>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Authorized Officer</w:t>
            </w:r>
          </w:p>
        </w:tc>
      </w:tr>
    </w:tbl>
    <w:p>
      <w:pPr>
        <w:sectPr>
          <w:pgSz w:w="11900" w:h="16838" w:orient="portrait"/>
          <w:cols w:equalWidth="0" w:num="1">
            <w:col w:w="10220"/>
          </w:cols>
          <w:pgMar w:left="1440" w:top="1310" w:right="239" w:bottom="1440" w:gutter="0" w:footer="0" w:header="0"/>
        </w:sectPr>
      </w:pPr>
    </w:p>
    <w:bookmarkStart w:id="18" w:name="page19"/>
    <w:bookmarkEnd w:id="18"/>
    <w:p>
      <w:pPr>
        <w:spacing w:after="0" w:line="5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5"/>
          <w:szCs w:val="15"/>
          <w:color w:val="auto"/>
        </w:rPr>
        <w:t>TD BANK, N.A.,</w:t>
      </w:r>
    </w:p>
    <w:p>
      <w:pPr>
        <w:spacing w:after="0" w:line="2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5"/>
          <w:szCs w:val="15"/>
          <w:color w:val="auto"/>
        </w:rPr>
        <w:t>as a Lender</w:t>
      </w:r>
    </w:p>
    <w:p>
      <w:pPr>
        <w:spacing w:after="0" w:line="223" w:lineRule="exact"/>
        <w:rPr>
          <w:sz w:val="20"/>
          <w:szCs w:val="20"/>
          <w:color w:val="auto"/>
        </w:rPr>
      </w:pPr>
    </w:p>
    <w:tbl>
      <w:tblPr>
        <w:tblLayout w:type="fixed"/>
        <w:tblInd w:w="6380" w:type="dxa"/>
        <w:tblCellMar>
          <w:top w:w="0" w:type="dxa"/>
          <w:left w:w="0" w:type="dxa"/>
          <w:bottom w:w="0" w:type="dxa"/>
          <w:right w:w="0" w:type="dxa"/>
        </w:tblCellMar>
      </w:tblPr>
      <w:tr>
        <w:trPr>
          <w:trHeight w:val="193"/>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 Bernadette Collins</w:t>
            </w:r>
          </w:p>
        </w:tc>
      </w:tr>
      <w:tr>
        <w:trPr>
          <w:trHeight w:val="183"/>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M. Bernadette Collins</w:t>
            </w:r>
          </w:p>
        </w:tc>
      </w:tr>
      <w:tr>
        <w:trPr>
          <w:trHeight w:val="193"/>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Senior Vice President</w:t>
            </w:r>
          </w:p>
        </w:tc>
      </w:tr>
    </w:tbl>
    <w:p>
      <w:pPr>
        <w:sectPr>
          <w:pgSz w:w="11900" w:h="16838" w:orient="portrait"/>
          <w:cols w:equalWidth="0" w:num="1">
            <w:col w:w="10220"/>
          </w:cols>
          <w:pgMar w:left="1440" w:top="1440" w:right="239" w:bottom="1440" w:gutter="0" w:footer="0" w:header="0"/>
        </w:sectPr>
      </w:pPr>
    </w:p>
    <w:bookmarkStart w:id="19" w:name="page20"/>
    <w:bookmarkEnd w:id="19"/>
    <w:p>
      <w:pPr>
        <w:ind w:left="6380"/>
        <w:spacing w:after="0"/>
        <w:rPr>
          <w:sz w:val="20"/>
          <w:szCs w:val="20"/>
          <w:color w:val="auto"/>
        </w:rPr>
      </w:pPr>
      <w:r>
        <w:rPr>
          <w:rFonts w:ascii="Times New Roman" w:cs="Times New Roman" w:eastAsia="Times New Roman" w:hAnsi="Times New Roman"/>
          <w:sz w:val="15"/>
          <w:szCs w:val="15"/>
          <w:color w:val="auto"/>
        </w:rPr>
        <w:t>U.S. BANK NATIONAL ASSOCIATION,</w:t>
      </w:r>
    </w:p>
    <w:p>
      <w:pPr>
        <w:spacing w:after="0" w:line="2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5"/>
          <w:szCs w:val="15"/>
          <w:color w:val="auto"/>
        </w:rPr>
        <w:t>as a Lender</w:t>
      </w:r>
    </w:p>
    <w:p>
      <w:pPr>
        <w:spacing w:after="0" w:line="223" w:lineRule="exact"/>
        <w:rPr>
          <w:sz w:val="20"/>
          <w:szCs w:val="20"/>
          <w:color w:val="auto"/>
        </w:rPr>
      </w:pPr>
    </w:p>
    <w:tbl>
      <w:tblPr>
        <w:tblLayout w:type="fixed"/>
        <w:tblInd w:w="6380" w:type="dxa"/>
        <w:tblCellMar>
          <w:top w:w="0" w:type="dxa"/>
          <w:left w:w="0" w:type="dxa"/>
          <w:bottom w:w="0" w:type="dxa"/>
          <w:right w:w="0" w:type="dxa"/>
        </w:tblCellMar>
      </w:tblPr>
      <w:tr>
        <w:trPr>
          <w:trHeight w:val="193"/>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Mark J. Hattling</w:t>
            </w:r>
          </w:p>
        </w:tc>
      </w:tr>
      <w:tr>
        <w:trPr>
          <w:trHeight w:val="183"/>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Mark J. Hattling</w:t>
            </w:r>
          </w:p>
        </w:tc>
      </w:tr>
      <w:tr>
        <w:trPr>
          <w:trHeight w:val="193"/>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Senior Vice President</w:t>
            </w:r>
          </w:p>
        </w:tc>
      </w:tr>
    </w:tbl>
    <w:p>
      <w:pPr>
        <w:sectPr>
          <w:pgSz w:w="11900" w:h="16838" w:orient="portrait"/>
          <w:cols w:equalWidth="0" w:num="1">
            <w:col w:w="10220"/>
          </w:cols>
          <w:pgMar w:left="1440" w:top="1128" w:right="239" w:bottom="1440" w:gutter="0" w:footer="0" w:header="0"/>
        </w:sectPr>
      </w:pPr>
    </w:p>
    <w:bookmarkStart w:id="20" w:name="page21"/>
    <w:bookmarkEnd w:id="20"/>
    <w:p>
      <w:pPr>
        <w:ind w:left="6380"/>
        <w:spacing w:after="0"/>
        <w:rPr>
          <w:sz w:val="20"/>
          <w:szCs w:val="20"/>
          <w:color w:val="auto"/>
        </w:rPr>
      </w:pPr>
      <w:r>
        <w:rPr>
          <w:rFonts w:ascii="Times New Roman" w:cs="Times New Roman" w:eastAsia="Times New Roman" w:hAnsi="Times New Roman"/>
          <w:sz w:val="15"/>
          <w:szCs w:val="15"/>
          <w:color w:val="auto"/>
        </w:rPr>
        <w:t>CIBC BANK USA,</w:t>
      </w:r>
    </w:p>
    <w:p>
      <w:pPr>
        <w:spacing w:after="0" w:line="2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5"/>
          <w:szCs w:val="15"/>
          <w:color w:val="auto"/>
        </w:rPr>
        <w:t>as a Lender</w:t>
      </w:r>
    </w:p>
    <w:p>
      <w:pPr>
        <w:spacing w:after="0" w:line="223" w:lineRule="exact"/>
        <w:rPr>
          <w:sz w:val="20"/>
          <w:szCs w:val="20"/>
          <w:color w:val="auto"/>
        </w:rPr>
      </w:pPr>
    </w:p>
    <w:tbl>
      <w:tblPr>
        <w:tblLayout w:type="fixed"/>
        <w:tblInd w:w="6380" w:type="dxa"/>
        <w:tblCellMar>
          <w:top w:w="0" w:type="dxa"/>
          <w:left w:w="0" w:type="dxa"/>
          <w:bottom w:w="0" w:type="dxa"/>
          <w:right w:w="0" w:type="dxa"/>
        </w:tblCellMar>
      </w:tblPr>
      <w:tr>
        <w:trPr>
          <w:trHeight w:val="193"/>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Jeff Groenewold</w:t>
            </w:r>
          </w:p>
        </w:tc>
      </w:tr>
      <w:tr>
        <w:trPr>
          <w:trHeight w:val="183"/>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Jeff Groenewold</w:t>
            </w:r>
          </w:p>
        </w:tc>
      </w:tr>
      <w:tr>
        <w:trPr>
          <w:trHeight w:val="193"/>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Managing Director</w:t>
            </w:r>
          </w:p>
        </w:tc>
      </w:tr>
    </w:tbl>
    <w:p>
      <w:pPr>
        <w:sectPr>
          <w:pgSz w:w="11900" w:h="16838" w:orient="portrait"/>
          <w:cols w:equalWidth="0" w:num="1">
            <w:col w:w="10220"/>
          </w:cols>
          <w:pgMar w:left="1440" w:top="1128" w:right="239" w:bottom="1440" w:gutter="0" w:footer="0" w:header="0"/>
        </w:sectPr>
      </w:pPr>
    </w:p>
    <w:bookmarkStart w:id="21" w:name="page22"/>
    <w:bookmarkEnd w:id="21"/>
    <w:p>
      <w:pPr>
        <w:spacing w:after="0" w:line="53" w:lineRule="exact"/>
        <w:rPr>
          <w:sz w:val="20"/>
          <w:szCs w:val="20"/>
          <w:color w:val="auto"/>
        </w:rPr>
      </w:pPr>
    </w:p>
    <w:tbl>
      <w:tblPr>
        <w:tblLayout w:type="fixed"/>
        <w:tblInd w:w="5800" w:type="dxa"/>
        <w:tblCellMar>
          <w:top w:w="0" w:type="dxa"/>
          <w:left w:w="0" w:type="dxa"/>
          <w:bottom w:w="0" w:type="dxa"/>
          <w:right w:w="0" w:type="dxa"/>
        </w:tblCellMar>
      </w:tblPr>
      <w:tr>
        <w:trPr>
          <w:trHeight w:val="193"/>
        </w:trPr>
        <w:tc>
          <w:tcPr>
            <w:tcW w:w="86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TRUIST BANK,</w:t>
            </w:r>
          </w:p>
        </w:tc>
      </w:tr>
      <w:tr>
        <w:trPr>
          <w:trHeight w:val="193"/>
        </w:trPr>
        <w:tc>
          <w:tcPr>
            <w:tcW w:w="86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as a Lender</w:t>
            </w:r>
          </w:p>
        </w:tc>
      </w:tr>
      <w:tr>
        <w:trPr>
          <w:trHeight w:val="399"/>
        </w:trPr>
        <w:tc>
          <w:tcPr>
            <w:tcW w:w="860" w:type="dxa"/>
            <w:vAlign w:val="bottom"/>
          </w:tcPr>
          <w:p>
            <w:pPr>
              <w:spacing w:after="0"/>
              <w:rPr>
                <w:sz w:val="24"/>
                <w:szCs w:val="24"/>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Ryan K. Michael</w:t>
            </w:r>
          </w:p>
        </w:tc>
      </w:tr>
      <w:tr>
        <w:trPr>
          <w:trHeight w:val="180"/>
        </w:trPr>
        <w:tc>
          <w:tcPr>
            <w:tcW w:w="86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Ryan K. Michael</w:t>
            </w:r>
          </w:p>
        </w:tc>
      </w:tr>
      <w:tr>
        <w:trPr>
          <w:trHeight w:val="193"/>
        </w:trPr>
        <w:tc>
          <w:tcPr>
            <w:tcW w:w="86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060" w:type="dxa"/>
            <w:vAlign w:val="bottom"/>
          </w:tcPr>
          <w:p>
            <w:pPr>
              <w:spacing w:after="0"/>
              <w:rPr>
                <w:sz w:val="20"/>
                <w:szCs w:val="20"/>
                <w:color w:val="auto"/>
              </w:rPr>
            </w:pPr>
            <w:r>
              <w:rPr>
                <w:rFonts w:ascii="Times New Roman" w:cs="Times New Roman" w:eastAsia="Times New Roman" w:hAnsi="Times New Roman"/>
                <w:sz w:val="15"/>
                <w:szCs w:val="15"/>
                <w:color w:val="auto"/>
              </w:rPr>
              <w:t>Senior Vice President</w:t>
            </w:r>
          </w:p>
        </w:tc>
      </w:tr>
    </w:tbl>
    <w:p>
      <w:pPr>
        <w:sectPr>
          <w:pgSz w:w="11900" w:h="16838" w:orient="portrait"/>
          <w:cols w:equalWidth="0" w:num="1">
            <w:col w:w="9720"/>
          </w:cols>
          <w:pgMar w:left="1440" w:top="1440" w:right="739" w:bottom="1440" w:gutter="0" w:footer="0" w:header="0"/>
        </w:sectPr>
      </w:pPr>
    </w:p>
    <w:bookmarkStart w:id="22" w:name="page23"/>
    <w:bookmarkEnd w:id="22"/>
    <w:p>
      <w:pPr>
        <w:ind w:left="638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2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5"/>
          <w:szCs w:val="15"/>
          <w:color w:val="auto"/>
        </w:rPr>
        <w:t>as a Lender</w:t>
      </w:r>
    </w:p>
    <w:p>
      <w:pPr>
        <w:spacing w:after="0" w:line="223" w:lineRule="exact"/>
        <w:rPr>
          <w:sz w:val="20"/>
          <w:szCs w:val="20"/>
          <w:color w:val="auto"/>
        </w:rPr>
      </w:pPr>
    </w:p>
    <w:tbl>
      <w:tblPr>
        <w:tblLayout w:type="fixed"/>
        <w:tblInd w:w="6380" w:type="dxa"/>
        <w:tblCellMar>
          <w:top w:w="0" w:type="dxa"/>
          <w:left w:w="0" w:type="dxa"/>
          <w:bottom w:w="0" w:type="dxa"/>
          <w:right w:w="0" w:type="dxa"/>
        </w:tblCellMar>
      </w:tblPr>
      <w:tr>
        <w:trPr>
          <w:trHeight w:val="193"/>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Patrick McGovern</w:t>
            </w:r>
          </w:p>
        </w:tc>
      </w:tr>
      <w:tr>
        <w:trPr>
          <w:trHeight w:val="183"/>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Patrick McGovern</w:t>
            </w:r>
          </w:p>
        </w:tc>
      </w:tr>
      <w:tr>
        <w:trPr>
          <w:trHeight w:val="193"/>
        </w:trPr>
        <w:tc>
          <w:tcPr>
            <w:tcW w:w="9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2860" w:type="dxa"/>
            <w:vAlign w:val="bottom"/>
          </w:tcPr>
          <w:p>
            <w:pPr>
              <w:spacing w:after="0"/>
              <w:rPr>
                <w:sz w:val="20"/>
                <w:szCs w:val="20"/>
                <w:color w:val="auto"/>
              </w:rPr>
            </w:pPr>
            <w:r>
              <w:rPr>
                <w:rFonts w:ascii="Times New Roman" w:cs="Times New Roman" w:eastAsia="Times New Roman" w:hAnsi="Times New Roman"/>
                <w:sz w:val="15"/>
                <w:szCs w:val="15"/>
                <w:color w:val="auto"/>
              </w:rPr>
              <w:t>Senior Vice President</w:t>
            </w:r>
          </w:p>
        </w:tc>
      </w:tr>
    </w:tbl>
    <w:p>
      <w:pPr>
        <w:sectPr>
          <w:pgSz w:w="11900" w:h="16838" w:orient="portrait"/>
          <w:cols w:equalWidth="0" w:num="1">
            <w:col w:w="10220"/>
          </w:cols>
          <w:pgMar w:left="1440" w:top="1310" w:right="239" w:bottom="1440" w:gutter="0" w:footer="0" w:header="0"/>
        </w:sectPr>
      </w:pPr>
    </w:p>
    <w:bookmarkStart w:id="23" w:name="page24"/>
    <w:bookmarkEnd w:id="23"/>
    <w:p>
      <w:pPr>
        <w:ind w:left="1800"/>
        <w:spacing w:after="0"/>
        <w:rPr>
          <w:sz w:val="20"/>
          <w:szCs w:val="20"/>
          <w:color w:val="auto"/>
        </w:rPr>
      </w:pPr>
      <w:r>
        <w:rPr>
          <w:rFonts w:ascii="Times New Roman" w:cs="Times New Roman" w:eastAsia="Times New Roman" w:hAnsi="Times New Roman"/>
          <w:sz w:val="14"/>
          <w:szCs w:val="14"/>
          <w:color w:val="auto"/>
        </w:rPr>
        <w:t>Acknowledged and agreed solely in respect of payment of the Management Fees as set forth in Section 11(c) of this Agreement.</w:t>
      </w:r>
    </w:p>
    <w:p>
      <w:pPr>
        <w:spacing w:after="0" w:line="23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5"/>
          <w:szCs w:val="15"/>
          <w:color w:val="auto"/>
        </w:rPr>
        <w:t>COMPASS GROUP MANAGEMENT LLC,</w:t>
      </w:r>
    </w:p>
    <w:p>
      <w:pPr>
        <w:spacing w:after="0" w:line="2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5"/>
          <w:szCs w:val="15"/>
          <w:color w:val="auto"/>
        </w:rPr>
        <w:t>as Manager</w:t>
      </w:r>
    </w:p>
    <w:p>
      <w:pPr>
        <w:spacing w:after="0" w:line="223" w:lineRule="exact"/>
        <w:rPr>
          <w:sz w:val="20"/>
          <w:szCs w:val="20"/>
          <w:color w:val="auto"/>
        </w:rPr>
      </w:pPr>
    </w:p>
    <w:tbl>
      <w:tblPr>
        <w:tblLayout w:type="fixed"/>
        <w:tblInd w:w="1800" w:type="dxa"/>
        <w:tblCellMar>
          <w:top w:w="0" w:type="dxa"/>
          <w:left w:w="0" w:type="dxa"/>
          <w:bottom w:w="0" w:type="dxa"/>
          <w:right w:w="0" w:type="dxa"/>
        </w:tblCellMar>
      </w:tblPr>
      <w:tr>
        <w:trPr>
          <w:trHeight w:val="193"/>
        </w:trPr>
        <w:tc>
          <w:tcPr>
            <w:tcW w:w="212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Elias J. Sabo</w:t>
            </w:r>
          </w:p>
        </w:tc>
      </w:tr>
      <w:tr>
        <w:trPr>
          <w:trHeight w:val="183"/>
        </w:trPr>
        <w:tc>
          <w:tcPr>
            <w:tcW w:w="212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Elias J. Sabo</w:t>
            </w:r>
          </w:p>
        </w:tc>
      </w:tr>
      <w:tr>
        <w:trPr>
          <w:trHeight w:val="193"/>
        </w:trPr>
        <w:tc>
          <w:tcPr>
            <w:tcW w:w="212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Sole Manager</w:t>
            </w:r>
          </w:p>
        </w:tc>
      </w:tr>
    </w:tbl>
    <w:p>
      <w:pPr>
        <w:sectPr>
          <w:pgSz w:w="11900" w:h="16838" w:orient="portrait"/>
          <w:cols w:equalWidth="0" w:num="1">
            <w:col w:w="9420"/>
          </w:cols>
          <w:pgMar w:left="1440" w:top="1128" w:right="1039" w:bottom="1440" w:gutter="0" w:footer="0" w:header="0"/>
        </w:sectPr>
      </w:pPr>
    </w:p>
    <w:bookmarkStart w:id="24" w:name="page25"/>
    <w:bookmarkEnd w:id="24"/>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409575</wp:posOffset>
            </wp:positionV>
            <wp:extent cx="1172845" cy="419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2845" cy="41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Compass Diversified Announces Extended Forbearance</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WESTPORT, Conn., July 28, 2025 (GLOBE NEWSWIRE) – Compass Diversified (NYSE: CODI) (“CODI” or the “Company”) announced today that on July 25, 2025, the Company and its lender group entered into a second forbearance agreement, extending the prior forbearance period until October 24, 2025. CODI’s lenders have further increased the amount of availability on the Company's $100 million revolving credit facility, increasing it from $40 million to $60 million during the forbearance period.</w:t>
      </w:r>
    </w:p>
    <w:p>
      <w:pPr>
        <w:spacing w:after="0" w:line="93"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CODI originally entered into a forbearance agreement with its lenders on May 22, 2025 in the wake of CODI’s investigation into financial and accounting irregularities at its subsidiary, Lugano Holdings, Inc. ("Lugano"). The investigation has preliminarily identified irregularities in Lugano's financing, accounting, and inventory practices.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CODI is focused on completing the investigation, which is progressing in line with expectations, and actively working to finalize the necessary financial restatements.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Importantly, the investigation is focused on Lugano and does not involve any of CODI's other subsidiaries.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“We remain focused on driving strong performance across CODI’s eight other subsidiary companies, all of which continue to operate normally, maintain healthy balance sheets, and collectively generate significant cash flow,” said Elias Sabo, CEO of CODI. “Our liquidity position remains solid, supported by increased access to capital through our revolving credit facility. We value the ongoing collaboration with our banking partners and bondholders as we work through this process. Our priority remains on maximizing value for all of our stakeholders.”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CAUTIONARY STATEMENT REGARDING FORWARD-LOOKING STATEMENTS</w:t>
      </w:r>
    </w:p>
    <w:p>
      <w:pPr>
        <w:spacing w:after="0" w:line="81"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This press release contains forward-looking statements within the meaning of Section 27A of the Securities Act of 1933, as amended, and Section 21E of the Securities Exchange Act of 1934, as amended, including without limitation, CODI’s expectations as to the timing and outcome of the Lugano investigation, CODI’s credit availability and future liquidity, actions taken in response to the outcome of the investigation, the future performance of Lugano and CODI’s other subsidiaries, the filing or delay of CODI’s periodic reports, and the amount of any potential misstatements associated with Lugano and the impact any such misstatements may have on CODI’s previously issued financial statements or results of operations. Such forward looking statements may be identified by, among other things, the use of forward-looking terminology such as “believe,” “expect,” “may,” “could,” “would,” “plan,” “intend,” “estimate,” “predict,” “potential,” “continue,” “should” or “anticipate” or the negative thereof or other variations thereon or comparable terminology, or by discussions of strategy that involve risks and uncertainties. These statements are based on beliefs and assumptions by the Board of Directors and management, and on information currently available to CODI’s Board of Directors and management. These statements involve risk and uncertainties that could cause CODI’s actual results and outcomes to differ, perhaps materially, including but not limited to: the discovery of additional information relevant to the investigation; the conclusions (and timing of those conclusions) concerning matters relating to the investigation; the timing of the review by, and the conclusions of, Grant Thornton regarding the</w:t>
      </w:r>
    </w:p>
    <w:p>
      <w:pPr>
        <w:sectPr>
          <w:pgSz w:w="11900" w:h="16838" w:orient="portrait"/>
          <w:cols w:equalWidth="0" w:num="1">
            <w:col w:w="11280"/>
          </w:cols>
          <w:pgMar w:left="300" w:top="307" w:right="319" w:bottom="1440" w:gutter="0" w:footer="0" w:header="0"/>
        </w:sectPr>
      </w:pPr>
    </w:p>
    <w:bookmarkStart w:id="25" w:name="page26"/>
    <w:bookmarkEnd w:id="25"/>
    <w:p>
      <w:pPr>
        <w:jc w:val="both"/>
        <w:spacing w:after="0" w:line="252" w:lineRule="auto"/>
        <w:rPr>
          <w:sz w:val="20"/>
          <w:szCs w:val="20"/>
          <w:color w:val="auto"/>
        </w:rPr>
      </w:pPr>
      <w:r>
        <w:rPr>
          <w:rFonts w:ascii="Arial" w:cs="Arial" w:eastAsia="Arial" w:hAnsi="Arial"/>
          <w:sz w:val="15"/>
          <w:szCs w:val="15"/>
          <w:color w:val="auto"/>
        </w:rPr>
        <w:t>investigation and CODI’s financial statements; a further material delay in CODI’s financial reporting or ability to hold an annual meeting of stockholders; the impacts of restatement reviews; the likelihood that the control deficiencies identified or that may be identified in the future will result in material weaknesses in CODI’s internal control over financial reporting; and commercial litigation relating to the investigation, including CODI’s representations regarding its financial statements, and the possibility of future litigation or investigation relating to CODI’s internal controls, restatement reviews, the investigation, or related matters. Please see CODI’s Annual Report on Form 10-K for the year ended December 31, 2024 for other risk factors that you should consider in connection with such forward-looking statements. Investors are cautioned not to place undue reliance on forward-looking statements, which speak only as of the date such statements have been made. Except as required by law CODI does not undertake any public obligation to update any forward-looking statements to reflect events, circumstances, or new information after the date of this press release,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 Relations</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Compass Diversified</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irinquiry@compassdiversified.com</w:t>
      </w:r>
    </w:p>
    <w:sectPr>
      <w:pgSz w:w="11900" w:h="16838" w:orient="portrait"/>
      <w:cols w:equalWidth="0" w:num="1">
        <w:col w:w="11280"/>
      </w:cols>
      <w:pgMar w:left="300" w:top="121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1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2025-07-28T05:57:59Z</dcterms:created>
  <dcterms:modified xsi:type="dcterms:W3CDTF">2025-07-28T05:57:59Z</dcterms:modified>
</cp:coreProperties>
</file>