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611505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577215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82550</wp:posOffset>
            </wp:positionV>
            <wp:extent cx="17399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9900" cy="1714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 the fiscal year ended December 31, 2024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144" w:lineRule="exact"/>
        <w:rPr>
          <w:sz w:val="24"/>
          <w:szCs w:val="24"/>
          <w:color w:val="auto"/>
        </w:rPr>
      </w:pPr>
    </w:p>
    <w:p>
      <w:pPr>
        <w:ind w:left="680" w:hanging="190"/>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0" w:lineRule="exact"/>
        <w:rPr>
          <w:sz w:val="24"/>
          <w:szCs w:val="24"/>
          <w:color w:val="auto"/>
        </w:rPr>
      </w:pPr>
    </w:p>
    <w:p>
      <w:pPr>
        <w:ind w:left="3020"/>
        <w:spacing w:after="0"/>
        <w:tabs>
          <w:tab w:leader="none" w:pos="70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1"/>
          <w:szCs w:val="21"/>
          <w:b w:val="1"/>
          <w:bCs w:val="1"/>
          <w:color w:val="auto"/>
        </w:rPr>
        <w:t>to</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001-34927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114935</wp:posOffset>
            </wp:positionV>
            <wp:extent cx="17399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9900" cy="1714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Compass Diversified Holdings</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109220</wp:posOffset>
            </wp:positionV>
            <wp:extent cx="17399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990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p>
      <w:pPr>
        <w:spacing w:after="0" w:line="307" w:lineRule="exact"/>
        <w:rPr>
          <w:sz w:val="24"/>
          <w:szCs w:val="24"/>
          <w:color w:val="auto"/>
        </w:rPr>
      </w:pPr>
    </w:p>
    <w:p>
      <w:pPr>
        <w:jc w:val="center"/>
        <w:ind w:right="740"/>
        <w:spacing w:after="0"/>
        <w:rPr>
          <w:sz w:val="20"/>
          <w:szCs w:val="20"/>
          <w:color w:val="auto"/>
        </w:rPr>
      </w:pPr>
      <w:r>
        <w:rPr>
          <w:rFonts w:ascii="Arial" w:cs="Arial" w:eastAsia="Arial" w:hAnsi="Arial"/>
          <w:sz w:val="19"/>
          <w:szCs w:val="19"/>
          <w:b w:val="1"/>
          <w:bCs w:val="1"/>
          <w:color w:val="auto"/>
        </w:rPr>
        <w:t>Delaware</w:t>
      </w:r>
    </w:p>
    <w:p>
      <w:pPr>
        <w:spacing w:after="0" w:line="4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57-6218917</w:t>
      </w:r>
    </w:p>
    <w:p>
      <w:pPr>
        <w:spacing w:after="0" w:line="4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280" w:space="720"/>
            <w:col w:w="4240"/>
          </w:cols>
          <w:pgMar w:left="320" w:top="1087" w:right="339" w:bottom="1440" w:gutter="0" w:footer="0" w:header="0"/>
          <w:type w:val="continuous"/>
        </w:sectPr>
      </w:pP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Commission File Number: 001-34926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117475</wp:posOffset>
            </wp:positionV>
            <wp:extent cx="17399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9900" cy="1714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Compass Group Diversified Holdings LLC</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100330</wp:posOffset>
            </wp:positionV>
            <wp:extent cx="17399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990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p>
      <w:pPr>
        <w:spacing w:after="0" w:line="307"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20-3812051</w:t>
      </w:r>
    </w:p>
    <w:p>
      <w:pPr>
        <w:spacing w:after="0" w:line="52" w:lineRule="exact"/>
        <w:rPr>
          <w:sz w:val="24"/>
          <w:szCs w:val="24"/>
          <w:color w:val="auto"/>
        </w:rPr>
      </w:pPr>
    </w:p>
    <w:p>
      <w:pPr>
        <w:sectPr>
          <w:pgSz w:w="11900" w:h="16838" w:orient="portrait"/>
          <w:cols w:equalWidth="0" w:num="2">
            <w:col w:w="7380" w:space="720"/>
            <w:col w:w="3140"/>
          </w:cols>
          <w:pgMar w:left="320" w:top="1087" w:right="339" w:bottom="1440" w:gutter="0" w:footer="0" w:header="0"/>
          <w:type w:val="continuous"/>
        </w:sectPr>
      </w:pPr>
    </w:p>
    <w:p>
      <w:pPr>
        <w:jc w:val="center"/>
        <w:ind w:right="960"/>
        <w:spacing w:after="0"/>
        <w:rPr>
          <w:sz w:val="20"/>
          <w:szCs w:val="20"/>
          <w:color w:val="auto"/>
        </w:rPr>
      </w:pPr>
      <w:r>
        <w:rPr>
          <w:rFonts w:ascii="Arial" w:cs="Arial" w:eastAsia="Arial" w:hAnsi="Arial"/>
          <w:sz w:val="18"/>
          <w:szCs w:val="18"/>
          <w:b w:val="1"/>
          <w:bCs w:val="1"/>
          <w:color w:val="auto"/>
        </w:rPr>
        <w:t>(State or other jurisdiction of incorporation or</w:t>
      </w:r>
    </w:p>
    <w:p>
      <w:pPr>
        <w:jc w:val="center"/>
        <w:ind w:right="960"/>
        <w:spacing w:after="0"/>
        <w:rPr>
          <w:sz w:val="20"/>
          <w:szCs w:val="20"/>
          <w:color w:val="auto"/>
        </w:rPr>
      </w:pPr>
      <w:r>
        <w:rPr>
          <w:rFonts w:ascii="Arial" w:cs="Arial" w:eastAsia="Arial" w:hAnsi="Arial"/>
          <w:sz w:val="19"/>
          <w:szCs w:val="19"/>
          <w:b w:val="1"/>
          <w:b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(I.R.S. Employer Identification No.)</w:t>
      </w:r>
    </w:p>
    <w:p>
      <w:pPr>
        <w:spacing w:after="0" w:line="418" w:lineRule="exact"/>
        <w:rPr>
          <w:sz w:val="24"/>
          <w:szCs w:val="24"/>
          <w:color w:val="auto"/>
        </w:rPr>
      </w:pPr>
    </w:p>
    <w:p>
      <w:pPr>
        <w:sectPr>
          <w:pgSz w:w="11900" w:h="16838" w:orient="portrait"/>
          <w:cols w:equalWidth="0" w:num="2">
            <w:col w:w="6340" w:space="720"/>
            <w:col w:w="4180"/>
          </w:cols>
          <w:pgMar w:left="320" w:top="1087" w:right="339" w:bottom="1440" w:gutter="0" w:footer="0" w:header="0"/>
          <w:type w:val="continuous"/>
        </w:sectPr>
      </w:pPr>
    </w:p>
    <w:p>
      <w:pPr>
        <w:spacing w:after="0" w:line="71"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301 Riverside Avenue, Second Floor</w:t>
      </w:r>
    </w:p>
    <w:p>
      <w:pPr>
        <w:spacing w:after="0" w:line="77" w:lineRule="exact"/>
        <w:rPr>
          <w:sz w:val="24"/>
          <w:szCs w:val="24"/>
          <w:color w:val="auto"/>
        </w:rPr>
      </w:pPr>
    </w:p>
    <w:p>
      <w:pPr>
        <w:ind w:left="2880"/>
        <w:spacing w:after="0"/>
        <w:rPr>
          <w:sz w:val="20"/>
          <w:szCs w:val="20"/>
          <w:color w:val="auto"/>
        </w:rPr>
      </w:pPr>
      <w:r>
        <w:rPr>
          <w:rFonts w:ascii="Arial" w:cs="Arial" w:eastAsia="Arial" w:hAnsi="Arial"/>
          <w:sz w:val="17"/>
          <w:szCs w:val="17"/>
          <w:b w:val="1"/>
          <w:b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Westport, CT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06880</w:t>
      </w:r>
    </w:p>
    <w:p>
      <w:pPr>
        <w:spacing w:after="0" w:line="77" w:lineRule="exact"/>
        <w:rPr>
          <w:sz w:val="24"/>
          <w:szCs w:val="24"/>
          <w:color w:val="auto"/>
        </w:rPr>
      </w:pPr>
    </w:p>
    <w:p>
      <w:pPr>
        <w:jc w:val="center"/>
        <w:ind w:right="1520"/>
        <w:spacing w:after="0"/>
        <w:rPr>
          <w:sz w:val="20"/>
          <w:szCs w:val="20"/>
          <w:color w:val="auto"/>
        </w:rPr>
      </w:pPr>
      <w:r>
        <w:rPr>
          <w:rFonts w:ascii="Arial" w:cs="Arial" w:eastAsia="Arial" w:hAnsi="Arial"/>
          <w:sz w:val="17"/>
          <w:szCs w:val="17"/>
          <w:b w:val="1"/>
          <w:bCs w:val="1"/>
          <w:color w:val="auto"/>
        </w:rPr>
        <w:t>(Zip Code)</w:t>
      </w:r>
    </w:p>
    <w:p>
      <w:pPr>
        <w:spacing w:after="0" w:line="200" w:lineRule="exact"/>
        <w:rPr>
          <w:sz w:val="24"/>
          <w:szCs w:val="24"/>
          <w:color w:val="auto"/>
        </w:rPr>
      </w:pPr>
    </w:p>
    <w:p>
      <w:pPr>
        <w:sectPr>
          <w:pgSz w:w="11900" w:h="16838" w:orient="portrait"/>
          <w:cols w:equalWidth="0" w:num="3">
            <w:col w:w="6140" w:space="260"/>
            <w:col w:w="1720" w:space="720"/>
            <w:col w:w="2400"/>
          </w:cols>
          <w:pgMar w:left="320" w:top="1087" w:right="339" w:bottom="1440" w:gutter="0" w:footer="0" w:header="0"/>
          <w:type w:val="continuous"/>
        </w:sectPr>
      </w:pP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(203) 221-1703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880" w:type="dxa"/>
            <w:vAlign w:val="bottom"/>
            <w:tcBorders>
              <w:top w:val="single" w:sz="8" w:color="auto"/>
              <w:left w:val="single" w:sz="8" w:color="auto"/>
              <w:bottom w:val="single" w:sz="8" w:color="auto"/>
            </w:tcBorders>
          </w:tcPr>
          <w:p>
            <w:pPr>
              <w:ind w:left="1680"/>
              <w:spacing w:after="0"/>
              <w:rPr>
                <w:sz w:val="20"/>
                <w:szCs w:val="20"/>
                <w:color w:val="auto"/>
              </w:rPr>
            </w:pPr>
            <w:r>
              <w:rPr>
                <w:rFonts w:ascii="Arial" w:cs="Arial" w:eastAsia="Arial" w:hAnsi="Arial"/>
                <w:sz w:val="16"/>
                <w:szCs w:val="16"/>
                <w:b w:val="1"/>
                <w:bCs w:val="1"/>
                <w:color w:val="auto"/>
              </w:rPr>
              <w:t>Title of Each Class</w:t>
            </w:r>
          </w:p>
        </w:tc>
        <w:tc>
          <w:tcPr>
            <w:tcW w:w="1860" w:type="dxa"/>
            <w:vAlign w:val="bottom"/>
            <w:tcBorders>
              <w:top w:val="single" w:sz="8" w:color="auto"/>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Trading Symbol(s)</w:t>
            </w:r>
          </w:p>
        </w:tc>
        <w:tc>
          <w:tcPr>
            <w:tcW w:w="4500" w:type="dxa"/>
            <w:vAlign w:val="bottom"/>
            <w:tcBorders>
              <w:top w:val="single" w:sz="8" w:color="auto"/>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46"/>
        </w:trPr>
        <w:tc>
          <w:tcPr>
            <w:tcW w:w="488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Shares representing beneficial interests in Compass Diversified Holdings</w:t>
            </w:r>
          </w:p>
        </w:tc>
        <w:tc>
          <w:tcPr>
            <w:tcW w:w="1860" w:type="dxa"/>
            <w:vAlign w:val="bottom"/>
            <w:vMerge w:val="restart"/>
          </w:tcPr>
          <w:p>
            <w:pPr>
              <w:jc w:val="center"/>
              <w:ind w:right="161"/>
              <w:spacing w:after="0"/>
              <w:rPr>
                <w:sz w:val="20"/>
                <w:szCs w:val="20"/>
                <w:color w:val="auto"/>
              </w:rPr>
            </w:pPr>
            <w:r>
              <w:rPr>
                <w:rFonts w:ascii="Arial" w:cs="Arial" w:eastAsia="Arial" w:hAnsi="Arial"/>
                <w:sz w:val="16"/>
                <w:szCs w:val="16"/>
                <w:color w:val="auto"/>
              </w:rPr>
              <w:t>CODI</w:t>
            </w:r>
          </w:p>
        </w:tc>
        <w:tc>
          <w:tcPr>
            <w:tcW w:w="4500" w:type="dxa"/>
            <w:vAlign w:val="bottom"/>
            <w:tcBorders>
              <w:right w:val="single" w:sz="8" w:color="auto"/>
            </w:tcBorders>
            <w:vMerge w:val="restart"/>
          </w:tcPr>
          <w:p>
            <w:pPr>
              <w:jc w:val="center"/>
              <w:ind w:right="79"/>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185"/>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(“common shares”)</w:t>
            </w:r>
          </w:p>
        </w:tc>
        <w:tc>
          <w:tcPr>
            <w:tcW w:w="1860" w:type="dxa"/>
            <w:vAlign w:val="bottom"/>
            <w:tcBorders>
              <w:bottom w:val="single" w:sz="8" w:color="auto"/>
            </w:tcBorders>
            <w:vMerge w:val="continue"/>
          </w:tcPr>
          <w:p>
            <w:pPr>
              <w:spacing w:after="0"/>
              <w:rPr>
                <w:sz w:val="16"/>
                <w:szCs w:val="16"/>
                <w:color w:val="auto"/>
              </w:rPr>
            </w:pPr>
          </w:p>
        </w:tc>
        <w:tc>
          <w:tcPr>
            <w:tcW w:w="45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8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A Preferred Shares representing beneficial interests in Compass</w:t>
            </w:r>
          </w:p>
        </w:tc>
        <w:tc>
          <w:tcPr>
            <w:tcW w:w="1860" w:type="dxa"/>
            <w:vAlign w:val="bottom"/>
            <w:vMerge w:val="restart"/>
          </w:tcPr>
          <w:p>
            <w:pPr>
              <w:jc w:val="center"/>
              <w:ind w:right="161"/>
              <w:spacing w:after="0"/>
              <w:rPr>
                <w:sz w:val="20"/>
                <w:szCs w:val="20"/>
                <w:color w:val="auto"/>
              </w:rPr>
            </w:pPr>
            <w:r>
              <w:rPr>
                <w:rFonts w:ascii="Arial" w:cs="Arial" w:eastAsia="Arial" w:hAnsi="Arial"/>
                <w:sz w:val="16"/>
                <w:szCs w:val="16"/>
                <w:color w:val="auto"/>
              </w:rPr>
              <w:t>CODI PR A</w:t>
            </w:r>
          </w:p>
        </w:tc>
        <w:tc>
          <w:tcPr>
            <w:tcW w:w="4500" w:type="dxa"/>
            <w:vAlign w:val="bottom"/>
            <w:tcBorders>
              <w:right w:val="single" w:sz="8" w:color="auto"/>
            </w:tcBorders>
            <w:vMerge w:val="restart"/>
          </w:tcPr>
          <w:p>
            <w:pPr>
              <w:jc w:val="center"/>
              <w:ind w:right="79"/>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185"/>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Diversified Holdings</w:t>
            </w:r>
          </w:p>
        </w:tc>
        <w:tc>
          <w:tcPr>
            <w:tcW w:w="1860" w:type="dxa"/>
            <w:vAlign w:val="bottom"/>
            <w:tcBorders>
              <w:bottom w:val="single" w:sz="8" w:color="auto"/>
            </w:tcBorders>
            <w:vMerge w:val="continue"/>
          </w:tcPr>
          <w:p>
            <w:pPr>
              <w:spacing w:after="0"/>
              <w:rPr>
                <w:sz w:val="16"/>
                <w:szCs w:val="16"/>
                <w:color w:val="auto"/>
              </w:rPr>
            </w:pPr>
          </w:p>
        </w:tc>
        <w:tc>
          <w:tcPr>
            <w:tcW w:w="45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8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B Preferred Shares representing beneficial interests in Compass</w:t>
            </w:r>
          </w:p>
        </w:tc>
        <w:tc>
          <w:tcPr>
            <w:tcW w:w="1860" w:type="dxa"/>
            <w:vAlign w:val="bottom"/>
            <w:vMerge w:val="restart"/>
          </w:tcPr>
          <w:p>
            <w:pPr>
              <w:jc w:val="center"/>
              <w:ind w:right="161"/>
              <w:spacing w:after="0"/>
              <w:rPr>
                <w:sz w:val="20"/>
                <w:szCs w:val="20"/>
                <w:color w:val="auto"/>
              </w:rPr>
            </w:pPr>
            <w:r>
              <w:rPr>
                <w:rFonts w:ascii="Arial" w:cs="Arial" w:eastAsia="Arial" w:hAnsi="Arial"/>
                <w:sz w:val="16"/>
                <w:szCs w:val="16"/>
                <w:color w:val="auto"/>
              </w:rPr>
              <w:t>CODI PR B</w:t>
            </w:r>
          </w:p>
        </w:tc>
        <w:tc>
          <w:tcPr>
            <w:tcW w:w="4500" w:type="dxa"/>
            <w:vAlign w:val="bottom"/>
            <w:tcBorders>
              <w:right w:val="single" w:sz="8" w:color="auto"/>
            </w:tcBorders>
            <w:vMerge w:val="restart"/>
          </w:tcPr>
          <w:p>
            <w:pPr>
              <w:jc w:val="center"/>
              <w:ind w:right="79"/>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185"/>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Diversified Holdings</w:t>
            </w:r>
          </w:p>
        </w:tc>
        <w:tc>
          <w:tcPr>
            <w:tcW w:w="1860" w:type="dxa"/>
            <w:vAlign w:val="bottom"/>
            <w:tcBorders>
              <w:bottom w:val="single" w:sz="8" w:color="auto"/>
            </w:tcBorders>
            <w:vMerge w:val="continue"/>
          </w:tcPr>
          <w:p>
            <w:pPr>
              <w:spacing w:after="0"/>
              <w:rPr>
                <w:sz w:val="16"/>
                <w:szCs w:val="16"/>
                <w:color w:val="auto"/>
              </w:rPr>
            </w:pPr>
          </w:p>
        </w:tc>
        <w:tc>
          <w:tcPr>
            <w:tcW w:w="45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8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C Preferred Shares representing beneficial interests in Compass</w:t>
            </w:r>
          </w:p>
        </w:tc>
        <w:tc>
          <w:tcPr>
            <w:tcW w:w="1860" w:type="dxa"/>
            <w:vAlign w:val="bottom"/>
            <w:vMerge w:val="restart"/>
          </w:tcPr>
          <w:p>
            <w:pPr>
              <w:jc w:val="center"/>
              <w:ind w:right="141"/>
              <w:spacing w:after="0"/>
              <w:rPr>
                <w:sz w:val="20"/>
                <w:szCs w:val="20"/>
                <w:color w:val="auto"/>
              </w:rPr>
            </w:pPr>
            <w:r>
              <w:rPr>
                <w:rFonts w:ascii="Arial" w:cs="Arial" w:eastAsia="Arial" w:hAnsi="Arial"/>
                <w:sz w:val="16"/>
                <w:szCs w:val="16"/>
                <w:color w:val="auto"/>
              </w:rPr>
              <w:t>CODI PR C</w:t>
            </w:r>
          </w:p>
        </w:tc>
        <w:tc>
          <w:tcPr>
            <w:tcW w:w="4500" w:type="dxa"/>
            <w:vAlign w:val="bottom"/>
            <w:tcBorders>
              <w:right w:val="single" w:sz="8" w:color="auto"/>
            </w:tcBorders>
            <w:vMerge w:val="restart"/>
          </w:tcPr>
          <w:p>
            <w:pPr>
              <w:jc w:val="center"/>
              <w:ind w:right="79"/>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185"/>
        </w:trPr>
        <w:tc>
          <w:tcPr>
            <w:tcW w:w="4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Diversified Holdings</w:t>
            </w:r>
          </w:p>
        </w:tc>
        <w:tc>
          <w:tcPr>
            <w:tcW w:w="1860" w:type="dxa"/>
            <w:vAlign w:val="bottom"/>
            <w:tcBorders>
              <w:bottom w:val="single" w:sz="8" w:color="auto"/>
            </w:tcBorders>
            <w:vMerge w:val="continue"/>
          </w:tcPr>
          <w:p>
            <w:pPr>
              <w:spacing w:after="0"/>
              <w:rPr>
                <w:sz w:val="16"/>
                <w:szCs w:val="16"/>
                <w:color w:val="auto"/>
              </w:rPr>
            </w:pPr>
          </w:p>
        </w:tc>
        <w:tc>
          <w:tcPr>
            <w:tcW w:w="45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13"/>
        </w:trPr>
        <w:tc>
          <w:tcPr>
            <w:tcW w:w="48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60325</wp:posOffset>
            </wp:positionV>
            <wp:extent cx="17399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990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line="184" w:lineRule="exact"/>
        <w:tabs>
          <w:tab w:leader="none" w:pos="9560" w:val="left"/>
          <w:tab w:leader="none" w:pos="10240" w:val="left"/>
        </w:tabs>
        <w:rPr>
          <w:sz w:val="20"/>
          <w:szCs w:val="20"/>
          <w:color w:val="auto"/>
        </w:rPr>
      </w:pPr>
      <w:r>
        <w:rPr>
          <w:rFonts w:ascii="Arial" w:cs="Arial" w:eastAsia="Arial" w:hAnsi="Arial"/>
          <w:sz w:val="16"/>
          <w:szCs w:val="16"/>
          <w:color w:val="auto"/>
        </w:rPr>
        <w:t>Indicate by check mark if the registrants are collectively a well-known seasoned issuer, as defined in Rule 405 of the Securities Act.</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3" w:lineRule="exact"/>
        <w:rPr>
          <w:sz w:val="20"/>
          <w:szCs w:val="20"/>
          <w:color w:val="auto"/>
        </w:rPr>
      </w:pPr>
    </w:p>
    <w:p>
      <w:pPr>
        <w:ind w:right="1740"/>
        <w:spacing w:after="0" w:line="213" w:lineRule="exact"/>
        <w:rPr>
          <w:sz w:val="20"/>
          <w:szCs w:val="20"/>
          <w:color w:val="auto"/>
        </w:rPr>
      </w:pPr>
      <w:r>
        <w:rPr>
          <w:rFonts w:ascii="Arial" w:cs="Arial" w:eastAsia="Arial" w:hAnsi="Arial"/>
          <w:sz w:val="16"/>
          <w:szCs w:val="16"/>
          <w:color w:val="auto"/>
        </w:rPr>
        <w:t xml:space="preserve">Indicate by check mark if the registrants are collectively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0"/>
          <w:szCs w:val="20"/>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0"/>
          <w:szCs w:val="20"/>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registrants have submitted electronically every Interactive Data File required to be submitted pursuant to Rule 405 of Regulation S-T (§232.405 of this chapter) during the preceding 12 months (or for such shorter period that the registrants were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registrants are collectively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60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60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5060" w:type="dxa"/>
            <w:vAlign w:val="bottom"/>
          </w:tcPr>
          <w:p>
            <w:pPr>
              <w:ind w:left="260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8" w:lineRule="exact"/>
        <w:rPr>
          <w:sz w:val="20"/>
          <w:szCs w:val="20"/>
          <w:color w:val="auto"/>
        </w:rPr>
      </w:pPr>
    </w:p>
    <w:p>
      <w:pPr>
        <w:jc w:val="both"/>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6" w:lineRule="exact"/>
        <w:rPr>
          <w:sz w:val="20"/>
          <w:szCs w:val="20"/>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96" w:lineRule="exact"/>
        <w:rPr>
          <w:sz w:val="20"/>
          <w:szCs w:val="20"/>
          <w:color w:val="auto"/>
        </w:rPr>
      </w:pPr>
    </w:p>
    <w:p>
      <w:pPr>
        <w:jc w:val="both"/>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83" w:lineRule="exact"/>
        <w:rPr>
          <w:sz w:val="20"/>
          <w:szCs w:val="20"/>
          <w:color w:val="auto"/>
        </w:rPr>
      </w:pPr>
    </w:p>
    <w:p>
      <w:pPr>
        <w:jc w:val="both"/>
        <w:spacing w:after="0" w:line="233" w:lineRule="exact"/>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Arial" w:cs="Arial" w:eastAsia="Arial" w:hAnsi="Arial"/>
          <w:sz w:val="21"/>
          <w:szCs w:val="21"/>
          <w:u w:val="single" w:color="auto"/>
          <w:color w:val="auto"/>
        </w:rPr>
        <w: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94" w:lineRule="exact"/>
        <w:rPr>
          <w:sz w:val="20"/>
          <w:szCs w:val="20"/>
          <w:color w:val="auto"/>
        </w:rPr>
      </w:pPr>
    </w:p>
    <w:p>
      <w:pPr>
        <w:spacing w:after="0" w:line="184" w:lineRule="exact"/>
        <w:tabs>
          <w:tab w:leader="none" w:pos="8480" w:val="left"/>
          <w:tab w:leader="none" w:pos="9060" w:val="left"/>
          <w:tab w:leader="none" w:pos="9440" w:val="left"/>
        </w:tabs>
        <w:rPr>
          <w:sz w:val="20"/>
          <w:szCs w:val="20"/>
          <w:color w:val="auto"/>
        </w:rPr>
      </w:pPr>
      <w:r>
        <w:rPr>
          <w:rFonts w:ascii="Arial" w:cs="Arial" w:eastAsia="Arial" w:hAnsi="Arial"/>
          <w:sz w:val="16"/>
          <w:szCs w:val="16"/>
          <w:color w:val="auto"/>
        </w:rPr>
        <w:t>Indicate by check mark whether the registrants are collectively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w:t>
      </w:r>
      <w:r>
        <w:rPr>
          <w:sz w:val="20"/>
          <w:szCs w:val="20"/>
          <w:color w:val="auto"/>
        </w:rPr>
        <w:tab/>
      </w:r>
      <w:r>
        <w:rPr>
          <w:rFonts w:ascii="MS PGothic" w:cs="MS PGothic" w:eastAsia="MS PGothic" w:hAnsi="MS PGothic"/>
          <w:sz w:val="14"/>
          <w:szCs w:val="14"/>
          <w:color w:val="auto"/>
        </w:rPr>
        <w:t>☑</w:t>
      </w:r>
    </w:p>
    <w:p>
      <w:pPr>
        <w:spacing w:after="0" w:line="216"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6"/>
          <w:szCs w:val="16"/>
          <w:color w:val="auto"/>
        </w:rPr>
        <w:t>The aggregate market value of the outstanding common shares of trust stock held by non-affiliates of Compass Diversified Holdings at June 30, 2024 was $1,442,225,119 based on the closing price on the New York Stock Exchange on that date. For purposes of the foregoing calculation only, all directors and officers of the registrant have been deemed affiliates. There were 75,235,966 common shares of trust stock without par value outstanding at February 24, 2025.</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8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Certain information in the registrant’s definitive proxy statement to be filed with the Commission within 120 days after the end of the fiscal year to which this report relates relating to the registrants' 2025 Annual Meeting of Shareholders is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909320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81915</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80" w:type="dxa"/>
            <w:vAlign w:val="bottom"/>
            <w:gridSpan w:val="10"/>
          </w:tcPr>
          <w:p>
            <w:pPr>
              <w:ind w:left="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13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6"/>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Item 1.</w:t>
            </w:r>
          </w:p>
        </w:tc>
        <w:tc>
          <w:tcPr>
            <w:tcW w:w="740" w:type="dxa"/>
            <w:vAlign w:val="bottom"/>
            <w:gridSpan w:val="4"/>
          </w:tcPr>
          <w:p>
            <w:pPr>
              <w:spacing w:after="0"/>
              <w:rPr>
                <w:sz w:val="18"/>
                <w:szCs w:val="18"/>
                <w:color w:val="auto"/>
              </w:rPr>
            </w:pPr>
          </w:p>
        </w:tc>
        <w:tc>
          <w:tcPr>
            <w:tcW w:w="8980" w:type="dxa"/>
            <w:vAlign w:val="bottom"/>
            <w:gridSpan w:val="23"/>
          </w:tcPr>
          <w:p>
            <w:pPr>
              <w:spacing w:after="0"/>
              <w:rPr>
                <w:sz w:val="20"/>
                <w:szCs w:val="20"/>
                <w:color w:val="auto"/>
              </w:rPr>
            </w:pPr>
            <w:r>
              <w:rPr>
                <w:rFonts w:ascii="Arial" w:cs="Arial" w:eastAsia="Arial" w:hAnsi="Arial"/>
                <w:sz w:val="18"/>
                <w:szCs w:val="18"/>
                <w:color w:val="0000FF"/>
              </w:rPr>
              <w:t>Business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7980" w:type="dxa"/>
            <w:vAlign w:val="bottom"/>
            <w:gridSpan w:val="19"/>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898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1C.</w:t>
            </w:r>
          </w:p>
        </w:tc>
        <w:tc>
          <w:tcPr>
            <w:tcW w:w="1100" w:type="dxa"/>
            <w:vAlign w:val="bottom"/>
            <w:gridSpan w:val="5"/>
          </w:tcPr>
          <w:p>
            <w:pPr>
              <w:spacing w:after="0"/>
              <w:rPr>
                <w:sz w:val="20"/>
                <w:szCs w:val="20"/>
                <w:color w:val="auto"/>
              </w:rPr>
            </w:pPr>
            <w:r>
              <w:rPr>
                <w:rFonts w:ascii="Arial" w:cs="Arial" w:eastAsia="Arial" w:hAnsi="Arial"/>
                <w:sz w:val="18"/>
                <w:szCs w:val="18"/>
                <w:color w:val="0000FF"/>
                <w:w w:val="98"/>
              </w:rPr>
              <w:t>Cybersecurity</w:t>
            </w:r>
          </w:p>
        </w:tc>
        <w:tc>
          <w:tcPr>
            <w:tcW w:w="1140" w:type="dxa"/>
            <w:vAlign w:val="bottom"/>
            <w:gridSpan w:val="6"/>
          </w:tcPr>
          <w:p>
            <w:pPr>
              <w:spacing w:after="0"/>
              <w:rPr>
                <w:sz w:val="18"/>
                <w:szCs w:val="18"/>
                <w:color w:val="auto"/>
              </w:rPr>
            </w:pPr>
          </w:p>
        </w:tc>
        <w:tc>
          <w:tcPr>
            <w:tcW w:w="6740" w:type="dxa"/>
            <w:vAlign w:val="bottom"/>
            <w:gridSpan w:val="12"/>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820" w:type="dxa"/>
            <w:vAlign w:val="bottom"/>
            <w:gridSpan w:val="2"/>
          </w:tcPr>
          <w:p>
            <w:pPr>
              <w:spacing w:after="0"/>
              <w:rPr>
                <w:sz w:val="20"/>
                <w:szCs w:val="20"/>
                <w:color w:val="auto"/>
              </w:rPr>
            </w:pPr>
            <w:r>
              <w:rPr>
                <w:rFonts w:ascii="Arial" w:cs="Arial" w:eastAsia="Arial" w:hAnsi="Arial"/>
                <w:sz w:val="18"/>
                <w:szCs w:val="18"/>
                <w:color w:val="0000FF"/>
                <w:w w:val="97"/>
              </w:rPr>
              <w:t>Properties</w:t>
            </w:r>
          </w:p>
        </w:tc>
        <w:tc>
          <w:tcPr>
            <w:tcW w:w="280" w:type="dxa"/>
            <w:vAlign w:val="bottom"/>
            <w:gridSpan w:val="3"/>
          </w:tcPr>
          <w:p>
            <w:pPr>
              <w:spacing w:after="0"/>
              <w:rPr>
                <w:sz w:val="18"/>
                <w:szCs w:val="18"/>
                <w:color w:val="auto"/>
              </w:rPr>
            </w:pPr>
          </w:p>
        </w:tc>
        <w:tc>
          <w:tcPr>
            <w:tcW w:w="7880" w:type="dxa"/>
            <w:vAlign w:val="bottom"/>
            <w:gridSpan w:val="18"/>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898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98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PART II</w:t>
            </w:r>
          </w:p>
        </w:tc>
        <w:tc>
          <w:tcPr>
            <w:tcW w:w="680" w:type="dxa"/>
            <w:vAlign w:val="bottom"/>
            <w:gridSpan w:val="3"/>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8980" w:type="dxa"/>
            <w:vAlign w:val="bottom"/>
            <w:gridSpan w:val="23"/>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860" w:type="dxa"/>
            <w:vAlign w:val="bottom"/>
            <w:gridSpan w:val="22"/>
          </w:tcPr>
          <w:p>
            <w:pPr>
              <w:spacing w:after="0"/>
              <w:rPr>
                <w:sz w:val="20"/>
                <w:szCs w:val="20"/>
                <w:color w:val="auto"/>
              </w:rPr>
            </w:pPr>
            <w:r>
              <w:rPr>
                <w:rFonts w:ascii="Arial" w:cs="Arial" w:eastAsia="Arial" w:hAnsi="Arial"/>
                <w:sz w:val="18"/>
                <w:szCs w:val="18"/>
                <w:color w:val="0000FF"/>
              </w:rPr>
              <w:t>[Reserved]</w:t>
            </w:r>
          </w:p>
        </w:tc>
        <w:tc>
          <w:tcPr>
            <w:tcW w:w="1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1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900" w:type="dxa"/>
            <w:vAlign w:val="bottom"/>
            <w:gridSpan w:val="4"/>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708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900" w:type="dxa"/>
            <w:vAlign w:val="bottom"/>
            <w:gridSpan w:val="4"/>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720" w:type="dxa"/>
            <w:vAlign w:val="bottom"/>
            <w:gridSpan w:val="14"/>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60" w:type="dxa"/>
            <w:vAlign w:val="bottom"/>
            <w:gridSpan w:val="2"/>
          </w:tcPr>
          <w:p>
            <w:pPr>
              <w:spacing w:after="0"/>
              <w:rPr>
                <w:sz w:val="18"/>
                <w:szCs w:val="18"/>
                <w:color w:val="auto"/>
              </w:rPr>
            </w:pPr>
          </w:p>
        </w:tc>
        <w:tc>
          <w:tcPr>
            <w:tcW w:w="430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0000FF"/>
                <w:w w:val="93"/>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898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712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186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0000FF"/>
                <w:w w:val="93"/>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400" w:type="dxa"/>
            <w:vAlign w:val="bottom"/>
            <w:gridSpan w:val="6"/>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gridSpan w:val="4"/>
          </w:tcPr>
          <w:p>
            <w:pPr>
              <w:spacing w:after="0"/>
              <w:rPr>
                <w:sz w:val="18"/>
                <w:szCs w:val="18"/>
                <w:color w:val="auto"/>
              </w:rPr>
            </w:pPr>
          </w:p>
        </w:tc>
        <w:tc>
          <w:tcPr>
            <w:tcW w:w="7000" w:type="dxa"/>
            <w:vAlign w:val="bottom"/>
            <w:gridSpan w:val="13"/>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0000FF"/>
                <w:w w:val="93"/>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898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Item 10.</w:t>
            </w:r>
          </w:p>
        </w:tc>
        <w:tc>
          <w:tcPr>
            <w:tcW w:w="640" w:type="dxa"/>
            <w:vAlign w:val="bottom"/>
            <w:gridSpan w:val="2"/>
          </w:tcPr>
          <w:p>
            <w:pPr>
              <w:spacing w:after="0"/>
              <w:rPr>
                <w:sz w:val="18"/>
                <w:szCs w:val="18"/>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48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0000FF"/>
                <w:w w:val="93"/>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500" w:type="dxa"/>
            <w:vAlign w:val="bottom"/>
            <w:gridSpan w:val="15"/>
          </w:tcPr>
          <w:p>
            <w:pPr>
              <w:spacing w:after="0"/>
              <w:rPr>
                <w:sz w:val="20"/>
                <w:szCs w:val="20"/>
                <w:color w:val="auto"/>
              </w:rPr>
            </w:pPr>
            <w:r>
              <w:rPr>
                <w:rFonts w:ascii="Arial" w:cs="Arial" w:eastAsia="Arial" w:hAnsi="Arial"/>
                <w:sz w:val="18"/>
                <w:szCs w:val="18"/>
                <w:color w:val="0000FF"/>
              </w:rPr>
              <w:t>Executive Compensation</w:t>
            </w:r>
          </w:p>
        </w:tc>
        <w:tc>
          <w:tcPr>
            <w:tcW w:w="448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0000FF"/>
                <w:w w:val="93"/>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898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6020" w:type="dxa"/>
            <w:vAlign w:val="bottom"/>
            <w:gridSpan w:val="18"/>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80" w:type="dxa"/>
            <w:vAlign w:val="bottom"/>
            <w:gridSpan w:val="3"/>
          </w:tcPr>
          <w:p>
            <w:pPr>
              <w:spacing w:after="0"/>
              <w:rPr>
                <w:sz w:val="18"/>
                <w:szCs w:val="18"/>
                <w:color w:val="auto"/>
              </w:rPr>
            </w:pPr>
          </w:p>
        </w:tc>
        <w:tc>
          <w:tcPr>
            <w:tcW w:w="9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0000FF"/>
                <w:w w:val="93"/>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6020" w:type="dxa"/>
            <w:vAlign w:val="bottom"/>
            <w:gridSpan w:val="18"/>
          </w:tcPr>
          <w:p>
            <w:pPr>
              <w:spacing w:after="0"/>
              <w:rPr>
                <w:sz w:val="20"/>
                <w:szCs w:val="20"/>
                <w:color w:val="auto"/>
              </w:rPr>
            </w:pPr>
            <w:r>
              <w:rPr>
                <w:rFonts w:ascii="Arial" w:cs="Arial" w:eastAsia="Arial" w:hAnsi="Arial"/>
                <w:sz w:val="18"/>
                <w:szCs w:val="18"/>
                <w:color w:val="0000FF"/>
              </w:rPr>
              <w:t>Principal Accountant Fees and Services</w:t>
            </w:r>
          </w:p>
        </w:tc>
        <w:tc>
          <w:tcPr>
            <w:tcW w:w="296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0000FF"/>
                <w:w w:val="93"/>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Item 15.</w:t>
            </w:r>
          </w:p>
        </w:tc>
        <w:tc>
          <w:tcPr>
            <w:tcW w:w="620" w:type="dxa"/>
            <w:vAlign w:val="bottom"/>
          </w:tcPr>
          <w:p>
            <w:pPr>
              <w:spacing w:after="0"/>
              <w:rPr>
                <w:sz w:val="18"/>
                <w:szCs w:val="18"/>
                <w:color w:val="auto"/>
              </w:rPr>
            </w:pPr>
          </w:p>
        </w:tc>
        <w:tc>
          <w:tcPr>
            <w:tcW w:w="898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3500" w:type="dxa"/>
            <w:vAlign w:val="bottom"/>
            <w:gridSpan w:val="13"/>
          </w:tcPr>
          <w:p>
            <w:pPr>
              <w:spacing w:after="0"/>
              <w:rPr>
                <w:sz w:val="20"/>
                <w:szCs w:val="20"/>
                <w:color w:val="auto"/>
              </w:rPr>
            </w:pPr>
            <w:r>
              <w:rPr>
                <w:rFonts w:ascii="Arial" w:cs="Arial" w:eastAsia="Arial" w:hAnsi="Arial"/>
                <w:sz w:val="18"/>
                <w:szCs w:val="18"/>
                <w:color w:val="0000FF"/>
              </w:rPr>
              <w:t>Form 10-K Summary</w:t>
            </w:r>
          </w:p>
        </w:tc>
        <w:tc>
          <w:tcPr>
            <w:tcW w:w="548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0000FF"/>
                <w:w w:val="93"/>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9"/>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NOTE TO READER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Annual Report on Form 10-K, references to:</w:t>
      </w:r>
    </w:p>
    <w:p>
      <w:pPr>
        <w:spacing w:after="0" w:line="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refer to Compass Group Diversified Holdings LLC;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 to Compass Diversified Holdings and Compass Group Diversified Holdings LLC, collectively;</w:t>
      </w:r>
    </w:p>
    <w:p>
      <w:pPr>
        <w:spacing w:after="0" w:line="63" w:lineRule="exact"/>
        <w:rPr>
          <w:rFonts w:ascii="Arial" w:cs="Arial" w:eastAsia="Arial" w:hAnsi="Arial"/>
          <w:sz w:val="18"/>
          <w:szCs w:val="18"/>
          <w:color w:val="auto"/>
        </w:rPr>
      </w:pPr>
    </w:p>
    <w:p>
      <w:pPr>
        <w:ind w:left="660" w:right="38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all refer to, collectively, the businesses controlled by the Company;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 to Compass Group Management LLC (“CGM”);</w:t>
      </w:r>
    </w:p>
    <w:p>
      <w:pPr>
        <w:spacing w:after="0" w:line="63" w:lineRule="exact"/>
        <w:rPr>
          <w:rFonts w:ascii="Arial" w:cs="Arial" w:eastAsia="Arial" w:hAnsi="Arial"/>
          <w:sz w:val="18"/>
          <w:szCs w:val="18"/>
          <w:color w:val="auto"/>
        </w:rPr>
      </w:pPr>
    </w:p>
    <w:p>
      <w:pPr>
        <w:ind w:left="660" w:right="4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 to the Third Amended and Restated Trust Agreement of the Trust dated as of August 3, 2021, as further amended;</w:t>
      </w:r>
    </w:p>
    <w:p>
      <w:pPr>
        <w:spacing w:after="0" w:line="1"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"2022 Credit Facility" refers to the third amended and restated credit agreement entered into on July 12, 2022, as further amended, among the LLC, the lenders from time to time party thereto, Bank of America, N.A., as Administrative Agent, Swing Line Lender and letter of credit issuer (the "agent")</w:t>
      </w:r>
    </w:p>
    <w:p>
      <w:pPr>
        <w:spacing w:after="0" w:line="8"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"2022 Revolving Credit Facility" refers to the $600 million in revolving loans, swing line loans and letters of credit provided by the 2022 Credit Facility that matures in 2027;</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"2022 Term Loan" refer to the $400 million term loan provided by the 2022 Credit Facility;</w:t>
      </w:r>
    </w:p>
    <w:p>
      <w:pPr>
        <w:spacing w:after="0" w:line="76"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"2021 Credit Facility" refer to the second amended and restated credit agreement entered into on March 23, 2021 among the Company, the Lenders from time to time party thereto (the "Lenders"), Bank of America, N.A., as Administrative Agent, Swing Line Lender and L/C Issuer (the "agent") and other agents party thereto;</w:t>
      </w:r>
    </w:p>
    <w:p>
      <w:pPr>
        <w:spacing w:after="0" w:line="3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"2021 Revolving Credit Facility" refers to the $600 million in revolving loans, swing line loans and letters of credit provided by the 2021 Credit Facility that matures in 2026;</w:t>
      </w:r>
    </w:p>
    <w:p>
      <w:pPr>
        <w:spacing w:after="0" w:line="4"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refers to the Sixth Amended and Restated Operating Agreement of the Company dated as of August 3, 2021, as further amended; and</w:t>
      </w:r>
    </w:p>
    <w:p>
      <w:pPr>
        <w:spacing w:after="0" w:line="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36"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Statement Regarding Forward-Looking Disclosure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Annual Report on Form 10-K, including, but not limited to, the sections entitled “Risk Factors,” “Management’s Discussion and Analysis of Financial Condition and Results of Operations” and “Business,” contains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Forward looking statements include, among other things, (i) statements as to our future performance or liquidity, such as expectations for our results of operation, net income, adjusted EBITDA, adjusted earnings, and ability to make quarterly distributions and (ii) our plans, strategies and objectives for future operations, including our business outlook and planned capital expenditures. Forward-looking statements in this Annual Report on Form 10-K are subject to a number of risks and uncertainties, some of which are beyond our control, including, among other things:</w:t>
      </w:r>
    </w:p>
    <w:p>
      <w:pPr>
        <w:spacing w:after="0" w:line="23" w:lineRule="exact"/>
        <w:rPr>
          <w:sz w:val="20"/>
          <w:szCs w:val="20"/>
          <w:color w:val="auto"/>
        </w:rPr>
      </w:pPr>
    </w:p>
    <w:p>
      <w:pPr>
        <w:ind w:left="660" w:hanging="328"/>
        <w:spacing w:after="0" w:line="27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political or business conditions or economic, political or demographic trends in the United States ("U.S.") and other countries in which we have a presence, including changes in interest rates and inflation;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the global supply chain, labor shortages and high labor costs;</w:t>
      </w:r>
    </w:p>
    <w:p>
      <w:pPr>
        <w:spacing w:after="0" w:line="36"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and delays in integrating, or business disruptions following, acquisitions or an inability to fully realize cost savings and other benefit related thereto;</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our subsidiary businesses on a combined basis, and to effectively integrate and improve future acquisitions;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credit facilities or incur additional borrowings on terms we deem attractive;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remove CGM and CGM’s right to resign;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structure, which may limit our ability to meet our dividend and distribution policy;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and comply with the terms of our indebtedness;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distributions in the future to our shareholders;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the management fee and profit allocation if and when due;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and finance future acquisitions;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acquisition and management strategies;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legal and regulatory environment in which our subsidiaries operate;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in the industries in which our subsidiaries operate;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changes in laws or regulations (including the interpretation of these laws and regulations by regulatory authorities);</w:t>
      </w:r>
    </w:p>
    <w:p>
      <w:pPr>
        <w:spacing w:after="0" w:line="49"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possible disruption in operations or the economy generally due to terrorism or natural disaster or social, civil or political unrest;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 affecting the business or operations of our subsidiaries;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CGM’s ability to retain or replace qualified employees of our subsidiaries and CGM;</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tax reclassifications of the Trust;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legal and administrative proceedings, settlements, investigations and claims;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extraordinary or force majeure events affecting the business or operations of our subsidiary businesses.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 description of some of the risks that could cause our actual results to differ appears under the section “Risk Factors”. Additional risks of which we are not currently aware or which we currently deem immaterial could also cause our actual results to differ.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looking events discussed in this Annual Report on Form 10-K may not occur. For all of these forward-looking statements, we claim the protection of the safe harbor for forward-looking statements in Section 27A of the Securities Act and Section 21E of the Exchange Act. These forward-looking statements are made as of the date of this Annual Report. We undertake no obligation to publicly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u w:val="single" w:color="auto"/>
          <w:color w:val="auto"/>
        </w:rPr>
        <w:t>PART 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Compass Diversified Holdings, a Delaware statutory trust (“Holdings”, or the “Trust”), was incorporated in Delaware on November 18, 2005. Compass Group Diversified Holdings, LLC, a Delaware limited liability company (the “LLC”), was also formed on November 18, 2005. The Trust and the LLC (collectively, the “Company”) were formed to acquire and manage a group of small and middle-market businesses headquartered in North America. The Trust is the sole owner of 100% of the Trust Interests, as defined in our LLC Agreement, of the LLC. Pursuant to the LLC Agreement, the Trust owns an identical number of Trust Interests in the LLC as exist for the number of outstanding shares of the Trust.</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Trust was previously treated as a partnership for U.S. federal income tax purposes but elected, effective September 1, 2021, to be taxed as an association taxable as a corporation. Following this tax election, Trust shareholders should generally only be subject to taxation from holding Trust shares in connection with disposition of Trust shares and receipt of taxable dividends from the Trust. Trust shareholders subject to tax rules regarding “unrelated business taxable income” (or “UBTI”) will no longer be allocated UBTI from the Trust.</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LLC is the operating entity with a board of directors whose corporate governance responsibilities are similar to that of a Delaware corporation. The LLC’s board of directors oversees the management of the Company and our businesses and the performance of Compass Group Management LLC (“CGM” or our “Manager”). Certain persons who are employees and partners of our Manager receive a profit allocation as beneficial owners (through Sostratus LLC) of 54.0% of the Allocation Interests, as defined in our LLC Agreement.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acquire controlling interests in and actively manage businesses that we believe (i) operate in industries with long-term macroeconomic growth opportunities, (ii) have positive and stable cash flows, (iii) face minimal threats of technological or competitive obsolescence, and</w:t>
      </w:r>
    </w:p>
    <w:p>
      <w:pPr>
        <w:spacing w:after="0" w:line="2" w:lineRule="exact"/>
        <w:rPr>
          <w:sz w:val="20"/>
          <w:szCs w:val="20"/>
          <w:color w:val="auto"/>
        </w:rPr>
      </w:pPr>
    </w:p>
    <w:p>
      <w:pPr>
        <w:ind w:right="20" w:firstLine="8"/>
        <w:spacing w:after="0" w:line="266"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strong management teams largely in place. We offer investors a unique opportunity to own a diverse group of leading middle-market businesses in the branded-consumer, industrial and healthcare and critical outsourced services sectors.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disciplined approach to our target markets provides opportunities to methodically acquire and manage attractive businesses that will create value for our shareholders. For sellers of businesses, our unique financial structure allows us to purchase businesses efficiently with little or no third party financing contingencies and, following acquisition, to provide our businesses with substantial access to growth capital. In addition, our permanent capital model and ample liquidity allows us to acquire businesses at any point across economic cycles, ensuring that we are able to act quickly when the opportunity presents itself, even when markets are volatile.</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We believe that private company operators and corporate parents looking to sell their business units may consider us an attractive purchaser because of our ability to:</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ongoing strategic and financial support for their businesses, including professionalization of our subsidiaries at scale;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long-term outlook as to the ownership of those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sustainably invest in growth capital and/or add-on acquisitions where appropriate;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consummate transactions efficiently without being dependent on third-party transaction financing.</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particular, we believe that our long-term approach and our active management may alleviate the concern that many private company operators and parent companies may have with regard to their businesses going through multiple sale processes in a short period of time. We believe our approach enhances our ability to develop a comprehensive strategy to grow the earnings and cash flows of each of our businesses.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Finally, it has been our experience, that our ability to acquire businesses without the cumbersome delays and conditions typical of third-party transactional financing is appealing to sellers of businesses who are interested in confidentiality, speed and certainty of close.</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management team’s strong relationships with industry executives, accountants, attorneys, business brokers, commercial and investment bankers, and other potential sources of acquisition opportunities offer us substantial opportunities to assess small to middle market businesses available for acquisition. In addition,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18"/>
          <w:szCs w:val="18"/>
          <w:color w:val="auto"/>
        </w:rPr>
        <w:t>flexibility, creativity, experience and expertise of our management team in structuring transactions allows us to consider non-traditional and complex transactions tailored to fit a specific acquisition target.</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terms of the businesses in which we have a controlling interest as of December 31, 2024, we believe that these businesses have strong management teams, operate in strong markets with defensible market niches, and maintain long-standing customer relationships.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categorize the current businesses we own into two separate groups (i) branded consumer businesses and, (ii) industrial businesses. Branded consumer businesses are those businesses that we believe capitalize on a valuable brand name in their respective market sector. We believe that our branded consumer businesses are leaders in their product categories. Industrial businesses are those businesses that focus on manufacturing and selling products and/or industrial services within a specific market sector. We believe that our industrial businesses are leaders in their specific market sectors.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is a brief summary of the businesses in which we own a controlling interest at December 31, 2024: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Branded Consumer Businesses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5.11</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5.11 ABR Corp. ("5.11")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footwear and gear designed to enhance the safety, accuracy, speed and performance of tactical professionals and enthusiasts worldwide. Headquartered in Costa Mesa, California, 5.11 operates sales offices and distribution centers globally, and 5.11 products are widely distributed in uniform stores, military exchanges, outdoor retail stores, its own retail stores and on 511tactical.com. We made loans to and purchased a controlling interest in 5.11 for approximately $408.2 million in August 2016. We currently own 97.6% of the outstanding stock of 5.11 on a primary basis and 86.9% on a fully diluted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BOA Holdings Inc. ("BOA") creator of the revolutionary,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offices in Austria, Greater China, South Korea, and Japan. We made loans to, and acquired a controlling interest in, BOA on October 16, 2020 for approximately $456.8 million. We currently own 91.7% of the outstanding stock of BOA on a primary basis and 83.0% on a fully diluted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Lugano</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Lugano Holdings, Inc. ("Lugano"), is a leading designer, manufacturer and marketer of high-end, one-of-a-kind jewelry sought after by some of the world’s most discerning clientele. Lugano conducts sales via its own retail salons as well as pop-up showrooms at Lugano-hosted or sponsored events in partnership with influential organizations in the equestrian, art and philanthropic community. Lugano is headquartered in Newport Beach, California. We made loans to, and purchased a controlling interest in, Lugano on September 3, 2021 for approximately $265.1 million. We currently own 59.9% of the outstanding stock of Lugano on a primary basis and 55.0% on a fully diluted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PrimaLoft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PrimaLoft Technologies Holdings, Inc. ("PrimaLoft")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 w:name="page8"/>
    <w:bookmarkEnd w:id="7"/>
    <w:p>
      <w:pPr>
        <w:jc w:val="both"/>
        <w:spacing w:after="0" w:line="268" w:lineRule="auto"/>
        <w:rPr>
          <w:sz w:val="20"/>
          <w:szCs w:val="20"/>
          <w:color w:val="auto"/>
        </w:rPr>
      </w:pPr>
      <w:r>
        <w:rPr>
          <w:rFonts w:ascii="Arial" w:cs="Arial" w:eastAsia="Arial" w:hAnsi="Arial"/>
          <w:sz w:val="18"/>
          <w:szCs w:val="18"/>
          <w:color w:val="auto"/>
        </w:rPr>
        <w:t>to the brand partner and enable better sustainability characteristics through the use of recycled, low-carbon inputs. We made loans to, and purchased a controlling interest in, PrimaLoft on July 12, 2022 for approximately $541.1 million. PrimaLoft is headquartered in Latham, New York. We currently own 90.7% of the outstanding stock of PrimaLoft on a primary basis and 84.7% on a fully diluted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Honey Pot Co.</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Honey Pot Co. 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Honey Pot Co.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stores across the U.S. through mass merchants, drug and grocery retail chains, and online. We made loans to, and purchased a controlling interest in, The Honey Pot Co. on January 31, 2024 for approximately $380 million. The Honey Pot Co. is headquartered in Atlanta, Georgia. We currently own 84.8% of the outstanding stock of The Honey Pot Co. on a primary basis and 77.2% on a fully diluted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Velocity Outdoor</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Velocity Outdoor Inc. ("Velocity Outdoor" or "Velocity")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We made loans to, and purchased a controlling interest in, Velocity Outdoor on June 2, 2017 for approximately $150.4 million. Velocity Outdoor is headquartered in Rochester, New York. We currently own 99.4% of the outstanding stock of Velocity Outdoor on a primary basis and 93.3% on a fully diluted basis.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Solutions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FFI Compass, Inc. ("Altor Solutions" or "Altor") (formerly "Foam Fabricators"), headquartered in St. Louis, MO, is a designer and manufacturer of custom molded protective foam solutions and original equipment manufacturer ("OEM") components made from expanded polystyrene ("EPS") and other expanded polymers. Altor provides products to a variety of end-markets, including appliances and electronics, pharmaceuticals, health and wellness, automotive, building products and others. Altor’s molded foam solutions offer shock and vibration protection, surface protection, temperature control, resistance to water absorption and vapor transmission and other protective properties critical for shipping small, delicate items, heavy equipment or temperature-sensitive goods</w:t>
      </w:r>
      <w:r>
        <w:rPr>
          <w:rFonts w:ascii="Arial" w:cs="Arial" w:eastAsia="Arial" w:hAnsi="Arial"/>
          <w:sz w:val="18"/>
          <w:szCs w:val="18"/>
          <w:i w:val="1"/>
          <w:iCs w:val="1"/>
          <w:color w:val="auto"/>
        </w:rPr>
        <w:t>.</w:t>
      </w:r>
      <w:r>
        <w:rPr>
          <w:rFonts w:ascii="Arial" w:cs="Arial" w:eastAsia="Arial" w:hAnsi="Arial"/>
          <w:sz w:val="18"/>
          <w:szCs w:val="18"/>
          <w:color w:val="auto"/>
        </w:rPr>
        <w:t xml:space="preserve"> Altor operates molding and fabricating facilities across North America, creating a geographic footprint of strategically located manufacturing plants to efficiently serve national customer accounts. We acquired Altor on February 15, 2018 for a purchase price of approximately $253.4 million. We currently own 99.3% of the outstanding stock of Altor on a primary basis and 90.2% on a fully diluted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Arnold</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AMT Acquisition Corp. ("Arnold") serves a variety of markets including aerospace and defense, general industrial, motorsport/ automotive, oil and gas, medical, energy, semiconductor and advertising specialties. Over the course of more than 100 years, Arnold has successfully evolved and adapted its products, technologies, and manufacturing presence to meet the demands of current and emerging markets. Arnold engineers solutions for and produces high performance permanent magnets (PMAG), stators, rotors and full electric motors ("Ramco"), precision foil products (Precision Thin Metals or "PTM"), and flexible magnets (Flexmag™) that are mission critical in motors, generators, sensors and other systems and components. Arnold has expanded globally and built strong relationships with its customers worldwide. Arnold is the largest and, we believe, the most technically advanced U.S. manufacturer of engineered magnetic systems. Arnold is headquartered in Rochester, New York. We made loans to, and purchased a controlling interest in, Arnold on March 5, 2012 for approximately $128.8 million. We currently own 98.0% of the outstanding stock of Arnold on a primary basis and 85.8% on a fully diluted basis.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Sterno</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SternoCandleLamp Holdings, Inc. ("Sterno"), headquartered in Plano, Texas, is the parent company of Sterno Products, LLC ("Sterno Products") and Rimports, LLC ("Rimports"). Sterno is a leading manufacturer and marketer of portable food warming systems, creative indoor and outdoor lighting, and home fragrance solutions for the consumer markets. Sterno also manufactures creative indoor and outdoor lighting and home fragrance solutions for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 We made loans to, and purchased all of the equity interests in, Sterno on October 10, 2014 for approximately $ 160.0 million. Sterno offers a broad range of wick and gel chafing fuels, butane stoves and accessories, liquid and traditional wax candles, catering equipment and lamps through their Sterno Products division. In February 2018, Sterno acquired Rimports, a manufacturer and distributor of branded and private label scented wax cubes and warmer products used for home decor and fragrance systems. We currently own 98.5% of the outstanding stock of Sterno on a primary basis and 91.6% on a fully diluted basis.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businesses also represent our operating segments. See “</w:t>
      </w:r>
      <w:r>
        <w:rPr>
          <w:rFonts w:ascii="Arial" w:cs="Arial" w:eastAsia="Arial" w:hAnsi="Arial"/>
          <w:sz w:val="18"/>
          <w:szCs w:val="18"/>
          <w:u w:val="single" w:color="auto"/>
          <w:color w:val="0000FF"/>
        </w:rPr>
        <w:t>Our Businesses</w:t>
      </w:r>
      <w:r>
        <w:rPr>
          <w:rFonts w:ascii="Arial" w:cs="Arial" w:eastAsia="Arial" w:hAnsi="Arial"/>
          <w:sz w:val="18"/>
          <w:szCs w:val="18"/>
          <w:color w:val="auto"/>
        </w:rPr>
        <w:t>” and “</w:t>
      </w:r>
      <w:r>
        <w:rPr>
          <w:rFonts w:ascii="Arial" w:cs="Arial" w:eastAsia="Arial" w:hAnsi="Arial"/>
          <w:sz w:val="18"/>
          <w:szCs w:val="18"/>
          <w:u w:val="single" w:color="auto"/>
          <w:color w:val="0000FF"/>
        </w:rPr>
        <w:t>Note Q – Operating Segment Data</w:t>
      </w:r>
      <w:r>
        <w:rPr>
          <w:rFonts w:ascii="Arial" w:cs="Arial" w:eastAsia="Arial" w:hAnsi="Arial"/>
          <w:sz w:val="18"/>
          <w:szCs w:val="18"/>
          <w:color w:val="auto"/>
        </w:rPr>
        <w:t>” to our Consolidated Financial Statements for further discussion of our businesses as our operating segments, including information related to geographies.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Distributions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Common shares - For the 2024 fiscal year we declared distributions to our common shareholders totaling $1.00 per share.</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Preferred shares - For the 2024 fiscal year we declared distributions to our preferred shareholders totaling $1.8125 per share on our Series A Preferred Shares, $1.96875 per share on our Series B Preferred Shares and $1.96875 per share on our Series C Preferred Shares.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 2021, the shareholders of the Trust approved amendments to the Second Amended and Restated Trust Agreement of the Trust and the Fifth Amended and Restated Operating Agreement of the Company to allow the Company’s Board of Directors (the “Board”) to cause the Trust to elect to be treated as a corporation for U.S. federal income tax purposes (the “tax reclassification”) and, at its discretion in the future, cause the Trust to be converted to a corporation. Following the shareholder vote, the Board resolved to cause the Trust to elect to be treated as a corporation for U.S. federal income tax purposes. The Trust was taxed as a partnership for U.S. federal income tax purposes since January 1, 2007 and until the tax reclassification became effective on September 1, 2021.</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Trust is treated as a corporation for any taxable period beginning on or after the tax reclassification. Income, gain, loss, deduction and credit from the Trust is no longer passed through to the Trust shareholders. The Trust is required to file Form 1120, U.S. Corporation Income Tax Return on an annual basis and for all taxable periods beginning on or after the tax reclassification. In addition, distribution with respect to Trust shares (including Trust preferred shares) are now reported on Form 1099-DIV, instead of on Schedule K-1.</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file reports with the Securities and Exchange Commission (the "SEC" or the "Commission"), including Forms S-1 and S-3 under the Securities Act of 1933, as amended (the "Securities Act"), and Forms 10-K, 10-Q, and 8-K under the Securities Exchange Act of 1934, as amended (the "Exchange Act"), which include exhibits, schedules and amendments to those reports, as well as other filings required by the SEC. The SEC maintains an internet site that contains reports, proxy and information statements, and other information regarding issuers that file electronically with the SEC at http://www.sec.gov. In addition, copies of such reports, and amendments thereto, are available free of charge through our website at </w:t>
      </w:r>
      <w:r>
        <w:rPr>
          <w:rFonts w:ascii="Arial" w:cs="Arial" w:eastAsia="Arial" w:hAnsi="Arial"/>
          <w:sz w:val="18"/>
          <w:szCs w:val="18"/>
          <w:u w:val="single" w:color="auto"/>
          <w:color w:val="auto"/>
        </w:rPr>
        <w:t>https://compassdiversified.com/</w:t>
      </w:r>
      <w:r>
        <w:rPr>
          <w:rFonts w:ascii="Arial" w:cs="Arial" w:eastAsia="Arial" w:hAnsi="Arial"/>
          <w:sz w:val="18"/>
          <w:szCs w:val="18"/>
          <w:color w:val="auto"/>
        </w:rPr>
        <w:t xml:space="preserve"> as soon as reasonably practicable after such documents are electronically filed with, or furnished to, the SEC.</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 xml:space="preserve">Organizational Structure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6995160" cy="4980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498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right="240" w:hanging="434"/>
        <w:spacing w:after="0" w:line="182" w:lineRule="auto"/>
        <w:tabs>
          <w:tab w:leader="none" w:pos="460" w:val="left"/>
        </w:tabs>
        <w:numPr>
          <w:ilvl w:val="0"/>
          <w:numId w:val="7"/>
        </w:numPr>
        <w:rPr>
          <w:rFonts w:ascii="Arial" w:cs="Arial" w:eastAsia="Arial" w:hAnsi="Arial"/>
          <w:sz w:val="25"/>
          <w:szCs w:val="25"/>
          <w:b w:val="1"/>
          <w:bCs w:val="1"/>
          <w:color w:val="auto"/>
          <w:vertAlign w:val="superscript"/>
        </w:rPr>
      </w:pPr>
      <w:r>
        <w:rPr>
          <w:rFonts w:ascii="Arial" w:cs="Arial" w:eastAsia="Arial" w:hAnsi="Arial"/>
          <w:sz w:val="15"/>
          <w:szCs w:val="15"/>
          <w:color w:val="auto"/>
        </w:rPr>
        <w:t>The percentage holdings shown in respect to the trust reflect the ownership of the Trust common shares as of December 31, 2024, and the subsidiaries owned by the Company are as of December 31, 2024.</w:t>
      </w:r>
    </w:p>
    <w:p>
      <w:pPr>
        <w:spacing w:after="0" w:line="69" w:lineRule="exact"/>
        <w:rPr>
          <w:rFonts w:ascii="Arial" w:cs="Arial" w:eastAsia="Arial" w:hAnsi="Arial"/>
          <w:sz w:val="25"/>
          <w:szCs w:val="25"/>
          <w:b w:val="1"/>
          <w:bCs w:val="1"/>
          <w:color w:val="auto"/>
          <w:vertAlign w:val="superscript"/>
        </w:rPr>
      </w:pPr>
    </w:p>
    <w:p>
      <w:pPr>
        <w:jc w:val="both"/>
        <w:ind w:left="460" w:right="240" w:hanging="434"/>
        <w:spacing w:after="0" w:line="188" w:lineRule="auto"/>
        <w:tabs>
          <w:tab w:leader="none" w:pos="460" w:val="left"/>
        </w:tabs>
        <w:numPr>
          <w:ilvl w:val="0"/>
          <w:numId w:val="7"/>
        </w:numPr>
        <w:rPr>
          <w:rFonts w:ascii="Arial" w:cs="Arial" w:eastAsia="Arial" w:hAnsi="Arial"/>
          <w:sz w:val="25"/>
          <w:szCs w:val="25"/>
          <w:b w:val="1"/>
          <w:bCs w:val="1"/>
          <w:color w:val="auto"/>
          <w:vertAlign w:val="superscript"/>
        </w:rPr>
      </w:pPr>
      <w:r>
        <w:rPr>
          <w:rFonts w:ascii="Arial" w:cs="Arial" w:eastAsia="Arial" w:hAnsi="Arial"/>
          <w:sz w:val="15"/>
          <w:szCs w:val="15"/>
          <w:color w:val="auto"/>
        </w:rPr>
        <w:t>At December 31, 2024, 88.7% of the outstanding Trust common stock is held by non-affiliates of the Company. The remaining amount of Trust common shares are held by affiliates of the Company, including CGI Maygar Holdings, LLC, which held 9.2% of the Trust common shares at December 31, 2024. Path Spirit Limited is the ultimate controlling person of CGI Holdings Maygar LLC. 2.1% of the Trust common shares are held by our directors and officers.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3)</w:t>
      </w:r>
    </w:p>
    <w:p>
      <w:pPr>
        <w:spacing w:after="0" w:line="22" w:lineRule="exact"/>
        <w:rPr>
          <w:sz w:val="20"/>
          <w:szCs w:val="20"/>
          <w:color w:val="auto"/>
        </w:rPr>
      </w:pPr>
    </w:p>
    <w:p>
      <w:pPr>
        <w:ind w:left="460" w:right="240"/>
        <w:spacing w:after="0" w:line="236" w:lineRule="auto"/>
        <w:rPr>
          <w:sz w:val="20"/>
          <w:szCs w:val="20"/>
          <w:color w:val="auto"/>
        </w:rPr>
      </w:pPr>
      <w:r>
        <w:rPr>
          <w:rFonts w:ascii="Arial" w:cs="Arial" w:eastAsia="Arial" w:hAnsi="Arial"/>
          <w:sz w:val="15"/>
          <w:szCs w:val="15"/>
          <w:color w:val="auto"/>
        </w:rPr>
        <w:t>54.0% beneficially owned by certain persons who are employees and partners of our Manager. A former member of our Board, and the former founding partners and certain former employees of the Manager, are non-managing members.</w:t>
      </w:r>
    </w:p>
    <w:p>
      <w:pPr>
        <w:ind w:left="460" w:hanging="434"/>
        <w:spacing w:after="0" w:line="225" w:lineRule="auto"/>
        <w:tabs>
          <w:tab w:leader="none" w:pos="460" w:val="left"/>
        </w:tabs>
        <w:numPr>
          <w:ilvl w:val="0"/>
          <w:numId w:val="8"/>
        </w:numPr>
        <w:rPr>
          <w:rFonts w:ascii="Arial" w:cs="Arial" w:eastAsia="Arial" w:hAnsi="Arial"/>
          <w:sz w:val="25"/>
          <w:szCs w:val="25"/>
          <w:b w:val="1"/>
          <w:bCs w:val="1"/>
          <w:color w:val="auto"/>
          <w:vertAlign w:val="superscript"/>
        </w:rPr>
      </w:pPr>
      <w:r>
        <w:rPr>
          <w:rFonts w:ascii="Arial" w:cs="Arial" w:eastAsia="Arial" w:hAnsi="Arial"/>
          <w:sz w:val="15"/>
          <w:szCs w:val="15"/>
          <w:color w:val="auto"/>
        </w:rPr>
        <w:t>Mr. Sabo is a partner of this entity. The Manager owns less than 1.0% of the common shares of the Trust.</w:t>
      </w:r>
    </w:p>
    <w:p>
      <w:pPr>
        <w:spacing w:after="0" w:line="111" w:lineRule="exact"/>
        <w:rPr>
          <w:rFonts w:ascii="Arial" w:cs="Arial" w:eastAsia="Arial" w:hAnsi="Arial"/>
          <w:sz w:val="25"/>
          <w:szCs w:val="25"/>
          <w:b w:val="1"/>
          <w:bCs w:val="1"/>
          <w:color w:val="auto"/>
          <w:vertAlign w:val="superscript"/>
        </w:rPr>
      </w:pPr>
    </w:p>
    <w:p>
      <w:pPr>
        <w:ind w:left="460" w:hanging="434"/>
        <w:spacing w:after="0" w:line="185" w:lineRule="auto"/>
        <w:tabs>
          <w:tab w:leader="none" w:pos="460" w:val="left"/>
        </w:tabs>
        <w:numPr>
          <w:ilvl w:val="0"/>
          <w:numId w:val="8"/>
        </w:numPr>
        <w:rPr>
          <w:rFonts w:ascii="Arial" w:cs="Arial" w:eastAsia="Arial" w:hAnsi="Arial"/>
          <w:sz w:val="21"/>
          <w:szCs w:val="21"/>
          <w:b w:val="1"/>
          <w:bCs w:val="1"/>
          <w:color w:val="auto"/>
          <w:vertAlign w:val="superscript"/>
        </w:rPr>
      </w:pPr>
      <w:r>
        <w:rPr>
          <w:rFonts w:ascii="Arial" w:cs="Arial" w:eastAsia="Arial" w:hAnsi="Arial"/>
          <w:sz w:val="13"/>
          <w:szCs w:val="13"/>
          <w:color w:val="auto"/>
        </w:rPr>
        <w:t>The Allocation Interests, which carry the right to receive a profit allocation, represent less than 0.1% equity interest in the Company.</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Manager</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Manager, CGM, has been engaged to manage the day-to-day operations and affairs of the Company and to execute our strategy, as discussed below. Collectively, our management team has extensive experience in acquiring and managing small and middle market businesses. We believe our Manager is unique in the marketplace in terms of the success and experience of its employees in acquiring and managing diverse businesses of the size and</w:t>
      </w:r>
    </w:p>
    <w:p>
      <w:pPr>
        <w:sectPr>
          <w:pgSz w:w="11900" w:h="16838" w:orient="portrait"/>
          <w:cols w:equalWidth="0" w:num="1">
            <w:col w:w="11240"/>
          </w:cols>
          <w:pgMar w:left="320" w:top="125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type w:val="continuous"/>
        </w:sectPr>
      </w:pPr>
    </w:p>
    <w:bookmarkStart w:id="10" w:name="page11"/>
    <w:bookmarkEnd w:id="10"/>
    <w:p>
      <w:pPr>
        <w:jc w:val="both"/>
        <w:spacing w:after="0" w:line="287" w:lineRule="auto"/>
        <w:rPr>
          <w:sz w:val="20"/>
          <w:szCs w:val="20"/>
          <w:color w:val="auto"/>
        </w:rPr>
      </w:pPr>
      <w:r>
        <w:rPr>
          <w:rFonts w:ascii="Arial" w:cs="Arial" w:eastAsia="Arial" w:hAnsi="Arial"/>
          <w:sz w:val="18"/>
          <w:szCs w:val="18"/>
          <w:color w:val="auto"/>
        </w:rPr>
        <w:t>general nature of our businesses. We believe this experience will provide us with an advantage in executing our overall strategy. Our management team devotes substantially all of its time to the affairs of the Company.</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entered into a management services agreement, (the “Management Services Agreement” or “MSA”) pursuant to which our Manager manages the day-to-day operations and affairs of the Company and oversees the management and operations of our businesses. We pay our Manager a quarterly management fee for the services it performs on our behalf. In addition, certain persons who are employees and partners of our Manager receive a profit allocation with respect to its Allocation Interests in us. All of the Allocation Interests in us are owned by Sostratus LLC. Payment of profit allocations to Sostratus LLC can occur for each of our subsidiaries during the 30-day period following the fifth anniversary of the date upon which we acquired a controlling interest in that business (a "Holding Event") to the extent contribution based profit has been earned, and upon the sale of a subsidiary from which there is a realizable gain (a "Sale Event"). See Part III, Item 13 “</w:t>
      </w:r>
      <w:r>
        <w:rPr>
          <w:rFonts w:ascii="Arial" w:cs="Arial" w:eastAsia="Arial" w:hAnsi="Arial"/>
          <w:sz w:val="18"/>
          <w:szCs w:val="18"/>
          <w:u w:val="single" w:color="auto"/>
          <w:color w:val="0000FF"/>
        </w:rPr>
        <w:t>Certain Relationships and Related Transactions, and Director Independence</w:t>
      </w:r>
      <w:r>
        <w:rPr>
          <w:rFonts w:ascii="Arial" w:cs="Arial" w:eastAsia="Arial" w:hAnsi="Arial"/>
          <w:sz w:val="18"/>
          <w:szCs w:val="18"/>
          <w:color w:val="auto"/>
        </w:rPr>
        <w:t>” for further descriptions of the management fees and profit allocations.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Chief Executive Officer and Chief Financial Officer are employees of our Manager and have been seconded to us. Neither the Trust nor the LLC has any other employees. Although our Chief Executive Officer and Chief Financial Officer are employees of our Manager, they report directly to the LLC’s board of directors. The management fee paid to our Manager covers all expenses related to the services performed by our Manager, including the compensation of our Chief Executive Officer and other personnel providing services to us. The LLC reimburses our Manager for the compensation and related costs and expenses of our Chief Financial Officer and his staff, who dedicate substantially all of their time to the affairs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Developments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January 15, 2025, the LLC and the Manager entered into the Seventh Amended and Restated Management Services Agreement (the "MSA Amendment") to restructure the management fee under the MSA to consist of a base management fee and an incentive management fee. Pursuant to the MSA Amendment, the base management fee will be (i) 2% the Company’s adjusted net assets when the adjusted net assets are less than or equal to $3.5 billion (the “Initial Threshold Fee”),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Company’s Board. The MSA Amendment also eliminates the payment of integration services fees by the Company’s subsidiaries to the Manager and excludes excess cash held by the Company and the Company’s subsidiaries, subject to certain exceptions, from the calculation of the adjusted net assets of the Company, along with certain other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Part III, Item 13, “</w:t>
      </w:r>
      <w:r>
        <w:rPr>
          <w:rFonts w:ascii="Arial" w:cs="Arial" w:eastAsia="Arial" w:hAnsi="Arial"/>
          <w:sz w:val="18"/>
          <w:szCs w:val="18"/>
          <w:u w:val="single" w:color="auto"/>
          <w:color w:val="0000FF"/>
        </w:rPr>
        <w:t>Certain Relationships and Related Party Transactions, and Director Independence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acquire and actively manage small and middle market businesses. We characterize small to middle market businesses as those that generate annual cash flows of up to $100 million per year. We believe that the acquisition market for these businesses is highly fragmented and often provides opportunities to purchase at more attractive prices and achieve better outcomes for our shareholders. We believe this is driven by the following factors:</w:t>
      </w:r>
    </w:p>
    <w:p>
      <w:pPr>
        <w:spacing w:after="0" w:line="6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financing for these acquisitions is often less available or terms are less favorable for the borrower;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sellers of these businesses frequently consider non-economic factors, such as legacy or the effect of the sale on their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businesses are more likely to be sold outside of an auction process or as part of a limited process;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"add-on" acquisitions can often be completed at attractive multiples of cash flow.</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Frequently, opportunities exist to support and augment existing management at such businesses and improve the performance of these businesses upon their acquisition through active management. We are business builders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rather than asset traders. In the past, our management team has acquired businesses that were owned by entrepreneurs or large corporate parents. In these cases, our management team has frequently found opportunities to profitably invest in areas of the acquired businesses beyond levels that existed at the time of acquisition. In addition, our management team has frequently found that processes such as financial reporting and management information systems of acquired businesses may be improved, leading to improvements in reporting and operations and ultimately earnings and cash flow. Finally, our management team often acts as a business development arm for our businesses to pursue organic or external growth strategies that may not have been pursued by their previous owners.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permanent capital structure enables us to acquire, manage and grow attractive businesses that are leaders in their space. We actively invest in people, processes, and culture to support our business as we pursue disruptive growth opportunities and drive transformational change. We have two primary strategies that we use to support long-term value creation. First, we focus on growing the earnings and cash flow from our subsidiary businesses and help them professionalize at scale. We support our subsidiary companies’ growth initiatives and will work with our management teams to identify and acquire attractive add-on acquisitions that are consistent with their long-term strategies. We believe that the scale and scope of our businesses give us a diverse base of cash flow upon which to further build. Second, we identify, perform due diligence on, negotiate and consummate additional platform acquisitions of small to middle market businesses in attractive industry sectors in accordance with acquisition criteria established by the Board.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Strategy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management strategy involves the proactive financial and operational management of the subsidiaries we own in order to increase cash flows and shareholder value. Our Manager actively oversees and supports the management teams of each of our subsidiaries by, among other things:</w:t>
      </w:r>
    </w:p>
    <w:p>
      <w:pPr>
        <w:spacing w:after="0" w:line="9" w:lineRule="exact"/>
        <w:rPr>
          <w:sz w:val="20"/>
          <w:szCs w:val="20"/>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and retaining talented managers to operate our businesses using structured incentive compensation programs, including non-controlling equity ownership, tailored to each business;</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regularly monitoring financial and operational performance, instilling consistent financial discipline, and supporting management in the development and implementation of information systems to effectively achieve these goals;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and aligning with external policy and performance tailwinds such as those influenced by growing climate, health, and social justice concerns (and similar environmental, social and governance ("ESG") drivers);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assisting management in their analysis and pursuit of prudent organic growth strategies;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and working with management to execute attractive external growth and acquisition opportunities;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assisting management in controlling and right-sizing overhead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nurturing an internal culture of transparency, alignment, accountability and governance, including regular reporting;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professionalizing our subsidiaries at scale; and</w:t>
      </w:r>
    </w:p>
    <w:p>
      <w:pPr>
        <w:spacing w:after="0" w:line="6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forming strong subsidiary level boards of directors to supplement management in their development and implementation of strategic goals and objectives.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Specifically, while our businesses have different growth opportunities and potential rates of growth, we expect our Manager to work with the management teams of each of our businesses to increase the value of, and cash generated by, each business through various initiatives, including:</w:t>
      </w:r>
    </w:p>
    <w:p>
      <w:pPr>
        <w:spacing w:after="0" w:line="9" w:lineRule="exact"/>
        <w:rPr>
          <w:sz w:val="20"/>
          <w:szCs w:val="20"/>
          <w:color w:val="auto"/>
        </w:rPr>
      </w:pPr>
    </w:p>
    <w:p>
      <w:pPr>
        <w:ind w:left="660" w:right="20" w:hanging="328"/>
        <w:spacing w:after="0" w:line="28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selective capital investments to expand geographic reach, increase capacity, or reduce manufacturing costs of our businesses;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investing in product research and development for new products, processes or services for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improving and expanding existing sales and marketing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pursuing reductions in operating costs through improved operational efficiency or outsourcing of certain processes and products;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consolidating or improving management of certain overhead functions.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 w:name="page13"/>
    <w:bookmarkEnd w:id="12"/>
    <w:p>
      <w:pPr>
        <w:spacing w:after="0" w:line="281" w:lineRule="auto"/>
        <w:rPr>
          <w:sz w:val="20"/>
          <w:szCs w:val="20"/>
          <w:color w:val="auto"/>
        </w:rPr>
      </w:pPr>
      <w:r>
        <w:rPr>
          <w:rFonts w:ascii="Arial" w:cs="Arial" w:eastAsia="Arial" w:hAnsi="Arial"/>
          <w:sz w:val="18"/>
          <w:szCs w:val="18"/>
          <w:color w:val="auto"/>
        </w:rPr>
        <w:t>Our businesses typically acquire and integrate complementary businesses. We believe that complementary add-on acquisitions improve our overall financial and operational performance by allowing us to:</w:t>
      </w:r>
    </w:p>
    <w:p>
      <w:pPr>
        <w:spacing w:after="0" w:line="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manufacturing and distribution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branding and marketing programs, as well as customer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experienced management or management expertise;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market share and penetrate new markets; and</w:t>
      </w:r>
    </w:p>
    <w:p>
      <w:pPr>
        <w:spacing w:after="0" w:line="6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realize cost synergies by allocating the corporate overhead expenses of our businesses across a larger number of businesses and by implementing and coordinating improved management practices.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Strategy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acquisition strategy is to acquire middle-market companies that we believe have a sustainable competitive advantage and are poised to gain share in attractive markets. Our goal is to produce stable and growing earnings and cash flow. We expect to make platform acquisitions in industries other than those in which our businesses currently operate. We believe that attractive opportunities will continue to present themselves, as private sector owners seek to monetize their interests in long-standing and privately-held businesses and large corporate parents seek to dispose of their “non-core”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ideal acquisition candidate has the following characteristics:</w:t>
      </w:r>
    </w:p>
    <w:p>
      <w:pPr>
        <w:spacing w:after="0" w:line="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a leading branded consumer, industrial, healthcare or critical outsourced service company headquartered in North America;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maintains highly defensible position in the markets it serves and with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operates in an industry with favorable long-term macroeconomic trends;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has a strong management team, either currently in place or previously identified, and meaningful incentives;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has low technological and/or product obsolescence risk;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maintains a diversified customer and supplier base.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benefit from our Manager’s ability to identify potential diverse acquisition opportunities in a variety of industries. In addition, we rely upon our management team’s experience and expertise in researching and valuing prospective target businesses, as well as negotiating the ultimate acquisition of such target businesses. In particular, because there may be a lack of information available about these target businesses, which may make it more difficult to understand or appropriately value such target businesses, on our behalf, our Manager:</w:t>
      </w:r>
    </w:p>
    <w:p>
      <w:pPr>
        <w:spacing w:after="0" w:line="1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engages in a substantial level of internal and third-party due diligence;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critically evaluates the target management team;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identifies and assesses any financial and operational strengths and weaknesses of the target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analyzes comparable businesses to assess financial and operational performances relative to industry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actively researches and evaluates information on the relevant industry;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thoroughly negotiates appropriate terms and conditions of any acquisition.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process of acquiring new businesses is both time-consuming and complex. Our management team historically has taken from two to twenty-four months to perform due diligence, negotiate and close acquisitions. Although our management team is at various stages of evaluating several transactions at any given time, there may be periods of time during which our management team does not recommend any new acquisitions to us. Even if an acquisition is recommended by our management team, our Board may not approve it.</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company level largely through our existing credit facility. We believe, and it has been our experience, that having the ability to finance our acquisitions with capital resources raised by us, rather than negotiating separate third-party financing, provides us with an advantage in successfully acquiring attractive businesses by minimizing delay and closing conditions that are often related to acquisition-specific financings. In addition, our strategy of providing this intercompany debt financing within the capital structure of the businesses we acquire and manage allows us the ability to distribute cash to the parent company through monthly interest payments and amortization of principle on these intercompany loans.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3" w:name="page14"/>
    <w:bookmarkEnd w:id="13"/>
    <w:p>
      <w:pPr>
        <w:jc w:val="both"/>
        <w:spacing w:after="0" w:line="287" w:lineRule="auto"/>
        <w:rPr>
          <w:sz w:val="20"/>
          <w:szCs w:val="20"/>
          <w:color w:val="auto"/>
        </w:rPr>
      </w:pPr>
      <w:r>
        <w:rPr>
          <w:rFonts w:ascii="Arial" w:cs="Arial" w:eastAsia="Arial" w:hAnsi="Arial"/>
          <w:sz w:val="18"/>
          <w:szCs w:val="18"/>
          <w:color w:val="auto"/>
        </w:rPr>
        <w:t>Upon acquisition of a new business, we rely on our Manager’s experience and expertise to work efficiently and effectively with the management of the new business to jointly develop and execute a successful business plan.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Advantages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experience of our management team and its ability to identify and negotiate acquisitions, we believe we are well-positioned to acquire and manage additional businesses. Our management team has strong relationships with business brokers, investment and commercial bankers, accountants, attorneys and other potential sources of acquisition opportunities. In addition, our management team has a successful track record of acquiring and managing small-to-middle market businesses in various industries. In negotiating these acquisitions, we believe our management team has been able to successfully navigate complex situations surrounding acquisitions, including corporate spin-offs, transitions of family-owned businesses, management buy-outs and reorganizations.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team has a large network that we estimate to be approximately 2,000 deal intermediaries who we expect to expose us to potential acquisitions. Through this network, as well as our management team’s proprietary transaction sourcing efforts, we have a substantial pipeline of potential acquisition targets. Our management team also has a well-established network of contacts, including professional managers, attorneys, accountants and other third-party consultants and advisors, who may be available to assist us in the performance of due diligence and the negotiation of acquisitions, as well as the management and operation of our acquired businesses.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because we intend to fund acquisitions through the utilization of our 2022 Revolving Credit Facility, we expect to minimize the delays and closing conditions typically associated with transaction specific financing, as is typically the case in such acquisitions. We believe this advantage can be a powerful one, especially in a tight credit environment, and is highly unusual in the marketplace for acquisitions in which we operate.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Due Diligence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When evaluating businesses or assets for acquisition, our management team performs rigorous due diligence and a financial evaluation process including an evaluation of the operations of the target business and the outlook for its industry. While valuation of a business is a subjective process, we define valuations under a variety of analyses, including:</w:t>
      </w:r>
    </w:p>
    <w:p>
      <w:pPr>
        <w:spacing w:after="0" w:line="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discounted cash flow analyses;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evaluation of trading values of comparable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expected value matrices;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examination of comparable recent transactions.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 outcome of this process is a projection of the expected cash flows from the target business. A further outcome is a better understanding of the types and levels of risk associated with those projections. While future performance and projections are always uncertain, we believe that with detailed due diligence, future cash flows will be better estimated and the prospects for operating the business in the future better evaluated. To assist us in identifying material risks and validating key assumptions in our financial and operational analysis, in addition to our own analysis, we engage third-party experts to review key risk areas, including legal, tax, regulatory, accounting, insurance and environmental. We also engage technical, operational or industry consultants, as necessary.</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further critical component of the evaluation of potential target businesses is the assessment of the capability of the existing management team, including recent performance, expertise, experience, culture and incentives to perform. Where necessary, and consistent with our management strategy, we actively seek to augment, supplement or replace existing members of management who we believe are not likely to execute our business plan for the target business. Similarly, we analyze and evaluate the financial and operational information systems of target businesses and, where necessary, we enhance and improve those existing systems that are deemed to be inadequate or insufficient to support our business plan for the target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last few years, companies, investors and policymakers have focused more attention on - and have made investments in - companies that are considered leaders in ESG practices. We believe that ESG engagement can help drive value creation and have incorporated ESG factors into our acquisition analysis and decision making. We believe strong ESG practices can be long-term performance enhancing and enable us to oversee and balance the needs of important stakeholders in doing so. We are committed to maintaining responsible business practices that position our businesses for long-term success.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4" w:name="page15"/>
    <w:bookmarkEnd w:id="14"/>
    <w:p>
      <w:pPr>
        <w:jc w:val="both"/>
        <w:spacing w:after="0" w:line="287" w:lineRule="auto"/>
        <w:rPr>
          <w:sz w:val="20"/>
          <w:szCs w:val="20"/>
          <w:color w:val="auto"/>
        </w:rPr>
      </w:pPr>
      <w:r>
        <w:rPr>
          <w:rFonts w:ascii="Arial" w:cs="Arial" w:eastAsia="Arial" w:hAnsi="Arial"/>
          <w:sz w:val="18"/>
          <w:szCs w:val="18"/>
          <w:color w:val="auto"/>
        </w:rPr>
        <w:t>Our long-term responsible approach is also reflected in how we manage ourselves. We have been and remain committed to being a responsible partner to our subsidiaries and are proud stewards of corporate citizenship.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incur third-party debt financing almost entirely at the Company level, which we use, in combination with our equity capital, to provide debt financing to each of our businesses and to acquire additional businesses. We believe this financing structure is beneficial to the financial and operational activities of each of our businesses by aligning our interests as both equity holders of, and lenders to, our businesses, in a manner that we believe is more efficient than each of our businesses borrowing from third-party lenders.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Credit Facility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12, 2022, we entered into the Third Amended and Restated Credit Agreement to amend and restate the 2021 Credit Facility. The 2022 Credit Facility provides for revolving loans, swing line loans and letters of credit (the "2022 Revolving Credit Facility") up to a maximum aggregate amount of $600 million (the "2022 Revolving Loan Commitment") and a $400 million term loan (the “2022 Term Loan”). The 2022 Term Loan requires quarterly payments ranging from $ 2.5 million to $7.5 million, commencing September 30, 2022, with a final payment of all remaining principal and interest due on July 12, 2027, which is the 2022 Term Loan’s maturity date. All amounts outstanding under the 2022 Revolving Line of Credit will become due on July 12, 2027, which is the termination date of the 2022 Revolving Loan Commitment. The 2022 Credit Facility also permits the LLC, prior to the applicable maturity date, to increase the 2022 Revolving Loan Commitment and/or obtain additional term loans in an aggregate amount of up to $250 million, subject to certain customary restrictions and conditions. On the closing date for the 2022 Credit Facility, the 2022 Term Loan was advanced in full.</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2022 Credit Facility provides for letters of credit under the 2022 Revolving Credit Facility in an aggregate face amount not to exceed $100 million outstanding at any time, as well as swing line loans of up to $25 million outstanding at one time. At no time may the (i) aggregate principal amount of all amounts outstanding under the 2022 Revolving Credit Facility, plus (ii) the aggregate amount of all outstanding letters of credit and swing line loans, exceed the borrowing availability under the 2022 Credit Facility. At December 31, 2024, we had outstanding letters of credit totaling approximately $3.5 million. The borrowing availability under the 2022 Revolving Credit Facility at December 31, 2024 was approximately $486.6 million.</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2022 Credit Facility is secured by all of the assets of the Company, including all of its equity interests in, and loans to, its consolidated subsidiaries. (See "</w:t>
      </w:r>
      <w:r>
        <w:rPr>
          <w:rFonts w:ascii="Arial" w:cs="Arial" w:eastAsia="Arial" w:hAnsi="Arial"/>
          <w:sz w:val="18"/>
          <w:szCs w:val="18"/>
          <w:u w:val="single" w:color="auto"/>
          <w:color w:val="0000FF"/>
        </w:rPr>
        <w:t>Note H - Debt</w:t>
      </w:r>
      <w:r>
        <w:rPr>
          <w:rFonts w:ascii="Arial" w:cs="Arial" w:eastAsia="Arial" w:hAnsi="Arial"/>
          <w:sz w:val="18"/>
          <w:szCs w:val="18"/>
          <w:color w:val="auto"/>
        </w:rPr>
        <w:t>" to the consolidated financial statements for more detail regarding our 2022 Credit Facility).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Developments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9, 2025, the Company entered into a First Incremental Facility Amendment to modify the Company’s Third Amended and Restated Credit Agreement to provide for (a) an additional advance of the term loan in the aggregate amount of $ 200 million (the “Incremental Term Loan”) on the date of the amendment, and (b) delayed draw term loan commitments in the aggregate amount of $100 million (the “Incremental Delayed Draw Term Loan Commitments,” and the loan drawn thereunder is referred to herein as the “Incremental Delayed Draw Term Loan”), which may be reduced or terminated by the Company upon five business days’ notice and pursuant to which the Company may make no more than two draws by July 9, 2025. The proceeds from the Incremental Term Loan and the Incremental Delayed Draw Term Loan is expected to be used for new acquisitions, working capital, capital expenditures and other general corporate purposes. The Incremental Term Loan, along with the existing term loan under the Credit Agreement, will require quarterly repayments of principal amounts ranging from $3.75 million to $11.25 million, commencing March 31, 2025, with a final payment of principal and interest due on July 12, 2027.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17, 2021, we consummated the issuance and sale of $300 million aggregate principal amount of our 5.000% Notes due 2032 (the "2032 Notes") offered pursuant to a private offering to qualified institutional buyers in accordance with Rule 144A under the Securities Act, and to non-U.S. persons under Regulation S under the Securities Act. The 2032 Notes were issued pursuant to an indenture, dated as of November 17, 2021 (the “2032 Notes Indenture”), between the Company and U.S. Bank National Association, as trustee. The 2032 Notes bear interest at the rate of 5.000% per annum and will mature on January 15, 2032. Interest on the 2032 Notes is payable in cash on July 15th and January 15th of each year. The 2032 Notes are general unsecured obligations of</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5" w:name="page16"/>
    <w:bookmarkEnd w:id="15"/>
    <w:p>
      <w:pPr>
        <w:jc w:val="both"/>
        <w:ind w:right="20"/>
        <w:spacing w:after="0" w:line="287" w:lineRule="auto"/>
        <w:rPr>
          <w:sz w:val="20"/>
          <w:szCs w:val="20"/>
          <w:color w:val="auto"/>
        </w:rPr>
      </w:pPr>
      <w:r>
        <w:rPr>
          <w:rFonts w:ascii="Arial" w:cs="Arial" w:eastAsia="Arial" w:hAnsi="Arial"/>
          <w:sz w:val="18"/>
          <w:szCs w:val="18"/>
          <w:color w:val="auto"/>
        </w:rPr>
        <w:t>the Company and are not guaranteed by our subsidiaries. The proceeds from the sale of the 2032 Notes was used to repay debt outstanding under the 2021 Credit Facility.</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23, 2021, we consummated the issuance and sale of $1 billion aggregate principal amount of our 5.250% Notes due 2029 (the "2029 Notes") offered pursuant to a private offering to qualified institutional buyers in accordance with Rule 144A under the Securities Act, and to non-U.S. persons under Regulation S under the Securities Act. The 2029 Notes were issued pursuant to an indenture, dated as of March 23, 2021 (the “2029 Notes Indenture”), between the Company and U.S. Bank National Association, as trustee. The 2029 Notes bear interest at the rate of 5.250% per annum and will mature on April 15, 2029. Interest on the 2029 Notes is payable in cash on April 15th and October 15th of each year. The 2029 Notes are general unsecured obligations of the Company and are not guaranteed by our subsidiaries.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Trust Common Shares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Trust is authorized to issue 500,000,000 Trust common shares and the Company is authorized to issue a corresponding number of LLC interests. The Company will, at all times have an equal amount of LLC interests outstanding as Trust shares. At December 31, 2024, there were approximately 75.2 million Trust common shares outstanding.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15, 2024, the Board approved a share repurchase program authorizing the Company to repurchase, through December 31, 2024, subject to extension by the Board, up to $100 million of its outstanding common shares. The Company repurchased 416,320 shares for approximately $9.7 million during the year ended December 31, 2024. This share repurchase program expired on December 31, 2024.</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January 2023, the Company's Board approved a share repurchase program authorizing the Company to repurchase, through December 31, 2023, up to $50 million of its outstanding common shares. The Company repurchased 482,400 shares for approximately $9.2 million during the year ended December 31, 2023. The share repurchase program expired on December 31,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 market program - common shares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5, 2024, the Company refreshed its at-the-market program for the common shares of the Trust, which was initially established on September 7, 2021, by filing a prospectus supplement pursuant to which the Company may, but has no obligation to, issue and sell up to $500 million common shares of the Trust in amounts and at times to be determined by the Company. Actual sales will depend on a variety of factors to be determined by us from time to time, including, market conditions, the trading price of Trust common shares and determinations by us regarding appropriate sources of funding.</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refreshing the program, the Company entered into an Amended and Restated At Market Issuance Sales Agreement (the “Amended Common Sales Agreement”) with B. Riley Securities, Inc. ("B. Riley Securities"), Goldman Sachs &amp; Co. LLC ("Goldman") and TD Securities (USA) LLC (each a “Common Sales Agent” and, collectively, the “Common Sales Agents”). The Amended Common Sales Agreement provides that the Company may offer and sell Trust common shares from time to time through or to the Common Sales Agents, as sales agent or principal, up to $500 million, in amounts and at times to be determined by the Company. Pursuant to the Amended Common Sales Agreement, the shares may be offered and sold through each Common Sales Agent, acting separately,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The Amended Common Sales Agreement amended and restated in its entirety the At Market Issuance Sales Agreement (collectively with the Amended Common Sales Agreement, the “Common Sales Agreement”), dated September 7, 2021, between the Company, B. Riley Securities and Goldman, which provided for the offer and sale of Trust common shares up to $500 million under the terms substantially same as those under the Amended Common Sales Agreement.</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2024, the Company sold 381,957 Trust common shares under the Sales Agreement. For the same period, the Company received total net proceeds of approximately $8.4 million from these sales, and incurred approximately $0.1 million in commissions payable to the Sales Agents.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jc w:val="both"/>
        <w:ind w:right="20"/>
        <w:spacing w:after="0" w:line="287" w:lineRule="auto"/>
        <w:rPr>
          <w:sz w:val="20"/>
          <w:szCs w:val="20"/>
          <w:color w:val="auto"/>
        </w:rPr>
      </w:pPr>
      <w:r>
        <w:rPr>
          <w:rFonts w:ascii="Arial" w:cs="Arial" w:eastAsia="Arial" w:hAnsi="Arial"/>
          <w:sz w:val="18"/>
          <w:szCs w:val="18"/>
          <w:color w:val="auto"/>
        </w:rPr>
        <w:t>During the year ended December 31, 2023, there were no sales of Trust common shares under the Sales Agreement as the at-the-market program for common shares was not active when the share repurchase program was active.</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2022, the Company sold 3,464,844 Trust common shares under the Sales Agreement. For the same period, the Company received total net proceeds of approximately $84.0 million from these sales, and incurred approximately $1.5 million in commissions payable to the Sales Agents.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Trust Preferred Shares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Trust is authorized to issue up to 50,000,000 million Trust preferred shares and the Company is authorized to issue a corresponding number of Trust Interests. We issued 4,000,000 7.250% Series A Preferred Shares in 2017, 4,000,000 7.875% Series B Preferred Shares in 2018 and 4,600,000 7.875% Series C Preferred Shares in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 market program - preferred shares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5, 2024, the Company refreshed its at-the-market program for certain preferred shares of the Trust, which was initially established in the first quarter of 2024, by filing a prospectus supplement pursuant to which the Company may, but has no obligation to, issue and sell up to $200 million of the Trust’s 7.250% Series A Preferred Shares (the “Series A Preferred Shares”), 7.875% Series B Preferred Shares (the “Series B Preferred Shares”), and 7.875% Series C Preferred Shares (the “Series C Preferred Shares” and together with the Series A Preferred Shares, the Series B Preferred Shares, and the Series C Preferred Shares, the “Preferred Shares”), each representing beneficial interests in the Trust. The at-the-market program for preferred shares of the Trust was initially established on March 20, 2024 and allowed for the issuance and sale of up to $100 million of the Trust’s preferred shares.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refreshing the program, the Company entered into an Amended and Restated At Market Issuance Sales Agreement (the “Amended Preferred Sales Agreement”) with B. Riley Securities, Inc. (the “Preferred Sales Agent”). The Amended Preferred Sales Agreement provides that the Company may offer and sell Trust preferred shares from time to time through or to the Preferred Sales Agent, as sales agent or principal, up to $200 million, in amounts and at times to be determined by the Company. Pursuant to the Amended Preferred Sales Agreement, the shares may be offered and sold through the Preferred Sales Agent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The Amended Preferred Sales Agreement amended and restated in its entirety the At Market Issuance Sales Agreement (collectively with the Amended Preferred Sales Agreement, the “Preferred Sales Agreement”), dated March 20, 2024, between the Company and B. Riley Securities, which provided for the offer and sale of Trust preferred shares up to $100 million under the terms substantially same as those under the Amended Preferred Sales Agreement.</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 reflects the activity in the preferred share ATM program during the year ended December 31, 2024 </w:t>
      </w:r>
      <w:r>
        <w:rPr>
          <w:rFonts w:ascii="Arial" w:cs="Arial" w:eastAsia="Arial" w:hAnsi="Arial"/>
          <w:sz w:val="18"/>
          <w:szCs w:val="18"/>
          <w:i w:val="1"/>
          <w:iCs w:val="1"/>
          <w:color w:val="auto"/>
        </w:rPr>
        <w:t>(dollar amounts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208"/>
        </w:trPr>
        <w:tc>
          <w:tcPr>
            <w:tcW w:w="5780" w:type="dxa"/>
            <w:vAlign w:val="bottom"/>
          </w:tcPr>
          <w:p>
            <w:pPr>
              <w:spacing w:after="0"/>
              <w:rPr>
                <w:sz w:val="18"/>
                <w:szCs w:val="18"/>
                <w:color w:val="auto"/>
              </w:rPr>
            </w:pPr>
          </w:p>
        </w:tc>
        <w:tc>
          <w:tcPr>
            <w:tcW w:w="3980" w:type="dxa"/>
            <w:vAlign w:val="bottom"/>
            <w:tcBorders>
              <w:bottom w:val="single" w:sz="8" w:color="auto"/>
            </w:tcBorders>
            <w:gridSpan w:val="6"/>
          </w:tcPr>
          <w:p>
            <w:pPr>
              <w:jc w:val="center"/>
              <w:ind w:left="824"/>
              <w:spacing w:after="0"/>
              <w:rPr>
                <w:sz w:val="20"/>
                <w:szCs w:val="20"/>
                <w:color w:val="auto"/>
              </w:rPr>
            </w:pPr>
            <w:r>
              <w:rPr>
                <w:rFonts w:ascii="Arial" w:cs="Arial" w:eastAsia="Arial" w:hAnsi="Arial"/>
                <w:sz w:val="15"/>
                <w:szCs w:val="15"/>
                <w:b w:val="1"/>
                <w:bCs w:val="1"/>
                <w:color w:val="auto"/>
              </w:rPr>
              <w:t>Year ended December 31, 2024</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640" w:type="dxa"/>
            <w:vAlign w:val="bottom"/>
            <w:gridSpan w:val="2"/>
          </w:tcPr>
          <w:p>
            <w:pPr>
              <w:jc w:val="center"/>
              <w:ind w:right="80"/>
              <w:spacing w:after="0" w:line="142" w:lineRule="exact"/>
              <w:rPr>
                <w:sz w:val="20"/>
                <w:szCs w:val="20"/>
                <w:color w:val="auto"/>
              </w:rPr>
            </w:pPr>
            <w:r>
              <w:rPr>
                <w:rFonts w:ascii="Arial" w:cs="Arial" w:eastAsia="Arial" w:hAnsi="Arial"/>
                <w:sz w:val="15"/>
                <w:szCs w:val="15"/>
                <w:b w:val="1"/>
                <w:bCs w:val="1"/>
                <w:color w:val="auto"/>
              </w:rPr>
              <w:t>Number of Shares</w:t>
            </w:r>
          </w:p>
        </w:tc>
        <w:tc>
          <w:tcPr>
            <w:tcW w:w="200" w:type="dxa"/>
            <w:vAlign w:val="bottom"/>
          </w:tcPr>
          <w:p>
            <w:pPr>
              <w:spacing w:after="0"/>
              <w:rPr>
                <w:sz w:val="12"/>
                <w:szCs w:val="12"/>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rPr>
              <w:t>Net Proceeds</w:t>
            </w:r>
          </w:p>
        </w:tc>
        <w:tc>
          <w:tcPr>
            <w:tcW w:w="156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Commissions Paid</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Sold</w:t>
            </w:r>
          </w:p>
        </w:tc>
        <w:tc>
          <w:tcPr>
            <w:tcW w:w="2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Series A Preferred Shares</w:t>
            </w: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550,736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12,832</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264</w:t>
            </w:r>
          </w:p>
        </w:tc>
        <w:tc>
          <w:tcPr>
            <w:tcW w:w="0" w:type="dxa"/>
            <w:vAlign w:val="bottom"/>
          </w:tcPr>
          <w:p>
            <w:pPr>
              <w:spacing w:after="0"/>
              <w:rPr>
                <w:sz w:val="1"/>
                <w:szCs w:val="1"/>
                <w:color w:val="auto"/>
              </w:rPr>
            </w:pPr>
          </w:p>
        </w:tc>
      </w:tr>
      <w:tr>
        <w:trPr>
          <w:trHeight w:val="201"/>
        </w:trPr>
        <w:tc>
          <w:tcPr>
            <w:tcW w:w="5780" w:type="dxa"/>
            <w:vAlign w:val="bottom"/>
          </w:tcPr>
          <w:p>
            <w:pPr>
              <w:ind w:left="20"/>
              <w:spacing w:after="0"/>
              <w:rPr>
                <w:sz w:val="20"/>
                <w:szCs w:val="20"/>
                <w:color w:val="auto"/>
              </w:rPr>
            </w:pPr>
            <w:r>
              <w:rPr>
                <w:rFonts w:ascii="Arial" w:cs="Arial" w:eastAsia="Arial" w:hAnsi="Arial"/>
                <w:sz w:val="15"/>
                <w:szCs w:val="15"/>
                <w:color w:val="auto"/>
              </w:rPr>
              <w:t>Series B Preferred Shares</w:t>
            </w:r>
          </w:p>
        </w:tc>
        <w:tc>
          <w:tcPr>
            <w:tcW w:w="1560" w:type="dxa"/>
            <w:vAlign w:val="bottom"/>
          </w:tcPr>
          <w:p>
            <w:pPr>
              <w:jc w:val="right"/>
              <w:ind w:right="4"/>
              <w:spacing w:after="0"/>
              <w:rPr>
                <w:sz w:val="20"/>
                <w:szCs w:val="20"/>
                <w:color w:val="auto"/>
              </w:rPr>
            </w:pPr>
            <w:r>
              <w:rPr>
                <w:rFonts w:ascii="Arial" w:cs="Arial" w:eastAsia="Arial" w:hAnsi="Arial"/>
                <w:sz w:val="15"/>
                <w:szCs w:val="15"/>
                <w:color w:val="auto"/>
              </w:rPr>
              <w:t>2,192,267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51,481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1,062</w:t>
            </w:r>
          </w:p>
        </w:tc>
        <w:tc>
          <w:tcPr>
            <w:tcW w:w="0" w:type="dxa"/>
            <w:vAlign w:val="bottom"/>
          </w:tcPr>
          <w:p>
            <w:pPr>
              <w:spacing w:after="0"/>
              <w:rPr>
                <w:sz w:val="1"/>
                <w:szCs w:val="1"/>
                <w:color w:val="auto"/>
              </w:rPr>
            </w:pPr>
          </w:p>
        </w:tc>
      </w:tr>
      <w:tr>
        <w:trPr>
          <w:trHeight w:val="204"/>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Shares</w:t>
            </w: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2,154,081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50,821</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1,074</w:t>
            </w:r>
          </w:p>
        </w:tc>
        <w:tc>
          <w:tcPr>
            <w:tcW w:w="0" w:type="dxa"/>
            <w:vAlign w:val="bottom"/>
          </w:tcPr>
          <w:p>
            <w:pPr>
              <w:spacing w:after="0"/>
              <w:rPr>
                <w:sz w:val="1"/>
                <w:szCs w:val="1"/>
                <w:color w:val="auto"/>
              </w:rPr>
            </w:pPr>
          </w:p>
        </w:tc>
      </w:tr>
      <w:tr>
        <w:trPr>
          <w:trHeight w:val="195"/>
        </w:trPr>
        <w:tc>
          <w:tcPr>
            <w:tcW w:w="5780" w:type="dxa"/>
            <w:vAlign w:val="bottom"/>
          </w:tcPr>
          <w:p>
            <w:pPr>
              <w:ind w:left="220"/>
              <w:spacing w:after="0"/>
              <w:rPr>
                <w:sz w:val="20"/>
                <w:szCs w:val="20"/>
                <w:color w:val="auto"/>
              </w:rPr>
            </w:pPr>
            <w:r>
              <w:rPr>
                <w:rFonts w:ascii="Arial" w:cs="Arial" w:eastAsia="Arial" w:hAnsi="Arial"/>
                <w:sz w:val="15"/>
                <w:szCs w:val="15"/>
                <w:color w:val="auto"/>
              </w:rPr>
              <w:t>Total</w:t>
            </w: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4,897,084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115,134</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2,400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finance future acquisitions through our 2022 Revolving Credit Facility, cash on hand and, if necessary, additional equity and debt financings. We believe, and it has been our experience, that having the ability to finance our acquisitions with the capital resources raised by us, rather than negotiating separate third-party financing specifically related to the acquisition of individual businesses, provides us with an advantage in acquiring attractive businesses by minimizing delay and closing conditions that are often related to acquisition-specific financings. In this respect, we believe that in the future, we may need to pursue additional debt or equity financings, or offer equity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 Holdings or target businesses to the sellers of such target businesses, in order to fund multiple future acquisitions.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categorize the current businesses we own into two separate groups of businesses (i) branded consumer businesses, and (ii) industrial businesses. Branded consumer businesses are characterized as those businesses that we believe capitalize on a valuable brand name in their respective market sector. We believe that our branded consumer businesses are leaders in their particular product category. Industrial businesses are characterized as those businesses that focus on manufacturing and selling particular products and industrial services within a specific market sector. We believe that our industrial businesses are leaders in their specific market sector.</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represents the percentage of net revenue and operating income each of our businesses contributed to our consolidated results since the date of acquisition for the years ended December 31, 2024, 2023 and 2022, and the total assets of each of our businesses as a percentage of the consolidated total as of December 31, 2024 and 2023.</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20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Net Revenue</w:t>
            </w:r>
          </w:p>
        </w:tc>
        <w:tc>
          <w:tcPr>
            <w:tcW w:w="6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80" w:type="dxa"/>
            <w:vAlign w:val="bottom"/>
            <w:tcBorders>
              <w:bottom w:val="single" w:sz="8" w:color="auto"/>
            </w:tcBorders>
            <w:gridSpan w:val="5"/>
          </w:tcPr>
          <w:p>
            <w:pPr>
              <w:jc w:val="center"/>
              <w:ind w:left="584"/>
              <w:spacing w:after="0"/>
              <w:rPr>
                <w:sz w:val="20"/>
                <w:szCs w:val="20"/>
                <w:color w:val="auto"/>
              </w:rPr>
            </w:pPr>
            <w:r>
              <w:rPr>
                <w:rFonts w:ascii="Arial" w:cs="Arial" w:eastAsia="Arial" w:hAnsi="Arial"/>
                <w:sz w:val="14"/>
                <w:szCs w:val="14"/>
                <w:b w:val="1"/>
                <w:bCs w:val="1"/>
                <w:color w:val="auto"/>
                <w:w w:val="99"/>
              </w:rPr>
              <w:t xml:space="preserve">Operating Income (loss) </w:t>
            </w:r>
            <w:r>
              <w:rPr>
                <w:rFonts w:ascii="Arial" w:cs="Arial" w:eastAsia="Arial" w:hAnsi="Arial"/>
                <w:sz w:val="23"/>
                <w:szCs w:val="23"/>
                <w:b w:val="1"/>
                <w:bCs w:val="1"/>
                <w:color w:val="auto"/>
                <w:w w:val="99"/>
                <w:vertAlign w:val="superscript"/>
              </w:rPr>
              <w:t>(1)</w:t>
            </w:r>
          </w:p>
        </w:tc>
        <w:tc>
          <w:tcPr>
            <w:tcW w:w="6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Total Assets</w:t>
            </w:r>
          </w:p>
        </w:tc>
        <w:tc>
          <w:tcPr>
            <w:tcW w:w="860" w:type="dxa"/>
            <w:vAlign w:val="bottom"/>
            <w:tcBorders>
              <w:bottom w:val="single" w:sz="8" w:color="auto"/>
            </w:tcBorders>
          </w:tcPr>
          <w:p>
            <w:pPr>
              <w:spacing w:after="0"/>
              <w:rPr>
                <w:sz w:val="22"/>
                <w:szCs w:val="22"/>
                <w:color w:val="auto"/>
              </w:rPr>
            </w:pPr>
          </w:p>
        </w:tc>
      </w:tr>
      <w:tr>
        <w:trPr>
          <w:trHeight w:val="195"/>
        </w:trPr>
        <w:tc>
          <w:tcPr>
            <w:tcW w:w="2000" w:type="dxa"/>
            <w:vAlign w:val="bottom"/>
          </w:tcPr>
          <w:p>
            <w:pPr>
              <w:spacing w:after="0"/>
              <w:rPr>
                <w:sz w:val="16"/>
                <w:szCs w:val="16"/>
                <w:color w:val="auto"/>
              </w:rPr>
            </w:pPr>
          </w:p>
        </w:tc>
        <w:tc>
          <w:tcPr>
            <w:tcW w:w="2420" w:type="dxa"/>
            <w:vAlign w:val="bottom"/>
            <w:tcBorders>
              <w:bottom w:val="single" w:sz="8" w:color="auto"/>
            </w:tcBorders>
            <w:gridSpan w:val="5"/>
          </w:tcPr>
          <w:p>
            <w:pPr>
              <w:jc w:val="center"/>
              <w:ind w:left="584"/>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tcBorders>
              <w:bottom w:val="single" w:sz="8" w:color="auto"/>
            </w:tcBorders>
            <w:gridSpan w:val="5"/>
          </w:tcPr>
          <w:p>
            <w:pPr>
              <w:jc w:val="center"/>
              <w:ind w:left="584"/>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2000" w:type="dxa"/>
            <w:vAlign w:val="bottom"/>
          </w:tcPr>
          <w:p>
            <w:pPr>
              <w:spacing w:after="0"/>
              <w:rPr>
                <w:sz w:val="16"/>
                <w:szCs w:val="16"/>
                <w:color w:val="auto"/>
              </w:rPr>
            </w:pPr>
          </w:p>
        </w:tc>
        <w:tc>
          <w:tcPr>
            <w:tcW w:w="9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6"/>
                <w:szCs w:val="16"/>
                <w:color w:val="auto"/>
              </w:rPr>
            </w:pPr>
          </w:p>
        </w:tc>
        <w:tc>
          <w:tcPr>
            <w:tcW w:w="128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r>
      <w:tr>
        <w:trPr>
          <w:trHeight w:val="238"/>
        </w:trPr>
        <w:tc>
          <w:tcPr>
            <w:tcW w:w="2000" w:type="dxa"/>
            <w:vAlign w:val="bottom"/>
          </w:tcPr>
          <w:p>
            <w:pPr>
              <w:ind w:left="20"/>
              <w:spacing w:after="0"/>
              <w:rPr>
                <w:sz w:val="20"/>
                <w:szCs w:val="20"/>
                <w:color w:val="auto"/>
              </w:rPr>
            </w:pPr>
            <w:r>
              <w:rPr>
                <w:rFonts w:ascii="Arial" w:cs="Arial" w:eastAsia="Arial" w:hAnsi="Arial"/>
                <w:sz w:val="15"/>
                <w:szCs w:val="15"/>
                <w:b w:val="1"/>
                <w:bCs w:val="1"/>
                <w:color w:val="auto"/>
              </w:rPr>
              <w:t>Branded Consumer:</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2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24.1 %</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27.1 %</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25.3 %</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19.8 %</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14.6 %</w:t>
            </w:r>
          </w:p>
        </w:tc>
      </w:tr>
      <w:tr>
        <w:trPr>
          <w:trHeight w:val="201"/>
        </w:trPr>
        <w:tc>
          <w:tcPr>
            <w:tcW w:w="2000" w:type="dxa"/>
            <w:vAlign w:val="bottom"/>
          </w:tcPr>
          <w:p>
            <w:pPr>
              <w:ind w:left="20"/>
              <w:spacing w:after="0"/>
              <w:rPr>
                <w:sz w:val="20"/>
                <w:szCs w:val="20"/>
                <w:color w:val="auto"/>
              </w:rPr>
            </w:pPr>
            <w:r>
              <w:rPr>
                <w:rFonts w:ascii="Arial" w:cs="Arial" w:eastAsia="Arial" w:hAnsi="Arial"/>
                <w:sz w:val="15"/>
                <w:szCs w:val="15"/>
                <w:color w:val="auto"/>
              </w:rPr>
              <w:t>BOA</w:t>
            </w:r>
          </w:p>
        </w:tc>
        <w:tc>
          <w:tcPr>
            <w:tcW w:w="960" w:type="dxa"/>
            <w:vAlign w:val="bottom"/>
          </w:tcPr>
          <w:p>
            <w:pPr>
              <w:jc w:val="right"/>
              <w:spacing w:after="0"/>
              <w:rPr>
                <w:sz w:val="20"/>
                <w:szCs w:val="20"/>
                <w:color w:val="auto"/>
              </w:rPr>
            </w:pPr>
            <w:r>
              <w:rPr>
                <w:rFonts w:ascii="Arial" w:cs="Arial" w:eastAsia="Arial" w:hAnsi="Arial"/>
                <w:sz w:val="15"/>
                <w:szCs w:val="15"/>
                <w:color w:val="auto"/>
              </w:rPr>
              <w:t>8.7 %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7.9 %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10.9 %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14.8 %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16.5 %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26.2 %</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11.7 %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13.5 %</w:t>
            </w:r>
          </w:p>
        </w:tc>
      </w:tr>
      <w:tr>
        <w:trPr>
          <w:trHeight w:val="204"/>
        </w:trPr>
        <w:tc>
          <w:tcPr>
            <w:tcW w:w="2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21.4 %</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15.7 %</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24.0 %</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19.5 %</w:t>
            </w:r>
          </w:p>
        </w:tc>
      </w:tr>
      <w:tr>
        <w:trPr>
          <w:trHeight w:val="201"/>
        </w:trPr>
        <w:tc>
          <w:tcPr>
            <w:tcW w:w="2000" w:type="dxa"/>
            <w:vAlign w:val="bottom"/>
          </w:tcPr>
          <w:p>
            <w:pPr>
              <w:ind w:left="20"/>
              <w:spacing w:after="0"/>
              <w:rPr>
                <w:sz w:val="20"/>
                <w:szCs w:val="20"/>
                <w:color w:val="auto"/>
              </w:rPr>
            </w:pPr>
            <w:r>
              <w:rPr>
                <w:rFonts w:ascii="Arial" w:cs="Arial" w:eastAsia="Arial" w:hAnsi="Arial"/>
                <w:sz w:val="15"/>
                <w:szCs w:val="15"/>
                <w:color w:val="auto"/>
              </w:rPr>
              <w:t>PrimaLoft</w:t>
            </w:r>
          </w:p>
        </w:tc>
        <w:tc>
          <w:tcPr>
            <w:tcW w:w="960" w:type="dxa"/>
            <w:vAlign w:val="bottom"/>
          </w:tcPr>
          <w:p>
            <w:pPr>
              <w:jc w:val="right"/>
              <w:spacing w:after="0"/>
              <w:rPr>
                <w:sz w:val="20"/>
                <w:szCs w:val="20"/>
                <w:color w:val="auto"/>
              </w:rPr>
            </w:pPr>
            <w:r>
              <w:rPr>
                <w:rFonts w:ascii="Arial" w:cs="Arial" w:eastAsia="Arial" w:hAnsi="Arial"/>
                <w:sz w:val="15"/>
                <w:szCs w:val="15"/>
                <w:color w:val="auto"/>
              </w:rPr>
              <w:t>3.4 %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12.4 %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14.1 %</w:t>
            </w:r>
          </w:p>
        </w:tc>
      </w:tr>
      <w:tr>
        <w:trPr>
          <w:trHeight w:val="204"/>
        </w:trPr>
        <w:tc>
          <w:tcPr>
            <w:tcW w:w="2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4.8 %</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ind w:left="720"/>
              <w:spacing w:after="0"/>
              <w:rPr>
                <w:sz w:val="20"/>
                <w:szCs w:val="20"/>
                <w:color w:val="auto"/>
              </w:rPr>
            </w:pPr>
            <w:r>
              <w:rPr>
                <w:rFonts w:ascii="Arial" w:cs="Arial" w:eastAsia="Arial" w:hAnsi="Arial"/>
                <w:sz w:val="15"/>
                <w:szCs w:val="15"/>
                <w:color w:val="auto"/>
              </w:rPr>
              <w:t>n/a</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n/a</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n/a</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r>
      <w:tr>
        <w:trPr>
          <w:trHeight w:val="201"/>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Velocity Outdoor</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4.4 %</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8.8 %</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12.1 %</w:t>
            </w: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8.6 %</w:t>
            </w:r>
          </w:p>
        </w:tc>
        <w:tc>
          <w:tcPr>
            <w:tcW w:w="1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2.4 %</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6.4 %</w:t>
            </w:r>
          </w:p>
        </w:tc>
      </w:tr>
      <w:tr>
        <w:trPr>
          <w:trHeight w:val="197"/>
        </w:trPr>
        <w:tc>
          <w:tcPr>
            <w:tcW w:w="20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66.8 %</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62.9 %</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60.1 %</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72.3 %</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68.1 %</w:t>
            </w:r>
          </w:p>
        </w:tc>
      </w:tr>
      <w:tr>
        <w:trPr>
          <w:trHeight w:val="203"/>
        </w:trPr>
        <w:tc>
          <w:tcPr>
            <w:tcW w:w="2000" w:type="dxa"/>
            <w:vAlign w:val="bottom"/>
          </w:tcPr>
          <w:p>
            <w:pPr>
              <w:ind w:left="20"/>
              <w:spacing w:after="0"/>
              <w:rPr>
                <w:sz w:val="20"/>
                <w:szCs w:val="20"/>
                <w:color w:val="auto"/>
              </w:rPr>
            </w:pPr>
            <w:r>
              <w:rPr>
                <w:rFonts w:ascii="Arial" w:cs="Arial" w:eastAsia="Arial" w:hAnsi="Arial"/>
                <w:sz w:val="15"/>
                <w:szCs w:val="15"/>
                <w:b w:val="1"/>
                <w:bCs w:val="1"/>
                <w:color w:val="auto"/>
              </w:rPr>
              <w:t>Industrial:</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Altor Solutions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10.9 %</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12.1 %</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13.6 %</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11.1 %</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8.5 %</w:t>
            </w:r>
          </w:p>
        </w:tc>
      </w:tr>
      <w:tr>
        <w:trPr>
          <w:trHeight w:val="201"/>
        </w:trPr>
        <w:tc>
          <w:tcPr>
            <w:tcW w:w="2000" w:type="dxa"/>
            <w:vAlign w:val="bottom"/>
          </w:tcPr>
          <w:p>
            <w:pPr>
              <w:ind w:left="20"/>
              <w:spacing w:after="0"/>
              <w:rPr>
                <w:sz w:val="20"/>
                <w:szCs w:val="20"/>
                <w:color w:val="auto"/>
              </w:rPr>
            </w:pPr>
            <w:r>
              <w:rPr>
                <w:rFonts w:ascii="Arial" w:cs="Arial" w:eastAsia="Arial" w:hAnsi="Arial"/>
                <w:sz w:val="15"/>
                <w:szCs w:val="15"/>
                <w:color w:val="auto"/>
              </w:rPr>
              <w:t>Arnold Magnetics</w:t>
            </w:r>
          </w:p>
        </w:tc>
        <w:tc>
          <w:tcPr>
            <w:tcW w:w="960" w:type="dxa"/>
            <w:vAlign w:val="bottom"/>
          </w:tcPr>
          <w:p>
            <w:pPr>
              <w:jc w:val="right"/>
              <w:spacing w:after="0"/>
              <w:rPr>
                <w:sz w:val="20"/>
                <w:szCs w:val="20"/>
                <w:color w:val="auto"/>
              </w:rPr>
            </w:pPr>
            <w:r>
              <w:rPr>
                <w:rFonts w:ascii="Arial" w:cs="Arial" w:eastAsia="Arial" w:hAnsi="Arial"/>
                <w:sz w:val="15"/>
                <w:szCs w:val="15"/>
                <w:color w:val="auto"/>
              </w:rPr>
              <w:t>7.8 %</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8.5 %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8.0 %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13.1 %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7.6 %</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4.7 %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4.8 %</w:t>
            </w:r>
          </w:p>
        </w:tc>
      </w:tr>
      <w:tr>
        <w:trPr>
          <w:trHeight w:val="203"/>
        </w:trPr>
        <w:tc>
          <w:tcPr>
            <w:tcW w:w="2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Sterno</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14.5 %</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16.5 %</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18.3 %</w:t>
            </w:r>
          </w:p>
        </w:tc>
        <w:tc>
          <w:tcPr>
            <w:tcW w:w="1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9.9 %</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15.0 %</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9.0 %</w:t>
            </w:r>
          </w:p>
        </w:tc>
        <w:tc>
          <w:tcPr>
            <w:tcW w:w="14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6.2 %</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7.6 %</w:t>
            </w:r>
          </w:p>
        </w:tc>
      </w:tr>
      <w:tr>
        <w:trPr>
          <w:trHeight w:val="196"/>
        </w:trPr>
        <w:tc>
          <w:tcPr>
            <w:tcW w:w="20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33.2 %</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37.1 %</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39.9 %</w:t>
            </w: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19.1 %</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49.0 %</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27.7 %</w:t>
            </w:r>
          </w:p>
        </w:tc>
        <w:tc>
          <w:tcPr>
            <w:tcW w:w="1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22.5 %</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20.9 %</w:t>
            </w:r>
          </w:p>
        </w:tc>
      </w:tr>
      <w:tr>
        <w:trPr>
          <w:trHeight w:val="197"/>
        </w:trPr>
        <w:tc>
          <w:tcPr>
            <w:tcW w:w="2000" w:type="dxa"/>
            <w:vAlign w:val="bottom"/>
            <w:shd w:val="clear" w:color="auto" w:fill="CCEEFF"/>
          </w:tcPr>
          <w:p>
            <w:pPr>
              <w:ind w:left="20"/>
              <w:spacing w:after="0" w:line="197" w:lineRule="exact"/>
              <w:rPr>
                <w:sz w:val="20"/>
                <w:szCs w:val="20"/>
                <w:color w:val="auto"/>
              </w:rPr>
            </w:pPr>
            <w:r>
              <w:rPr>
                <w:rFonts w:ascii="Arial" w:cs="Arial" w:eastAsia="Arial" w:hAnsi="Arial"/>
                <w:sz w:val="15"/>
                <w:szCs w:val="15"/>
                <w:color w:val="auto"/>
              </w:rPr>
              <w:t xml:space="preserve">Corporate </w:t>
            </w:r>
            <w:r>
              <w:rPr>
                <w:rFonts w:ascii="Arial" w:cs="Arial" w:eastAsia="Arial" w:hAnsi="Arial"/>
                <w:sz w:val="19"/>
                <w:szCs w:val="19"/>
                <w:b w:val="1"/>
                <w:bCs w:val="1"/>
                <w:color w:val="auto"/>
                <w:vertAlign w:val="superscript"/>
              </w:rPr>
              <w:t>(2)</w:t>
            </w:r>
          </w:p>
        </w:tc>
        <w:tc>
          <w:tcPr>
            <w:tcW w:w="9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0.5 %</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11.0 %</w:t>
            </w:r>
          </w:p>
        </w:tc>
      </w:tr>
      <w:tr>
        <w:trPr>
          <w:trHeight w:val="195"/>
        </w:trPr>
        <w:tc>
          <w:tcPr>
            <w:tcW w:w="20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100.0 %</w:t>
            </w:r>
          </w:p>
        </w:tc>
      </w:tr>
      <w:tr>
        <w:trPr>
          <w:trHeight w:val="22"/>
        </w:trPr>
        <w:tc>
          <w:tcPr>
            <w:tcW w:w="2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23" w:lineRule="auto"/>
        <w:tabs>
          <w:tab w:leader="none" w:pos="196" w:val="left"/>
        </w:tabs>
        <w:numPr>
          <w:ilvl w:val="0"/>
          <w:numId w:val="16"/>
        </w:numPr>
        <w:rPr>
          <w:rFonts w:ascii="Arial" w:cs="Arial" w:eastAsia="Arial" w:hAnsi="Arial"/>
          <w:sz w:val="23"/>
          <w:szCs w:val="23"/>
          <w:b w:val="1"/>
          <w:bCs w:val="1"/>
          <w:color w:val="auto"/>
          <w:vertAlign w:val="superscript"/>
        </w:rPr>
      </w:pPr>
      <w:r>
        <w:rPr>
          <w:rFonts w:ascii="Arial" w:cs="Arial" w:eastAsia="Arial" w:hAnsi="Arial"/>
          <w:sz w:val="16"/>
          <w:szCs w:val="16"/>
          <w:color w:val="auto"/>
        </w:rPr>
        <w:t>Operating income (loss) reflected is as a percentage of the total contributed by the businesses and does not include expenses incurred at the corporate level.</w:t>
      </w:r>
    </w:p>
    <w:p>
      <w:pPr>
        <w:spacing w:after="0" w:line="136" w:lineRule="exact"/>
        <w:rPr>
          <w:rFonts w:ascii="Arial" w:cs="Arial" w:eastAsia="Arial" w:hAnsi="Arial"/>
          <w:sz w:val="23"/>
          <w:szCs w:val="23"/>
          <w:b w:val="1"/>
          <w:bCs w:val="1"/>
          <w:color w:val="auto"/>
          <w:vertAlign w:val="superscript"/>
        </w:rPr>
      </w:pPr>
    </w:p>
    <w:p>
      <w:pPr>
        <w:ind w:left="160" w:hanging="152"/>
        <w:spacing w:after="0"/>
        <w:tabs>
          <w:tab w:leader="none" w:pos="160" w:val="left"/>
        </w:tabs>
        <w:numPr>
          <w:ilvl w:val="0"/>
          <w:numId w:val="16"/>
        </w:numPr>
        <w:rPr>
          <w:rFonts w:ascii="Arial" w:cs="Arial" w:eastAsia="Arial" w:hAnsi="Arial"/>
          <w:sz w:val="18"/>
          <w:szCs w:val="18"/>
          <w:b w:val="1"/>
          <w:bCs w:val="1"/>
          <w:color w:val="auto"/>
          <w:vertAlign w:val="superscript"/>
        </w:rPr>
      </w:pPr>
      <w:r>
        <w:rPr>
          <w:rFonts w:ascii="Arial" w:cs="Arial" w:eastAsia="Arial" w:hAnsi="Arial"/>
          <w:sz w:val="14"/>
          <w:szCs w:val="14"/>
          <w:color w:val="auto"/>
        </w:rPr>
        <w:t>Total assets at corporate at December 31, 2023 primarily consists of cash proceeds related to the sale of our Marucci business in November 2023.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Branded Consumer Businesses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5.11 is a global lifestyle brand and innovator of purpose-built technical apparel, footwear and gear for a passionate and loyal group of consumers. 5.11 is a brand of choice for those who demand uncompromising functionality, durability, style and comfort of their gear. 5.11's brand authenticity stems from decades of collaboration with elite first responders and military professionals around the world, innovating to solve their greatest needs in the most mission-critical settings, where failure is not an option. Today, 5.11 continues to design and innovate for these professionals with the added purpose of delivering that unique functional expertise to everyday consumers. Management believes 5.11's large and growing community of everyday consumers associate with the 5.11 brand heritage and authenticity and values 5.11's high-quality product design and functionality.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8" w:name="page19"/>
    <w:bookmarkEnd w:id="18"/>
    <w:p>
      <w:pPr>
        <w:jc w:val="both"/>
        <w:spacing w:after="0" w:line="287" w:lineRule="auto"/>
        <w:rPr>
          <w:sz w:val="20"/>
          <w:szCs w:val="20"/>
          <w:color w:val="auto"/>
        </w:rPr>
      </w:pPr>
      <w:r>
        <w:rPr>
          <w:rFonts w:ascii="Arial" w:cs="Arial" w:eastAsia="Arial" w:hAnsi="Arial"/>
          <w:sz w:val="18"/>
          <w:szCs w:val="18"/>
          <w:color w:val="auto"/>
        </w:rPr>
        <w:t>Headquartered in Costa Mesa, California, 5.11 operates sales offices and distribution centers globally. 5.11 products are widely distributed in uniform stores, military exchanges, outdoor retail stores, its own retail stores and through e-commerce channels, including 511tactical.com.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5.11</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5.11's heritage dates back to the 1970’s when 5.11 pants were originally designed by Royal Robbins for elite rock climbers. These climbers wanted durable yet flexible and comfortable pants as they scaled the most extreme rock walls in Yosemite National Park. In the early 1990’s, the same 5.11 pant was adopted by the F.B.I. National Academy and became standard training issue because of its superior design and performance. Trusted by law enforcement and military professionals ever since, 5.11's innovative products have formed the cornerstone of the brand. 5.11 is an outfitter of choice for our heroes who require rugged, functional, durable, and technically-advanced products capable of withstanding harsh conditions without sacrificing comfort. Consumers’ needs and aspirations fuel 5.11's product innovation engine. 5.11 leveraged this foundation to expand their product expertise to a significantly larger market of underserved lifestyle-oriented consumers who identify with 5.11's brand positioning, appreciate their superior designs and share the "Always Be Ready" ("ABR") mindset.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acquired a majority interest in 5.11 on August 31, 2016.</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5.11 participates in the global professional and consumer soft goods market for tactical gear and apparel; the addressable global soft goods market was estimated by management to be approximately $ 79 billion. 5.11 products are designed for use in a wide variety of activities, from professional to recreational and outdoor and indoor, and can be used all year long. As a result, the markets and consumers 5.11 serves are broad and deep.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Customers and Distribution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Product innovation is at the core of 5.11’s heritage and identity. Since its inception, 5.11 has continuously developed and introduced innovative apparel, footwear and gear that are highly functional, technically-advanced and expertly designed setting the industry standard in each product category. 5.11’s product portfolio consists of technical apparel, footwear and gear designed with patented materials and functional features to their customers from head-to-toe. 5.11’s purpose-built products are durable, functional and comfortable. 5.11 serves a community of consumers inspired to live a life bigger than themselves and aligned with the “Always Be Ready” mindset. 5.11 offers a portfolio of head-to-toe purpose-built gear with patented functional features for both professional and recreational use. 5.11 focuses their product offering across three categories: apparel, footwear and gear. Leveraging in-field testing and design feedback from professional collaborations and in-house design and engineering expertise, 5.11 is able to create high quality products in each of its core segments. Innovating around the material and functional needs of professionals, 5.11 then broadens the application of their technical functionality into a range of consumer products within each category. This evolution of 5.11’s product lines creates tremendous leverage for their purpose-built functionality, allowing 5.11 to benefit from their growing and broad crossover appeal. 5.11’s innovations have not been limited to just apparel and textiles, as 5.11 has also proven their abilities within their footwear and gear categories.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Apparel - </w:t>
      </w:r>
      <w:r>
        <w:rPr>
          <w:rFonts w:ascii="Arial" w:cs="Arial" w:eastAsia="Arial" w:hAnsi="Arial"/>
          <w:sz w:val="18"/>
          <w:szCs w:val="18"/>
          <w:color w:val="auto"/>
        </w:rPr>
        <w:t>Apparel represents 5.11’s largest product category at 71%, 70% and 69%, respectively, of net sales for the years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2024, 2023 and 2022. Within this category, 5.11 offers a broad assortment of men’s and women’s pants, shorts, shirts, outerwear, polos, and base layers. 5.11 offers apparel in a variety of styles and fits intended to enhance comfort, durability, and utility. 5.11 has historically designed and developed innovative “families” of products around proprietary fabrics that 5.11 has created to meet the needs of its consumers. These product “families” typically start with a purpose-built pant and then expand into other products.</w:t>
      </w:r>
    </w:p>
    <w:p>
      <w:pPr>
        <w:spacing w:after="0" w:line="71" w:lineRule="exact"/>
        <w:rPr>
          <w:sz w:val="20"/>
          <w:szCs w:val="20"/>
          <w:color w:val="auto"/>
        </w:rPr>
      </w:pPr>
    </w:p>
    <w:p>
      <w:pPr>
        <w:jc w:val="both"/>
        <w:ind w:left="6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Pants - for many consumers, 5.11 technical purpose-built pants are the gateway into the 5.11 brand. 5.11 offers a wide range of pants to tackle any mission in a broad range of waist sizes and inseams for men and women. The fit, proprietary or patented fabrics and purpose-built designs deliver high levels of comfort, utility and durability. Among the most popular pants today are Stryke, Taclite, Apex, Fast-Tac and Defender-Flex, which have prices ranging from $58.00 to $125.00. The top selling pants include Taclite, which is built with a lighter and stronger fabric to outperform 5.11's original canvas pant, Stryke, which uses 5.11's patented FlexTac fabric, Apex, which leverages 5.11's Flex-Tac technology, and 5.11's highly durable FastTac all with stain and water-resistant properties, and Defender-Flex, 5.11’s performance denim.</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9" w:name="page20"/>
    <w:bookmarkEnd w:id="19"/>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Shirts, T-shirts and Polos – 5.11 tops are feature rich just like their pants. Patented document pockets, pen pockets, venting for heat, stain resistant, easy care and snag resistance are among some of these key features. Many of the shirts fabrics are lighter versions of 5.11’s patented or proprietary fabrics used in their best-selling pants. Among the most popular shirts today are Taclite, Stryke, and Fast-Tac shirts, which have prices ranging from $50.00 to $100.00. These shirts can be used as uniforms and/or casual wear. 5.11's polos are also well known for their comfort, durability and utility. 5.11 offers them in a range of proprietary fabrics that are highly fade resistant, and among some of the most popular styles are Performance Polo, Professional Polo and Utility Polo, which have price ranges from $50.00 to $65.00.</w:t>
      </w:r>
    </w:p>
    <w:p>
      <w:pPr>
        <w:spacing w:after="0" w:line="7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Outerwear - 5.11 offers a wide range of outerwear solutions for on and off the job. Outerwear used on the job offer features not commonly found in lifestyle outerwear such as blood borne pathogen resistance or large areas of reflective materials. Technical system jackets, hard and soft shell as well as fleece pieces are designed to work individually or as a system. Features include innovations such as quick access side zippers and conceal pockets. 5.11 also offers technical survival outerwear systems engineered specifically for missions in extreme conditions. Products include base layers and briefs, pullovers, softshell jackets, wind pants, rain pants and jackets made of advanced fabrics.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Gear - </w:t>
      </w:r>
      <w:r>
        <w:rPr>
          <w:rFonts w:ascii="Arial" w:cs="Arial" w:eastAsia="Arial" w:hAnsi="Arial"/>
          <w:sz w:val="18"/>
          <w:szCs w:val="18"/>
          <w:color w:val="auto"/>
        </w:rPr>
        <w:t>Gear represented 19%, 19% and 20%, respectively, of 2024, 2023 and 2022 net sales, which includes multi-use backpacks, cases,</w:t>
      </w:r>
      <w:r>
        <w:rPr>
          <w:rFonts w:ascii="Arial" w:cs="Arial" w:eastAsia="Arial" w:hAnsi="Arial"/>
          <w:sz w:val="18"/>
          <w:szCs w:val="18"/>
          <w:b w:val="1"/>
          <w:bCs w:val="1"/>
          <w:color w:val="auto"/>
        </w:rPr>
        <w:t xml:space="preserve"> </w:t>
      </w:r>
      <w:r>
        <w:rPr>
          <w:rFonts w:ascii="Arial" w:cs="Arial" w:eastAsia="Arial" w:hAnsi="Arial"/>
          <w:sz w:val="18"/>
          <w:szCs w:val="18"/>
          <w:color w:val="auto"/>
        </w:rPr>
        <w:t>load-bearing equipment, range bags, duffels, field knives, watches and gloves. 5.11 bags, pouches, and packs provide reliable, multifunctional storage options designed to excel in a wide range of operational and recreational settings. The bag offering meets the critical needs of emergency medical, public safety, and military professionals in the field, outdoor adventure enthusiasts going off the grid, and anyone who needs to maximize space and convenience packing for a weekend getaway. The patented Hexgrid® and Gear Set™ system enhance modularity capabilities, allowing users to have different sets per mission specific needs and attached pouches in 8 directions compared to other systems. 5.11 also offers a wide assortment of complementary accessories including belts, hats, flashlights, gloves, watches, knives and patches.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Footwear - </w:t>
      </w:r>
      <w:r>
        <w:rPr>
          <w:rFonts w:ascii="Arial" w:cs="Arial" w:eastAsia="Arial" w:hAnsi="Arial"/>
          <w:sz w:val="18"/>
          <w:szCs w:val="18"/>
          <w:color w:val="auto"/>
        </w:rPr>
        <w:t>Footwear represented 10%, 10% and 10%, respectively, of net sales in each of the years ending 2024, 2023 and 2022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a full line of functional boots, low-profile tactical shoes, trainers, and socks. First embraced by 5.11 professional customers through their field boots, 5.11 has developed and tested footwear that stands up to extreme temperatures and weather conditions. 5.11 has evolved into the current lineup of trainers, casual sneakers and oxfords that afford 5.11's consumers the same level of comfort, protection, durability and style they expect from 5.11. 5.11 trainers feature All Terrain Load Assistance System (A.T.L.A.S.) technology, which is built to help 5.11's consumers undergo the most strenuous of workouts. The 5.11 A/T Trainer adds comfort and substantially increased agility, flexibility, and durability to cross training, functional fitness and heavy workouts.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 and Distribution Channels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the brand’s empowering message, innovative product quality, and technically advanced designs appeal to a broad and growing consumer base. Based on the cross-over appeal of its products, 5.11 consumers fall into two core groups, professional “Prosumers” and “Everyday Consumers.” The 5.11 community was initially built by Prosumers, which consists of groups such as U.S. military personnel, law enforcement, first responders, and frontline workers, who require unwavering durability and reliability, but also value the design and comfort of the 5.11 products, providing the versatility to wear its products both on and off duty. Over time, 5.11 has expanded its reach into functionally focused Everyday Consumers, who, management believes, are inspired by Prosumers to live a life bigger than themselves and share the always be ready "ABR" mindset. 5.11 products resonate with a diverse group of Prosumers and Consumers, laying the foundation for continued expansion of a loyal and engaged consumer base into the future.</w:t>
      </w:r>
    </w:p>
    <w:p>
      <w:pPr>
        <w:spacing w:after="0" w:line="77" w:lineRule="exact"/>
        <w:rPr>
          <w:sz w:val="20"/>
          <w:szCs w:val="20"/>
          <w:color w:val="auto"/>
        </w:rPr>
      </w:pPr>
    </w:p>
    <w:p>
      <w:pPr>
        <w:jc w:val="both"/>
        <w:ind w:left="660" w:hanging="328"/>
        <w:spacing w:after="0" w:line="25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Everyday Consumers: A blend of active, challenge-seeking and achievement-oriented gear consumers who thrive on fitness and adventure. Inspired by 5.11’s Prosumers to live a life bigger than themselves with the “Always Be Ready” mindset, these Everyday Consumers engage in a range of activities from fitness and training, to outdoor experiences such as hunting, hiking and overlanding, and purchase 5.11 products for everyday casual use. They prioritize maintaining high performance and, we believe, recognize that the functional superiority of 5.11 products aligns with their own achievement-oriented goals. They also appreciate the aesthetic and functional design of 5.11 products, which can take them from the comfort of their home to a favorite nearby hike, as well as 5.11 apparel, footwear and gear, which are as dynamic as they are functional. We believe the Everyday Consumers align with 5.11 products’ price points and superior value proposition.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0" w:name="page21"/>
    <w:bookmarkEnd w:id="20"/>
    <w:p>
      <w:pPr>
        <w:jc w:val="both"/>
        <w:ind w:left="660" w:hanging="328"/>
        <w:spacing w:after="0" w:line="25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Prosumers: Includes everyone from the most elite U.S. and international military and law enforcement special forces units on the planet to everyday heroes including first responders, frontline workers, and other professionals, both on duty in mission-critical situations and off-duty. Prosumers are devoted to service, on and off-the-clock, and 5.11 endeavors to match their dedication and commitment as it produces superior technical products for every aspect of their lives. 5.11’s unique combination of durability, functional excellence, and comfort allows Prosumers to turn to 5.11 seamlessly across a variety of use-cases, whether on-duty, training, spending a weekend overlanding, backpacking, or camping. Many of the Prosumers are never fully off-duty, making the ability to serve them comfortably and reliably in all aspects of their lives a top priority. 5.11 enables them to “Always Be Ready” to meet any challenges that cross their path.</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strength of the 5.11 business model is the ability to serve the consumer however they prefer to engage while simultaneously reinforcing the 5.11 brand’s premium association and authenticity. Rather than taking the traditional channel approach to the business which management believes limits 5.11's potential, 5.11 enters a trade area with an intentional mix of owned stores, Consumer Wholesale, Professional Wholesale, eCommerce and marketplaces. By approaching trade areas in this manner, 5.11 shares inventory between stores and eCommerce and optimizes speed and efficiency with logistics that meet consumers’ needs wherever they prefer to shop, rather than directing them into a particular channel. We believe this principle of product accessibility and experiential shopping drives brand building and organic lead generation. Though each channel is able to function profitability on an individual basis, the value derived from these channels working in concert is a unique competitive strength 5.11 employs in every market in which it operates.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Direct to Consumer - </w:t>
      </w:r>
      <w:r>
        <w:rPr>
          <w:rFonts w:ascii="Arial" w:cs="Arial" w:eastAsia="Arial" w:hAnsi="Arial"/>
          <w:sz w:val="18"/>
          <w:szCs w:val="18"/>
          <w:color w:val="auto"/>
        </w:rPr>
        <w:t>5.11’s direct-to-consumer ("DTC") channel is comprised of its digital platform, 511tactical.com, its growing network of</w:t>
      </w:r>
      <w:r>
        <w:rPr>
          <w:rFonts w:ascii="Arial" w:cs="Arial" w:eastAsia="Arial" w:hAnsi="Arial"/>
          <w:sz w:val="18"/>
          <w:szCs w:val="18"/>
          <w:b w:val="1"/>
          <w:bCs w:val="1"/>
          <w:color w:val="auto"/>
        </w:rPr>
        <w:t xml:space="preserve"> </w:t>
      </w:r>
      <w:r>
        <w:rPr>
          <w:rFonts w:ascii="Arial" w:cs="Arial" w:eastAsia="Arial" w:hAnsi="Arial"/>
          <w:sz w:val="18"/>
          <w:szCs w:val="18"/>
          <w:color w:val="auto"/>
        </w:rPr>
        <w:t>retail stores as well as its third-party marketplace partners. 5.11 has significantly expanded its DTC mix in the past five years, with DTC now comprising 43%, 45% and 43% of net sales for the years ended December 31, 2024, 2023 and 2022, respectively. 5.11’s website has grown significantly and drives a significant portion of its online sales. 5.11 also operates company owned retail stores in 35 states, with plans to grow its footprint further. Both the online and company owned retail stores enable 5.11 to maintain direct relationships with consumers, influence the brand experience and better understand shopping preferences and behavior.</w:t>
      </w:r>
    </w:p>
    <w:p>
      <w:pPr>
        <w:spacing w:after="0" w:line="20" w:lineRule="exact"/>
        <w:rPr>
          <w:sz w:val="20"/>
          <w:szCs w:val="20"/>
          <w:color w:val="auto"/>
        </w:rPr>
      </w:pPr>
    </w:p>
    <w:p>
      <w:pPr>
        <w:jc w:val="both"/>
        <w:ind w:left="660" w:hanging="328"/>
        <w:spacing w:after="0" w:line="26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eCommerce. 5.11 has grown its e-commerce substantially in the last few years, which has been enabled by continued investment in digital infrastructure capabilities, enhanced consumer experience through increased customization and curation, and a growing global supply chain. 5.11 has invested heavily in capabilities to further its e-commerce infrastructure, including a scalable ERP system and new locations that enable more cost effective and timely delivery for its e-commerce orders.</w:t>
      </w:r>
    </w:p>
    <w:p>
      <w:pPr>
        <w:spacing w:after="0" w:line="1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Retail. 5.11 has grown its retail footprint to 122 branded and owned retail locations around the U.S. as of December 31, 2024. Its locations provide an opportunity for 5.11 to showcase its diverse product assortment. Retail also provides an opportunity to further engage with consumers through the ABR mindset, with in-person, local community events and educational opportunities that elevate the experiential retail experience.</w:t>
      </w:r>
    </w:p>
    <w:p>
      <w:pPr>
        <w:spacing w:after="0" w:line="1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marketplaces. 5.11’s third-party marketplace partners, such as Amazon, are invaluable tools for its omnichannel presence. The collaboration with the some of the largest retailers brings 5.11 increased opportunity from sales and revenue to increased marketing opportunities and brand awareness. Yet at the same time, 5.11 is strategic about protecting its 5.11 brand and delivering a consistent consumer experience in the third-party marketplace.</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Wholesale - </w:t>
      </w:r>
      <w:r>
        <w:rPr>
          <w:rFonts w:ascii="Arial" w:cs="Arial" w:eastAsia="Arial" w:hAnsi="Arial"/>
          <w:sz w:val="18"/>
          <w:szCs w:val="18"/>
          <w:color w:val="auto"/>
        </w:rPr>
        <w:t>The Wholesale channel is comprised of Professional Wholesale, Consumer Wholesale and International business. Wholesale</w:t>
      </w:r>
      <w:r>
        <w:rPr>
          <w:rFonts w:ascii="Arial" w:cs="Arial" w:eastAsia="Arial" w:hAnsi="Arial"/>
          <w:sz w:val="18"/>
          <w:szCs w:val="18"/>
          <w:b w:val="1"/>
          <w:bCs w:val="1"/>
          <w:color w:val="auto"/>
        </w:rPr>
        <w:t xml:space="preserve"> </w:t>
      </w:r>
      <w:r>
        <w:rPr>
          <w:rFonts w:ascii="Arial" w:cs="Arial" w:eastAsia="Arial" w:hAnsi="Arial"/>
          <w:sz w:val="18"/>
          <w:szCs w:val="18"/>
          <w:color w:val="auto"/>
        </w:rPr>
        <w:t>sales were 54%, 55% and 57% of net sales for the years ended December 31, 2024, 2023 and 2022, respectively. The Professional Wholesale channel specializes in demand creation for formal procurement through specification of 5.11 on government contracts around the world. The Consumer Wholesale channel is comprised of dealers, outdoor specialty retailers, and military exchanges, serving predominantly Everyday Consumers. The International business includes retail locations and International e-commerce sites. International products are currently distributed in over 120 countries across the globe. Management believes there is significant opportunity for continued International expansion.</w:t>
      </w:r>
    </w:p>
    <w:p>
      <w:pPr>
        <w:spacing w:after="0" w:line="75" w:lineRule="exact"/>
        <w:rPr>
          <w:sz w:val="20"/>
          <w:szCs w:val="20"/>
          <w:color w:val="auto"/>
        </w:rPr>
      </w:pPr>
    </w:p>
    <w:p>
      <w:pPr>
        <w:jc w:val="both"/>
        <w:ind w:left="660" w:hanging="328"/>
        <w:spacing w:after="0" w:line="26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Professional Wholesale. The Professional Wholesale channel consists of Prosumer sales relationships, and is comprised of dealers and resellers of 5.11 technical apparel, footwear and gear through governmental departments and agencies, including their retail front and e-commerce services that cater to Prosumers that need additional services, such as tailoring of their uniforms, in a one-stop-shop experience. Requirements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jc w:val="both"/>
        <w:ind w:left="660"/>
        <w:spacing w:after="0" w:line="262" w:lineRule="auto"/>
        <w:rPr>
          <w:sz w:val="20"/>
          <w:szCs w:val="20"/>
          <w:color w:val="auto"/>
        </w:rPr>
      </w:pPr>
      <w:r>
        <w:rPr>
          <w:rFonts w:ascii="Arial" w:cs="Arial" w:eastAsia="Arial" w:hAnsi="Arial"/>
          <w:sz w:val="18"/>
          <w:szCs w:val="18"/>
          <w:color w:val="auto"/>
        </w:rPr>
        <w:t>of outfitting entire agencies or departments necessitates carrying numerous, often infrequently used, sizes and colors of a given product. In addition, 5.11’s years of handling these types of customized orders has resulted in 5.11 having a dedicated team with specialized expertise, a skillset that is unique in the industry. We believe 5.11’s significant investment in inventory provides a competitive advantage versus smaller less well capitalized competitors that carry low levels of inventory.</w:t>
      </w:r>
    </w:p>
    <w:p>
      <w:pPr>
        <w:spacing w:after="0" w:line="14" w:lineRule="exact"/>
        <w:rPr>
          <w:sz w:val="20"/>
          <w:szCs w:val="20"/>
          <w:color w:val="auto"/>
        </w:rPr>
      </w:pPr>
    </w:p>
    <w:p>
      <w:pPr>
        <w:jc w:val="both"/>
        <w:ind w:left="66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Consumer Wholesale. The Consumer Wholesale channel consists of Everyday Consumer sales relationships, and is comprised of third-party retailers and their e-commerce sites. 5.11 consumers can find its products at well-known big box sports, outdoor specialty retailers and military exchanges, in addition to third-party online only retailers who focus on product sales in similar apparel, footwear and gear categories as we do. Shop-in-shop concepts at key retailers who also attract the 5.11 customer base gives consumers a tactile experience with 5.11 products, by which they can feel, try on, and compare 5.11 product offerings. Additionally, 5.11 gains online traction from discussion boards and forums that bring professional and everyday enthusiasts together to discuss 5.11 products and the category in general. Both avenues serve as catalysts to attract new customers and keep long time consumers loyal to the 5.11 brand.</w:t>
      </w:r>
    </w:p>
    <w:p>
      <w:pPr>
        <w:spacing w:after="0" w:line="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International. In addition to domestic whitespace, management believes there is opportunity to expand internationally as International only represented 22% of net sales in 2024. While 5.11 products are currently distributed in 120 countries across the globe, 5.11 has limited penetration in many of these countries with limited distribution in certain countries and certain dealers only carrying select styles. As such, management believes there is significant opportunity for continued international expansion and plans to methodically continue the expansion of its business.</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No individual customer represented greater than 10% of 5.11’s net revenues in 2024. At December 31, 2024 and 2023, 5.11 had approximately $23.9 million and $34.6 million, respectively, in firm backlog.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Opportunities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5.11 products are designed for use in a wide variety of activities, from professional to recreational and outdoor and indoor, and can be used all year long. As a result, the markets and consumers 5.11 serves are broad and deep. The market opportunity is both significant and supported by the demand of 5.11’s innovative products providing an opportunity for future, profitable growth. As a category-defining brand, management believes its innovative products serving Everyday Consumers and Prosumers will continue to expand its addressable market.</w:t>
      </w:r>
    </w:p>
    <w:p>
      <w:pPr>
        <w:spacing w:after="0" w:line="68" w:lineRule="exact"/>
        <w:rPr>
          <w:sz w:val="20"/>
          <w:szCs w:val="20"/>
          <w:color w:val="auto"/>
        </w:rPr>
      </w:pPr>
    </w:p>
    <w:p>
      <w:pPr>
        <w:jc w:val="both"/>
        <w:ind w:left="6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Everyday Consumer Opportunity. 5.11 products address a large and broad Everyday Consumer base consisting of individuals from all walks of life. Everyday Consumers include small business owners, teachers, lawyers, farmers, homemakers and others, who enjoy wearing 5.11 during work, after work and on their weekend adventures. Management believes the Everyday Consumers are multi-generational, though skewing younger. These younger consumers are representative of an expanding, technically-focused consumer base looking for performance in every aspect of their daily lives. 5.11 caters to Everyday Consumers across all regions of the U.S., though management believes Everyday Consumers are located primarily in urban and suburban locations.</w:t>
      </w:r>
    </w:p>
    <w:p>
      <w:pPr>
        <w:spacing w:after="0" w:line="2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Prosumer Opportunity. 5.11’s premium product offering addresses a large Prosumer base, including first responders, military personnel, on and off-duty public servants, non-active military and other functionally focused professionals such as contractors, utility workers, hospital professionals and others using 5.11 for professional applications. Management believes Prosumers are multi-generational, though primarily middle-aged males. Similar to its Everyday Consumers, 5.11 caters to Prosumers across all regions of the U.S. and believes Prosumers are located primarily in urban and rural locations. The Prosumer market is a stable, recurring source of demand for 5.11's products. Management believes that Prosumer demand is resilient through economic cycles as Prosumers continue to depend on 5.11 products regardless of the economic environment.</w:t>
      </w:r>
    </w:p>
    <w:p>
      <w:pPr>
        <w:spacing w:after="0" w:line="20"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International Opportunity. In addition to the domestic whitespace opportunity, management believes there is opportunity to expand to a large global market, as International only represented 22% of net sales in 2024. 5.11 products are currently distributed in 120 countries across the globe with its market entry point being the Professional Wholesale Channel. Most countries outside the US are under-penetrated with limited distribution and select dealers only carrying a portion of available styles. As such, management believes there is significant opportunity for continued international expansion and plan to expand in EMEA, Mexico, Asia, Australia, and Canada. 5.11’s approach will be to build out each region uniquely based on the size of the opportunity and the complexity of conducting business in a particular country. This approach currently utilizes a mixture of Professional and Consumer wholesale channels, distributors, wholesale partner stores,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jc w:val="both"/>
        <w:ind w:left="660"/>
        <w:spacing w:after="0" w:line="262" w:lineRule="auto"/>
        <w:rPr>
          <w:sz w:val="20"/>
          <w:szCs w:val="20"/>
          <w:color w:val="auto"/>
        </w:rPr>
      </w:pPr>
      <w:r>
        <w:rPr>
          <w:rFonts w:ascii="Arial" w:cs="Arial" w:eastAsia="Arial" w:hAnsi="Arial"/>
          <w:sz w:val="18"/>
          <w:szCs w:val="18"/>
          <w:color w:val="auto"/>
        </w:rPr>
        <w:t>third-party e-commerce sites as well as owned e-commerce websites and retail stores. To build this business 5.11 plans to leverage its third-party logistics facilities in Europe and China as well as its owned warehouses in Australia and the US for supply chain logistics. 5.11 believes there are additional opportunities to further expand internationally and plans to methodically continue the expansion of its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Strategies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Increase Brand Awareness and Grow the Passionate 5.11 Community - </w:t>
      </w:r>
      <w:r>
        <w:rPr>
          <w:rFonts w:ascii="Arial" w:cs="Arial" w:eastAsia="Arial" w:hAnsi="Arial"/>
          <w:sz w:val="18"/>
          <w:szCs w:val="18"/>
          <w:color w:val="auto"/>
        </w:rPr>
        <w:t>5.11 has proven the profitability of its core product offerings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broad geographic relevance, while demonstrating clear brand authenticity and versatility. Though 5.11 is a brand and industry leader in the tactical and functional fitness communities, management believes it still has substantial room to grow through continuing to broaden its brand awareness. 5.11 has a large, growing community of deeply loyal consumers who share an authentic connection to the brand. 5.11 brand awareness is driven largely by its authentic association with public safety and the military, who rely on 5.11 gear for performance both on-duty and off-duty. To increase brand awareness, 5.11 designs and executes a variety of dynamic, high impact marketing strategies to engage existing consumers and reach new consumers, both domestically in the U.S. and internationally.</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5.11 has built a community with major brand ambassadors and brand partners. 5.11 also partners with other leading brands across categories that reinforce 5.11’s authentic and premium branding while simultaneously engaging a broad and passionate customer base of potential 5.11 consumers. Through its deep relationships, history of mutually beneficial partnerships, community, and social education events such as “ABR Academies,” as well as its recognized leadership position, management believes 5.11 has become a partner of choice for influencers worldwide, leading to a significant competitive advantage. These marketing efforts deliver authentic, aspirational experiences and exclusive content that drive loyalty and engagement.</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Continued Execution of Integrated Omnichannel Platform to Drive Disciplined Growth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believes 5.11 has built a solid</w:t>
      </w:r>
      <w:r>
        <w:rPr>
          <w:rFonts w:ascii="Arial" w:cs="Arial" w:eastAsia="Arial" w:hAnsi="Arial"/>
          <w:sz w:val="18"/>
          <w:szCs w:val="18"/>
          <w:b w:val="1"/>
          <w:bCs w:val="1"/>
          <w:color w:val="auto"/>
        </w:rPr>
        <w:t xml:space="preserve"> </w:t>
      </w:r>
      <w:r>
        <w:rPr>
          <w:rFonts w:ascii="Arial" w:cs="Arial" w:eastAsia="Arial" w:hAnsi="Arial"/>
          <w:sz w:val="18"/>
          <w:szCs w:val="18"/>
          <w:color w:val="auto"/>
        </w:rPr>
        <w:t>omnichannel distribution strategy, comprised of a rapidly growing DTC channel, which includes its owned retail locations, proprietary website, and third-party marketplace partners like Amazon, and a recurring Wholesale channel, which encompasses 5.11's Professional Wholesale, Consumer Wholesale, and International business. Rather than taking the traditional channel approach to the business which management believes limits 5.11's potential, 5.11 enters trade areas with a tailored DTC and wholesale strategy for that market. To best serve its consumers’ needs and to profitably accelerate growth, 5.11 continues to make investments in its omnichannel distribution strategy. 5.11 continues to improve its website functionality as measured through strong site traffic, conversion and average order value. 5.11’s digital growth is complemented by the potential to expand its retail footprint. Currently, 5.11 has 122 physical stores, which represents an increase of 119 since 2015. Ultimately, the expansion of both channels presents an accessible near-term opportunity to accelerate growth and better serve evolving consumer preferences.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Leverage Innovation Capabilities to Continue Developing New Products - </w:t>
      </w:r>
      <w:r>
        <w:rPr>
          <w:rFonts w:ascii="Arial" w:cs="Arial" w:eastAsia="Arial" w:hAnsi="Arial"/>
          <w:sz w:val="18"/>
          <w:szCs w:val="18"/>
          <w:color w:val="auto"/>
        </w:rPr>
        <w:t>At its core, 5.11 is an innovator that prides itself on making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purpose-built technical apparel, footwear and gear for all of life’s most demanding missions. Throughout its history, 5.11 developed a diverse product portfolio that has helped grow its brand to be an industry leader in both its Wholesale and DTC businesses. Through its product innovation, 5.11 developed brand affinity, built on the foundation of its strong professional business. By serving its Prosumer, 5.11 increased demand in its Everyday Consumer segment, creating a large whitespace for growth. Moving forward, 5.11 is looking to grow share of its consumers’ wardrobe with a continued focus on everyday and weekend wear. 5.11 built a foundation of infrastructure and processes that allows it to have shorter lead time on product and design. 5.11 will continue to refine this in order to accelerate growth and take market share in the consumer business through an expanded product portfolio. As 5.11 continues to scale, its broader consumer base allows it to reinvest resources back into its technical and functional expertise, further driving continued innovation for its professional consumers.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Disciplined International Expansion </w:t>
      </w:r>
      <w:r>
        <w:rPr>
          <w:rFonts w:ascii="Arial" w:cs="Arial" w:eastAsia="Arial" w:hAnsi="Arial"/>
          <w:sz w:val="18"/>
          <w:szCs w:val="18"/>
          <w:color w:val="auto"/>
        </w:rPr>
        <w:t>- Management believes 5.11 has an opportunity to expand the international business. as Prosumers</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internationally view U.S. first responders, military and public servants as being among the best in the world, and want the same apparel, footwear and gear that they use both on and off duty. 5.11’s international strategy parallels the success it has enjoyed in the U.S. by seeding the market through the Prosumer channels, which creates brand awareness and Everyday Consumer demand. 5.11 leverages its proven playbook to invest in international regions to grow its business. This strategy starts with the Professional Wholesale channel which establishes a profitable recurring revenue stream. As that grows, 5.11 builds a Consumer Wholesale channel and finally a DTC business is established in the most mature markets. While the strategic approach is consistent,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3" w:name="page24"/>
    <w:bookmarkEnd w:id="23"/>
    <w:p>
      <w:pPr>
        <w:jc w:val="both"/>
        <w:spacing w:after="0" w:line="268" w:lineRule="auto"/>
        <w:rPr>
          <w:sz w:val="20"/>
          <w:szCs w:val="20"/>
          <w:color w:val="auto"/>
        </w:rPr>
      </w:pPr>
      <w:r>
        <w:rPr>
          <w:rFonts w:ascii="Arial" w:cs="Arial" w:eastAsia="Arial" w:hAnsi="Arial"/>
          <w:sz w:val="18"/>
          <w:szCs w:val="18"/>
          <w:color w:val="auto"/>
        </w:rPr>
        <w:t>each region is uniquely built based on the size of the opportunity and the complexity of conducting business in a particular country. 5.11’s ability to supply the same superior apparel, footwear and equipment to global markets allows it to expand its already profitable international business to Everyday Consumers living by the ABR mindset around the world.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Strengths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Authentic Global Lifestyle Brand with Passionate Following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Since inception, 5.11 has been a trusted brand by military, law</w:t>
      </w:r>
      <w:r>
        <w:rPr>
          <w:rFonts w:ascii="Arial" w:cs="Arial" w:eastAsia="Arial" w:hAnsi="Arial"/>
          <w:sz w:val="18"/>
          <w:szCs w:val="18"/>
          <w:b w:val="1"/>
          <w:bCs w:val="1"/>
          <w:color w:val="auto"/>
        </w:rPr>
        <w:t xml:space="preserve"> </w:t>
      </w:r>
      <w:r>
        <w:rPr>
          <w:rFonts w:ascii="Arial" w:cs="Arial" w:eastAsia="Arial" w:hAnsi="Arial"/>
          <w:sz w:val="18"/>
          <w:szCs w:val="18"/>
          <w:color w:val="auto"/>
        </w:rPr>
        <w:t>enforcement, public safety, first responders and frontline workers and other service professionals around the world. No matter the mission or how demanding the environment, management believes 5.11 makes the apparel, footwear and gear of choice for professionals both on and off duty. This loyalty and trust, proven over decades from when the FBI Academy first adopted 5.11 pants in 1992, is a powerful tool. This stamp of approval from the elite professional community creates a brand halo effect that propels the Everyday Consumer business, allowing 5.11 to appeal to a broad range of consumers who embrace an active lifestyle, and who also appreciate 5.11 products’ superior technical performance for everyday use.</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5.11’s loyal consumers act as brand advocates, proudly wearing branded 5.11 gear and displaying 5.11 banners, decals and patches. Management believes that 5.11's brand advocacy through social media or by word-of-mouth, coupled with its varied marketing efforts, has extended its appeal to the broader community. As 5.11 has expanded its product lines, and broadened its marketing messaging, it has cultivated an increasingly diverse audience of both men and women living throughout the United States and, increasingly, in international markets. Management believes 5.11's loyal customers, alongside its heritage of authenticity and high-quality product performance create such a strong connection to the 5.11 brand.</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Deep Knowledge of Consumers Drives Product Development and Marketing - </w:t>
      </w:r>
      <w:r>
        <w:rPr>
          <w:rFonts w:ascii="Arial" w:cs="Arial" w:eastAsia="Arial" w:hAnsi="Arial"/>
          <w:sz w:val="18"/>
          <w:szCs w:val="18"/>
          <w:color w:val="auto"/>
        </w:rPr>
        <w:t>Management believe much of the 5.11 brand success is</w:t>
      </w:r>
      <w:r>
        <w:rPr>
          <w:rFonts w:ascii="Arial" w:cs="Arial" w:eastAsia="Arial" w:hAnsi="Arial"/>
          <w:sz w:val="18"/>
          <w:szCs w:val="18"/>
          <w:b w:val="1"/>
          <w:bCs w:val="1"/>
          <w:color w:val="auto"/>
        </w:rPr>
        <w:t xml:space="preserve"> </w:t>
      </w:r>
      <w:r>
        <w:rPr>
          <w:rFonts w:ascii="Arial" w:cs="Arial" w:eastAsia="Arial" w:hAnsi="Arial"/>
          <w:sz w:val="18"/>
          <w:szCs w:val="18"/>
          <w:color w:val="auto"/>
        </w:rPr>
        <w:t>accredited to the loyalty of 5.11's consumers. 5.11 continuously strives to understand their evolving needs. Utilizing consumer insights through proprietary research, data, and analytics, 5.11 informs its product design and development teams to meet the demands and expectations of its loyal consumers. Having innovated closely with its Prosumers since 2003, 5.11 has a deep understanding and appreciation for the tactical issues they deal with daily. Seeing itself as problem-solvers first-and-foremost, 5.11 designs products that provide solutions to the obstacles they encounter while on duty, enhancing the daily regimens of its professional end-users. 5.11 consumers are passionate about their work and activities, and 5.11 matches that passion as it continuously strives to build functional, durable, and comfortable products. Not only is this insight helpful in product design and development, but also in outbound marketing efforts, both domestically and internationally. 5.11 supports and builds its brand through a fully integrated, high-impact marketing strategy which includes innovative and exclusive content, digital and social media, dedicated weekly Podcast, community-outreach, television and movie product placement and integrations, sponsorships, and local store activations and events that foster consumer engagement.</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Purpose-Built, Innovation-Led and High-Quality Product Offering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5.11’s DNA is readiness. 5.11 addresses the needs of elite</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professionals around the world, outfitting them with the top-quality gear and equipment necessary to complete their missions. From this powerful foundation, 5.11 develops products to both address the specific needs of these professionals and have broad appeal. The process for development starts with a rigorous analysis of the most important functional qualities for 5.11 Prosumers. 5.11 then engages with the broader community, along with industry and trade professionals, to help find specific voids in the market worth targeting. 5.11 uses this data and insights to develop head-to-toe assortments to serve its consumers holistically whether they are at the office, exercising, experiencing the outdoors, or simply embracing the ABR lifestyle in their daily lives.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5.11 delivers a comprehensive lineup that enables its customer to enjoy high-quality functionality without having to sacrifice lifestyle, comfort, or style. Management believes 5.11's ability to deliver this balance is a deep competitive advantage that is unrivaled and where most of its competitors have proven to be unsuccessful.</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Scalable Infrastructure and High-Performance Team to Support Growth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past five years, 5.11 has invested heavily to not only</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operating and fulfillment performance in its current growth phase, but also as a foundation to support continued future growth. 5.11’s investment has included implementing a variety of strategic and operational improvements, including hiring experienced senior executives, expanding its company owned retail stores, executing merchandising improvements, enhancing distribution and supply chain capabilities and implementing data-driven digital marketing campaigns. 5.11’s current infrastructure allows it to fulfill orders accurately and effectively across all channels, including making certain shipments direct from the source to bypass distribution centers, while still providing buffer capacity capabilities to support future expansion.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5.11 competes in the global marketplace for purpose-built technical apparel, footwear and gear. Management believes 5.11 has competitive advantages through its global omnichannel business model, which is comprised of a rapidly growing DTC channel and recurring Wholesale channel. 5.11 competes against activewear, outdoor and specialty apparel brands such as Nike, Under Armour, The North Face, Patagonia, Lululemon, Arc’teryx, Carhartt, Propper and Fecheimer Brothers. 5.11 competes with footwear brands such as Timberland, Bates and Danner, and with gear and bag brands such as Camelbak, Osprey and YETI. 5.11 also competes with specialty retailers such as REI, Dick’s Sporting Goods and Galls.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5.11 has built a supply chain that is optimized for its business, through which 5.11 controls the design, development and fulfillment of its products.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Sourcing and Manufacturing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5.11 does not own or operate any manufacturing facilities. Instead, it chooses to contract with third-party suppliers for materials (fabric and trims) and manufacturers for finished goods. 5.11 partners with high-quality vendors and retains complete control of all intellectual property associated with its products. 5.11 product design, technical design and development teams work directly with its vendors to incorporate innovative materials that meet the high-quality product standards demanded by its customers. 5.11’s primary product specifications include characteristics like durability, protection, functionality, and comfort. 5.11 collaborates with leading fabric suppliers to develop fabrics that it ultimately trademarks for brand recognition whenever possible.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materials used in 5.11 products are developed in partnership between its material vendors and its design, product development and sourcing teams, then sourced by its manufacturers from a limited number of pre-approved suppliers. To enhance efficiency and profitability, 5.11 recently adopted 3D design capabilities for virtual prototyping allowing it to make better and quicker decisions prior to creating physical prototypes. Additionally, 5.11 recently partnered with one of its apparel manufacturers to create a development center with dedicated resources to facilitate rapid prototyping.</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5.11 products are manufactured by third-parties. 5.11 works with a group of 80+ vendors, 18 of which produced approximately 80% of its products in both 2024 and 2023. During the year ended December 31, 2024, approximately 39% of 5.11 products at cost were produced in Bangladesh, approximately 27% in Vietnam, and the remainder in China, Cambodia, Taiwan, Philippines, Indonesia, Africa, Central America and the United States. 5.11 does not have any long-term agreements requiring it to use any manufacturer, and no manufacturer is required to produce its products in the long term. 5.11 purchases from suppliers on a purchase order basis informed by capacity forecasts. 5.11 measures supplier performance through various performance indicators and partner closely with them to continually improve efficiency, cost, and quality. Management believes that 5.11's principal manufacturers have the additional capacity to accommodate future growth.</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company devoted to the needs of public safety and mission-oriented professionals, 5.11 has developed secure relationships with a number of its vendors and take great care to ensure that they share its commitment to quality and ethics. Under its supplier agreements, suppliers must follow 5.11’s established product design specifications and quality assurance programs to meet specified standards. To ensure vendor reliability and quality, 5.11 has established a sourcing office in Hong Kong whose primary functions include vendor management, commercialization, product development, production planning, vendor compliance, and quality assurance.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5.11 requires its vendors to comply with its Vendor Code of Conduct relating to working conditions as well as certain environmental, employment and sourcing practices. 5.11 requires all vendors to contractually commit to upholding these standards. Additionally, in alignment with its values, 5.11 encourages its manufacturers to be certified through the Worldwide Responsible Accredited Production (WRAP) program, which is an independent organization dedicated to promoting safe, lawful, humane and ethical manufacturing. Once a vendor is part of 5.11’s production network, its in-house production team work together with third-party inspectors to closely monitor each partner’s compliance with applicable laws and standards on an ongoing basis.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5.11 regularly sources new suppliers and manufacturers to support its ongoing growth and carefully evaluates all new suppliers and manufacturers to ensure they share its standards for quality and integrity. To mitigate supplier concentration risk, 5.11 commercializes its top key items at multiple factories to ensure it can balance geographic</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25" w:name="page26"/>
    <w:bookmarkEnd w:id="25"/>
    <w:p>
      <w:pPr>
        <w:jc w:val="both"/>
        <w:spacing w:after="0" w:line="287" w:lineRule="auto"/>
        <w:rPr>
          <w:sz w:val="20"/>
          <w:szCs w:val="20"/>
          <w:color w:val="auto"/>
        </w:rPr>
      </w:pPr>
      <w:r>
        <w:rPr>
          <w:rFonts w:ascii="Arial" w:cs="Arial" w:eastAsia="Arial" w:hAnsi="Arial"/>
          <w:sz w:val="18"/>
          <w:szCs w:val="18"/>
          <w:color w:val="auto"/>
        </w:rPr>
        <w:t>risks as well as respond quickly to spikes in business. 5.11 also continuously seeks out additional suppliers and manufacturers to enable contingency plans that minimize disruptions, as well as support its future growth.</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Distribution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5.11 leases and operates a distribution facility in Manteca, California to support its fulfillment needs across the Americas (North, Central &amp; South). Additionally, 5.11 operates a small distribution facility in New South Wales, Australia to serve the Australia and New Zealand markets. 5.11 utilizes global third-party logistics providers to fulfill customer orders in EMEA and Asia-Pacific, which are located in Sweden and China, respectively. These third-party logistics providers manage all various distribution activities in their regional markets, including product receiving, storing, limited product inspection activities, and outbound shipping.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establish and protect its proprietary rights, 5.11 relies on a combination of trademark (including trade dress), patent, design, copyright and trade secret laws, as well as contractual restrictions in license agreements, confidentiality and non-disclosure agreements and other contracts. 5.11’s intellectual property is an important component of its business, and management believes that 5.11's know-how and continuing innovation are important to developing and maintaining its competitive position. Management also believes having distinctive marks that are readily identifiable on 5.11's products is an important factor in continuing to build its brand and distinguish its products. 5.11 considers the 5.11 name and logo, as well as the Beyond Clothing name and logo, trademarks, together with 107 issued and pending patents and 632 registered and pending trademarks, both in the United States and internationally, to be among its most valuable intellectual property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United States and the other jurisdictions in which 5.11 operates, it is subject to labor and employment laws, laws governing advertising, environmental and safety regulations, including those pertaining to perfluoroalkyl and polyfluoroalkyl substances (collectively known as “PFAS”), and other laws, including consumer protection regulations that apply to the promotion and sale of merchandise and the operation of fulfillment centers, anti-corruption laws and privacy, data security and data protection laws and regulations, such as the California Consumer Privacy Act, in the United States, the EU General Data Protection Regulation 2016/679 ("GDPR") in the European Economic Area and Switzerland, the U.K. GDPR and the United Kingdom Data Protection Act 2018 in the United Kingdom, and the Brazilian General Data Protection Law in Brazil, the ePrivacy Directive and national implementing and supplementing laws in the European Economic Area.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5.11 products sold outside of the United States may be subject to tariffs, treaties, export compliance regulations and various trade agreements, as well as laws affecting the importation of consumer goods. 5.11 monitors changes in these laws and management believes that 5.11 is in material compliance with applicable laws. Failure to comply with these laws, where applicable, can result in the imposition of significant civil and/or criminal penalties and private litigation. A portion of sales generated by its International business is derived from sales to foreign government agencies, and management believes 5.11 is in material compliance with related applicable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Mission-Driven, Innovative and Supportive Culture – From the beginning, 5.11’s company culture has always been focused on serving those who serve—military, law enforcement officers, public safety and first responders and frontline workers from around the world. The passion for serving these top professionals inspires 5.11 to extend serving its consumers into their everyday lives, to be prepared for whatever life throws their way. 5.11’s teams embrace its ABR mindset, and its core values allow 5.11 to attract passionate and motivated employees who are driven to succeed and share the vision of becoming “an iconic global brand rooted in innovating purpose-built gear for the most demanding missions while inspiring the world to always be ready.”</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5.11’s work environment is open and collaborative, spanning a global organization from its headquarters in Costa Mesa, CA and offices in Hong Kong, Mexico, Sweden and Australia, to its distribution center in Manteca, CA, and to its U.S. retail stores. Its employees around the world are 5.11’s most valuable and important brand ambassadors. Their commitment to 5.11 and its mission, and their knowledge and passion for 5.11 products allows 5.11 to execute its company strategy and strengthens its brand loyalty. Additionally, 5.11 store employees are critical to 5.11’s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success and often represent members of its communities, with many of them retired military, law enforcement officers and first responders.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5.11 prides itself in its ability to work directly with top professionals around the world, innovating to solve their greatest needs in the most mission-critical settings. 5.11 maintains a global footprint, with employees working in thirty-three states and eighteen countries. At December 31, 2024, 5.11 had 1073 full-time employees and 260 part-time employees. 5.11 strives to create a welcoming and caring environment across the entire organization and celebrate the passion its team members bring forward in serving its consumers. 5.11 believes it has created a company culture focused on attracting, retaining, and developing talent, which enables it to exceed consumers’ expectations and meet its growth objectives. 5.11 prioritizes building a diverse, inclusive, equitable and supportive team that is driven by creativity and purposeful innovation.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BOA, creator of the revolutionary,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offices in Austria, China, South Korea, and Japan.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BOA</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BOA was founded in 2001 by Gary Hammerslag, a snowboarder, surfer, and entrepreneur. Gary moved to Steamboat Springs, Colorado in the mid-90’s after successfully selling his previous company, which created innovative catheter solutions that improved angioplasty procedure speed and effectiveness. After arriving in Steamboat Springs and frequently snowboarding, Gary envisioned a possibility to dramatically improve the fit and performance of snowboard boots by applying elements of his learnings in the medical device field. Gary developed a fit system as an alternative to traditional laces for snowboard boots and partnered with K2 and Vans to launch the first BOA-equipped snowboard boots to consumers in the winter of 2001. After a successful launch, BOA became widely adopted on snowboard boots.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BOA’s next phase of growth was largely in the outdoor sporting and recreation markets. In 2005, BOA expanded its focus to hiking and trail-related footwear, followed by cycling and golf in 2006 and hunting and fishing in 2007, at which point BOA surpassed 1 million users worldwide. From 2008 to 2011, having gained credibility in consumer markets, BOA introduced products for the workwear footwear market as well as products for the medical bracing market. In 2013, the company entered the running market, followed by court sports and training in 2019.</w:t>
      </w:r>
    </w:p>
    <w:p>
      <w:pPr>
        <w:spacing w:after="0" w:line="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2019, BOA launched its state-of-the-art Performance Fit Lab ("PFL") to quantitatively measure the impact of BOA-equipped performance footwear with elite athletes. The PFL’s purpose is to push the limits of athlete performance through superior fit, performance and user experience by testing, refining and improving products in collaboration with BOA’s brand partners. BOA has conducted thousands of individual performance tests since the lab opening.</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2023, BOA successfully launched alpine downhill ski boots. The expansion into new industries and geographies coupled with the scientifically proven performance improvements has resulted in BOA surpassing 31 million users worldwide in 2024.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purchased a majority interest in BOA on October 16, 2020.</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BOA participates in the global performance footwear, helmet and bracing markets representing an addressable market of 800+ million units sold annually in over 40 countries. The addressable market includes Snowsports (Alpine Ski, Snowboarding, and Cross-Country boots plus Helmets), Athletic (Golf, Court Sports, Running, and Training footwear), Outdoor (Trail, Hiking, Trekking, and Mountaineering boots/shoes), Cycling (Footwear and Helmets), Workwear (Footwear and Helmets), and Bracing. BOA partners with the leading premier brands to</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7" w:name="page28"/>
    <w:bookmarkEnd w:id="27"/>
    <w:p>
      <w:pPr>
        <w:jc w:val="both"/>
        <w:spacing w:after="0" w:line="287" w:lineRule="auto"/>
        <w:rPr>
          <w:sz w:val="20"/>
          <w:szCs w:val="20"/>
          <w:color w:val="auto"/>
        </w:rPr>
      </w:pPr>
      <w:r>
        <w:rPr>
          <w:rFonts w:ascii="Arial" w:cs="Arial" w:eastAsia="Arial" w:hAnsi="Arial"/>
          <w:sz w:val="18"/>
          <w:szCs w:val="18"/>
          <w:color w:val="auto"/>
        </w:rPr>
        <w:t>integrate their system into their best gear. Management estimates the company currently has approximately 4% share within its addressable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Customers and Distribution Channels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 Fit System consists of a durable lace, which is guided by low-friction guides and attached to a dial that is typically mounted on the footwear heel, tongue, or eye-stay for micro-adjustability to enhance performance fit. BOA’s current product portfolio has seven platforms, H+, H, M+, M, L+, L and S-Series, which vary in cost, weight, tension, and use case. Each dial design can be customized with numerous color choices allowing the product to fit cohesively with each brand partners’ specific designs and colorways.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platforms share the distinctive characteristics that differentiate BOA from competing offerings: micro-adjustability to achieve the perfect fit, measurable performance benefits validated by the company’s PFL, durability and quality proven in extensive field testing, a lifetime guarantee on the end-product’s dial and laces, and the distinctive BOA sound heard when turning the dial.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platform is designed and engineered to address the specific performance fit needs of the end user by use case. Factors such as size and shape of dial, level of torque, internal mechanics, and weight vary amongst platforms, and each platform is further segmented into product collections that differ in aesthetic, optimal placement on the shoe, and cost. Within each product collection, dial designs and materials differ to accommodate preferences of the end user and retail price points of the end product.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 and Distribution Channels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BOA has approximately 300 global brand partners, including leading footwear companies such as Adidas, ASICS, Yonex, New Balance, Marucci, Specialized, Shimano, Fizik, Trek, Fox, Burton, La Sportiva, K2, Vans, Salomon, Atomic, Fischer, Scarpa, Black Yak, Ecco, Fila, Scott, FootJoy, Sievi, Red Wing, Timberland, Ariat, Strauss and Jalas who feature BOA systems across a variety of sporting and professional industries including snow sports, cycling, outdoor, athletic, workwear and bracing. BOA typically sells directly to the manufacturing partner responsible for final assembly of the brand partner’s product. BOA works with 500+ brand partner factories with limited revenue concentration. Most brand partner factories are located in Asia, primarily in China and Vietnam, and are in relatively close proximity to BOA’s supply chain.</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Rather than being solely an OEM part supplier, BOA actively collaborates with its brand partners to create innovative, performance-driven footwear, helmets and bracing. BOA contributes substantial design and testing resources to ensure its system is used in a way that maximizes performance based on dial placement and configuration. The BOA Fit System is not simply a “lace replacement” or plug and play option, but rather a solution that must be integrated into each product model through a 6-18 month development cycle to create an application that works specifically with a product’s unique structural design. This process allows BOA to ensure brand image consistency, end product quality and the best performance fit.</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Footwear and headwear products featuring BOA systems are primarily sold through brick-and-mortar sporting goods retailers, specialty sport retailers, online retailers, or brand partners’ owned retail and online channels. Management estimates that end consumption of BOA products is geographically diverse, with approximately 10% of products consumed in North America, 30% in Europe, and 60% in Asia.</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One individual customer represented approximately 10%, 11% and 13% of BOA's net revenues in 2024, 2023 and 2022. No other individual customer or brand partner factory represented greater than 10% of BOA’s net revenues in 2024, 2023 or 2022. At December 31, 2024 and 2023, BOA had approximately $23.0 million and $16.1 million in order backlog,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Strategies and Competitive Strengths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Strategies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Continued Share Growth in Established Industries </w:t>
      </w:r>
      <w:r>
        <w:rPr>
          <w:rFonts w:ascii="Arial" w:cs="Arial" w:eastAsia="Arial" w:hAnsi="Arial"/>
          <w:sz w:val="18"/>
          <w:szCs w:val="18"/>
          <w:color w:val="auto"/>
        </w:rPr>
        <w:t>- BOA has established a strong presence in certain core industries globally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cycling and snowboarding. BOA has established strong positions in the workwear industry in Europe, outdoor industry in Korea, and the athletic industry in Japan and China. The company achieved approximately 15% model count growth consistent with BOA's long-term expectations.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Going forward, BOA intends to continue to build its brand partner relationships to expand penetration and capture additional share in growing markets such as workwear in North America and Asia and outdoor/athletic in Europe and North America, and Alpine Ski globally. BOA has developed industry specific products to better cater to the individual dynamics of each market. Through its reputation in the marketplace, athlete endorsements and deep relationships with leading brand partners, the company is focused on delivering the performance benefits of the BOA Fit System across an expanding set of industries and geographies.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Expand into Pioneering Categories </w:t>
      </w:r>
      <w:r>
        <w:rPr>
          <w:rFonts w:ascii="Arial" w:cs="Arial" w:eastAsia="Arial" w:hAnsi="Arial"/>
          <w:sz w:val="18"/>
          <w:szCs w:val="18"/>
          <w:color w:val="auto"/>
        </w:rPr>
        <w:t>- BOA has identified several adjacent segments including mountaineering/trekking/trail, and court</w:t>
      </w:r>
      <w:r>
        <w:rPr>
          <w:rFonts w:ascii="Arial" w:cs="Arial" w:eastAsia="Arial" w:hAnsi="Arial"/>
          <w:sz w:val="18"/>
          <w:szCs w:val="18"/>
          <w:b w:val="1"/>
          <w:bCs w:val="1"/>
          <w:color w:val="auto"/>
        </w:rPr>
        <w:t xml:space="preserve"> </w:t>
      </w:r>
      <w:r>
        <w:rPr>
          <w:rFonts w:ascii="Arial" w:cs="Arial" w:eastAsia="Arial" w:hAnsi="Arial"/>
          <w:sz w:val="18"/>
          <w:szCs w:val="18"/>
          <w:color w:val="auto"/>
        </w:rPr>
        <w:t>sports such as tennis and badminton, which management believes are well suited to benefit from the performance fit that BOA delivers. BOA is actively working with leading brand partners to develop sport-specific footwear configurations that can benefit from the advantages of the BOA Fit System. By leveraging BOA’s brand equity and proven solutions, the company believes there is significant whitespace to increase penetration in these early adoption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Strengths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Culture of Innovation and New Product Development </w:t>
      </w:r>
      <w:r>
        <w:rPr>
          <w:rFonts w:ascii="Arial" w:cs="Arial" w:eastAsia="Arial" w:hAnsi="Arial"/>
          <w:sz w:val="18"/>
          <w:szCs w:val="18"/>
          <w:color w:val="auto"/>
        </w:rPr>
        <w:t>- Management believes that there is a significant opportunity to continue advancing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offerings through its commitment to innovation. Product development and innovation are divided amongst (i) BOA’s internal innovation and evolution of its fit systems and platforms, refining and improving on the aesthetics, durability, user experience, and price/value, (ii) the design and engineering collaboration that BOA engages in with its brand partners for project and application-specific needs, and (iii) BOA’s advanced research through its PFL, which is transforming markets through innovative performance fit solutions that are scientifically tested and validated.</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Deep Collaborative Partnerships – </w:t>
      </w:r>
      <w:r>
        <w:rPr>
          <w:rFonts w:ascii="Arial" w:cs="Arial" w:eastAsia="Arial" w:hAnsi="Arial"/>
          <w:sz w:val="18"/>
          <w:szCs w:val="18"/>
          <w:color w:val="auto"/>
        </w:rPr>
        <w:t>BOA has deep partnerships with the premier brands in every industry they compete within. They</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collaborate throughout the entire product lifecycle process, including product strategy, design and development, factory operational/service</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support, retail education, consumer warranty support, and marketing/demand creation. BOA has a high partner retention rate due to the depth and value of the relationships.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Premium Brand Position - </w:t>
      </w:r>
      <w:r>
        <w:rPr>
          <w:rFonts w:ascii="Arial" w:cs="Arial" w:eastAsia="Arial" w:hAnsi="Arial"/>
          <w:sz w:val="18"/>
          <w:szCs w:val="18"/>
          <w:color w:val="auto"/>
        </w:rPr>
        <w:t>BOA is focused on continuing to build awareness around its aspirational, global brand through content</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athlete endorsements, paid media, brand partner affiliations, retail engagement/ education and other business. BOA primarily increases awareness through direct-to-consumer marketing and co-marketing with its established brand partner relationships. BOA leverages athlete endorsements to further establish its positioning as a performance fit leader as well as drive cross-segment brand awareness. The company's tag line and positioning “Dialed in Precision Fit" showcases athletes performing at their peak both physically and mentally. BOA also relies on its trusted brand partners to increase BOA brand awareness. The company focuses its efforts on collaborating with brand partners who are innovative market leaders that meet BOA’s brand standards and align with BOA’s positioning as a high-performance, premium brand.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Technology Leader with Robust Patent Portfolio – </w:t>
      </w:r>
      <w:r>
        <w:rPr>
          <w:rFonts w:ascii="Arial" w:cs="Arial" w:eastAsia="Arial" w:hAnsi="Arial"/>
          <w:sz w:val="18"/>
          <w:szCs w:val="18"/>
          <w:color w:val="auto"/>
        </w:rPr>
        <w:t>BOA is a leader in performance fit innovation and has built a diverse global portfolio of</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and pending utility and design patents. Throughout BOA’s history, the company has continually innovated on dial attributes including quick release, durability, manufacturing ease, and micro adjustability, in addition to integrated lace and lace guide designs and configurations critical to imparting precision fit and reduced friction. BOA’s engineering and technical expertise enables the development and production of performance fit solutions, allowing their brand partners to offer performance enhancing technology and product differentiation.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BOA’s competition can be segmented into three categories: established footwear brands that maintain their own proprietary technology for particular market segments, lower-quality subscale BOA imitators, and non-mechanical lace alternatives (bungies, buckles, plastic lace locks, Velcro, and webbing). Management estimates that BOA is 10+ times the size of its next closest direct competitor.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BOA’s approach to new product development is a multi-stage, cross-functional process. For each new product introduction, BOA works closely with brand partners to identify or develop the best suited BOA solution, its optimal placement on the shoe (or other application), color and design specifications, and cost targets. On existing products, BOA is committed to continuous innovation, including key improvements such as lower installation costs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9" w:name="page30"/>
    <w:bookmarkEnd w:id="29"/>
    <w:p>
      <w:pPr>
        <w:jc w:val="both"/>
        <w:spacing w:after="0" w:line="287" w:lineRule="auto"/>
        <w:rPr>
          <w:sz w:val="20"/>
          <w:szCs w:val="20"/>
          <w:color w:val="auto"/>
        </w:rPr>
      </w:pPr>
      <w:r>
        <w:rPr>
          <w:rFonts w:ascii="Arial" w:cs="Arial" w:eastAsia="Arial" w:hAnsi="Arial"/>
          <w:sz w:val="18"/>
          <w:szCs w:val="18"/>
          <w:color w:val="auto"/>
        </w:rPr>
        <w:t>for brand partner factories, thinner and sleeker product profiles for improved aesthetics, in field warranty rate reduction to approximately 0.5%, improved user experience, and the broadening of the platform suite to address key opportunities in alpine skiing, outdoor and helmets.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BOA’s innovation strategy around improving fit, the company has invested in a state-of-the-art PFL to quantitatively measure the impact of the BOA system on end products. The PFL is testing a significant number of products to evaluate Stability and Control, Power Transfer and Energy Efficiency. By addressing these global performance attributes rather than segment-by-segment specific needs, PFL findings will be relevant and applicable across BOA’s product lines. The results of these studies help further validate BOA’s value proposition, strengthening the company’s position as a fit and performance leader. Moreover, the PFL serves as a platform to test and refine new product offerings ahead of launch.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BOA maintains a longstanding deep relationship with a sole supplier for plastic injected parts (dial units and lace guides), representing approximately 70% of total purchases. The vendor is based in China with multiple facilities and established a new facility in Vietnam, diversifying its geographical footprint in 2024. Furthermore, the vendor has supplied the company since 2001 and has continuously invested in its tools and infrastructure to maintain quality standards and keep up with demand. BOA owns all its injection molds. Lastly, the vendor is also a minority shareholder in BOA and is committed to supporting its growth. The remainder of BOA’s purchases are for steel and steel coated lace, textile laces and guides, monofilament lace and webbing, which are sourced from China, Korea, Europe, Thailand, and the Philippines. Management believes its manufacturing partners have sufficient capacity to accommodate future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BOA has built a diverse global patent portfolio of 293 issued and pending utility patents and 168 issued and pending designs. The company currently has 47 active patent “families” as well as 31 active design “families” with intellectual property covering its core technology (dials, guides, laces), as well as strategic configurations and component installation methods. BOA maintains 18 registered and pending trademarks protecting 14 unique marks, with core marks filed in 40+ countries.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Due to the diversity of industries and geographies BOA participates in, there is no significant seasonality to the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forward-looking company, BOA sustainability efforts include minimizing impact on the environment, elevating the experience of staff throughout our supply chain, and working with community partners to diversify and promote access throughout Outdoor and STEM industries. BOA is working to reduce the use of virgin fossil fuel-based plastics, reduce overall manufacturing waste, and materially decrease our use of fossil-based energy. The company has made tangible progress in all three areas. BOA has formed partnerships with organizations across each region of operation focused on providing more access and opportunities to under-represented populations and protecting the environment. Through these programs BOA is working to create purposeful connections to their employees, partners, and consumers – bringing their mission, values, and products to the hearts and minds of their audience.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BOA is an inclusive global team that trusts and cares for each other, their partners, the community, and the environment. Since their launch in Steamboat Springs, CO in 2001, BOA has maintained a strong and healthy company culture that is rooted in a passion for pioneering, and for making the best gear even better. As the team has expanded over the last 24 years, BOA has placed an emphasis on attracting, developing, and retaining a diverse and talented team. BOA employees are located in four countries and the United States. As of December 31, 2024, BOA had 266 full-time employees and 5 part-time employees. 140 employees are located in the United States and 131 work outside of the United States in Austria, China, Japan, and South Korea.</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 is focused on providing greater access to careers and the outdoors, and providing BOA talent with opportunities to grow within the organization - providing career exposure programs, learning and development opportunities, targeted individual career plans, and building leadership development across all levels of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organization. BOA maintains a high employee retention rate and the leadership team strives to role model our values.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Lugano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Lugano is a leading designer, manufacturer, and retailer of high-end jewelry. Lugano utilizes an extensive network of suppliers to procure high-quality diamonds and rare gemstones. Often taking inspiration directly from the stone, Lugano designs and creates one-of-a-kind jewelry that it sells to a broad base of clients. Lugano conducts sales via its own retail salons as well as pop-up showrooms at Lugano-hosted or sponsored events in partnership with influential organizations in the equestrian, art, and philanthropic communities. Lugano is headquartered in Newport Beach, California.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Lugano</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Established in 2004 by Moti and Idit Ferder, Lugano takes its name from the picturesque Lake Lugano in southern Switzerland, often described as a unique "gemstone of nature,” nestled amidst the Lugano Prealps mountains. The first retail salon opened its doors in 2005 in Newport Beach, California, adopting an exclusive appointment-only model. Situated across from the upscale Fashion Island shopping center in Orange County, the salon rapidly expanded, providing a crucial validation of Lugano's tailored retail strategy. Over the subsequent years, Lugano strategically opened three additional retail salons in Aspen, Colorado; Palm Beach, Florida; and Ocala, Florida, all employing its distinctive high-touch sales approach to broaden its presence in key destinations favored by its target demographic. In 2008, the company initiated an equestrian division, concentrating on the Southeastern United States to complement its retail sales efforts. Today, Lugano is a prominent sponsor of various equestrian events and remains a dedicated supporter of equestrian-related causes.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Throughout its history, Lugano has focused on building strong relationships with influential social and philanthropic organizations in the local communities surrounding its retail salons. In Aspen, Colorado, Lugano frequently collaborates with esteemed organizations like the Aspen Institute and the Aspen Museum of Art, hosting private dinners and events as part of its event-based marketing strategy.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2020, Lugano bolstered its production capabilities by constructing an in-house workshop, enhancing production efficiencies, and gaining greater control over its premium gemstone inventory. In 2022, Lugano marked the opening of a new retail salon in Houston, Texas, and relocated its original Newport Beach location to become Lugano's flagship salon in the prestigious Fashion Island shopping center. The expansion continued in 2023 with new retail salons in Greenwich, Connecticut, and Washington, DC. Additionally, the company introduced Privé, an exclusive private social club designed for Lugano clients. Located in Newport Beach, with additional locations in the pipeline, Privé is the culmination of Lugano’s years of community building and exceptional experience curation. 2024 introduced the next chapter for Lugano with its first international retail salon in London, England.</w:t>
      </w:r>
    </w:p>
    <w:p>
      <w:pPr>
        <w:spacing w:after="0" w:line="12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Today, Lugano's distinctive go-to-market strategy, unique designs, vertical integration, and cultivated client network stand as crucial differentiators in the competitive high-end jewelry market.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purchased a majority interest in Lugano on September 3,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Lugano designs, manufactures, and retails high-end jewelry including unique rings, necklaces, earrings, bracelets and brooches that range in price from under $1,000 to well over seven figures, with an average price of approximately $ 450,000 per retail transaction in 2024. Lugano’s designers start with a rare stone as inspiration and craft jewelry that highlights the beauty and perceived value of the stone. As a result, Lugano’s pieces are often seen as one-of-a-kind works of art, creating a highly desirable niche in the broader jewelry marketplace. Competitors’ products are typically high volume or collection-based jewelry lines that are inherently less unique or exclusive – traits highly valued by Lugano’s clientele.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Lugano’s client base generally consists of sophisticated, high-net-worth individuals who value long-standing relationships and a personalized sales approach over one-time purchases and the high-pressure sales tactics used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1" w:name="page32"/>
    <w:bookmarkEnd w:id="31"/>
    <w:p>
      <w:pPr>
        <w:jc w:val="both"/>
        <w:spacing w:after="0" w:line="262" w:lineRule="auto"/>
        <w:rPr>
          <w:sz w:val="20"/>
          <w:szCs w:val="20"/>
          <w:color w:val="auto"/>
        </w:rPr>
      </w:pPr>
      <w:r>
        <w:rPr>
          <w:rFonts w:ascii="Arial" w:cs="Arial" w:eastAsia="Arial" w:hAnsi="Arial"/>
          <w:sz w:val="18"/>
          <w:szCs w:val="18"/>
          <w:color w:val="auto"/>
        </w:rPr>
        <w:t>by other jewelry competitors. A typical Lugano client is community and relationship-driven and seeks unique products with emotional significance. The purchasers or recipients of Lugano pieces are predominantly women and often leaders in their respective communities. Lugano’s clients can range in age from 25 to over 80 and come from all over the nation, with most based in California, followed by Florida, New York, Texas, and Colorado, along with international clientele, primarily in the United Kingdom.</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Lugano’s retail revenue is diversified with no customer representing greater than 10% of total revenue in 2024. Management also believes its client relationships are significantly stickier than those of other jewelry retailers. Lugano enjoys a growing percentage of repeat business year-over-year, with repeat customers contributing an increasing percentage of revenue. Beyond its retail business, Lugano also sells loose diamonds via its wholesale division representing approximately 3% of Lugano’s revenue in 2024.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Distribution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Lugano goes to market via retail salons in Newport Beach, California, Palm Beach, Florida, Aspen, Colorado, Houston, Texas, Ocala, Florida, Washington DC, Greenwich, Connecticut and London, England. All Lugano salons are strategically located in wealthy regions or near popular vacation and up-scale shopping destinations frequented by Lugano’s target clientele. In a salon, Lugano aims for an elegant and private ambience to facilitate its high-touch sales approach. Salons are carefully laid out, enabling Lugano to host private dinners, parties, or other social events. Unlike other jewelers that highlight their jewelry with long, rectangular counters that separate the customer from the salesperson, Lugano decorates its salons with curved tables and couches designed to facilitate comfort, relationship-building, and ease of conversation. Lugano also markets and sells jewelry via pop-up showrooms at Lugano-hosted or sponsored events or in the homes of its clients.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 Business Strategies and Competition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Trends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Lugano competes broadly in the personal luxury goods market, a portion of the overall global luxury market. Lugano currently has very low penetration (&lt;1%) within its target market of high-net-worth individuals. Lugano’s addressable client base has been steadily increasing for over a decade to an estimated 290,000 individuals worldwide, mirroring the growth seen in their combined net worth, which increased to over $35 trillion. As a result, management believes there is significant runway for additional growth by expanding brand awareness and household penetration.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Strategies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Lugano believes it is well-positioned to emerge as a leading domestic and international luxury brand. Lugano’s key growth opportunities include expanding its geographic footprint across target markets, domestically and internationally, growing the number of events it hosts, and branching into activities beyond equestrian sports that similarly attract wealthy participants.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luxury jewelry market is highly fragmented with the leading six to seven companies accounting for approximately 20% of the market. LVMH, with brands like Tiffany, Bvlgari and Chaumet; Richemont with brands like Cartier and Van Cleef &amp; Arpels; Graff Diamonds; and Harry Winston lead the market. These competitors often utilize a traditional retail model focused on foot traffic and tourism, are typically collection-based, and do not exclusively focus on the high-end segment of the jewelry market. The remaining portion of the market consists of national retail brands and small or midsize players that operate regionally or in an online-only format.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Sourcing, Design and Production Capabilities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deep network of international vendors enables the company to source rare and difficult-to-find stones. These stones are then combined with the world-class capabilities of Lugano designers who create sought-after masterpieces that cater to the company’s target clientele. Lugano’s in-house production workshop or close network of captive workshops provide increased production efficiencies, improved control over its inventory and better speed to market.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High-touch Retail Model</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Lugano’s one-of-a-kind inventory requires a unique and high-touch sales strategy which the company has cultivated over its nearly 20-year history. The company’s retail experience is carefully curated, emphasizing both exclusivity and elegance, both critical to the sale of Lugano jewelry.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Event-based Marketing Strategy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Lugano sponsors over three hundred events each year, enabling the company to meet prospective clients and reconnect with existing clients that have become loyal and repeat purchasers. In each market that Lugano enters, management takes great care to establish itself as part of the local community and become a focal point for its clients’ lifestyles and activities. Through its efforts, Lugano invests in relationships which build brand value and customer loyalty. Lugano-sponsored events are often a client’s gateway into the Lugano community (management estimates over 80% of clients are initially contacted at Lugano-sponsored events). Once a part of the Lugano community, customers tend to view jewelry purchases from Lugano as recurring events and often increase the size of their purchase from their previous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Sourcing and Availability of Materials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Lugano sources diamonds and precious gemstones from a variety of vendors and wholesalers. Generally, Lugano sources polished diamonds and gemstones that are crafted into a Lugano-designed piece. From time to time, Lugano also opportunistically acquires finished jewelry with a high resale value from its global network of vendors. Most of Lugano’s diamonds are sourced from domestic wholesalers. By not purchasing raw stones directly from mines, Lugano limits conflict diamond exposure. Lugano ensures all its diamond vendors adhere to the Kimberly Process Certification Scheme to prevent conflict diamonds from entering its supply chain. Lugano’s vendor base is diversified with no vendor typically making up more than 10% of total purchases in most years. Lugano maintains decade-long and trusted relationships with its top vendors.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individual retail salons experience some seasonality (e.g., winter in Aspen, summer in Newport Beach), these patterns offset one another at the company-level, with some emphasis on sales around the holidays in the fourth quarter. Additionally, due to the variety of events Lugano hosts all-year-round, there is no significant seasonality in the business, although the fourth quarter is typically the highest revenue quarter in each year due to the holiday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2024, Lugano employed a non-union labor force of 171 full-time employees. 79 employees work in sales and marketing, 23 work in acquisition, design &amp; production, 31 work in operations, 27 work at Privé, with the remainder in corporate and administration. 10 of Lugano's employees are based in the United Kingdom. Lugano intends to continue to grow its headcount and build out its middle management as it executes on its growth strategy of new salon openings, increased event-based marketing, and international expansion. Management believes Lugano's relationship with its employees is good.</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PrimaLoft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Headquartered in Latham, New York, PrimaLoft is a leading provider of branded, high-performance synthetic insulation used primarily in consumer outerwear and accessories. PrimaLoft was developed in 1983 as a division of Albany International Corporation (NYSE: AIN) in response to a U.S. Army request to develop a synthetic insulation for soldiers that replicated the warmth and weight characteristics of traditional goose down, but also remained warm when wet. Today, PrimaLoft’s products span a wide variety of highly engineered insulation fibers and gels that are used as ingredients for premium priced outdoor apparel (e.g., jackets, vests, pants, gloves, footwear, and hats) and home furnishings (e.g., comforters and pillows). PrimaLoft is differentiated based on its (i) leadership in synthetic insulation technology and sustainability, (ii) respected brand, (iii) robust product development and service model critical to brand partners, and (iv) respected legacy and high esteem with product design teams of aspirational brands. Most brand partners do not possess the same depth of internal expertise in synthetic insulation design and view PrimaLoft as an innovation and sustainability partner that enhances the parent brand in a manner consistent with increasingly eco-focused brand missions.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History of PrimaLoft</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PrimaLoft was originally founded in 1983 after being approached by the U.S. Army Research Laboratory in Natick, Massachusetts. The U.S. Army was primarily interested in a synthetic insulation that would be comparable to goose down in weight, compressibility, and warmth, while also retaining heat in the presence of moisture. PrimaLoft was awarded its first patent for a “synthetic down” originally branded as PrimaLoft ONE in 1986. After initial success with military applications including sleeping bags and clothing systems, PrimaLoft entered the commercial market through partnerships with name brands like L.L. Bean, Land’s End, and Ralph Lauren. PrimaLoft quickly established its credibility for performance and quality and today continues to drive innovation within the synthetic insulation industry. A summary of key milestones in the Company’s history is below:</w:t>
      </w:r>
    </w:p>
    <w:p>
      <w:pPr>
        <w:spacing w:after="0" w:line="7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1989: L.L. Bean and Ralph Lauren become the first brand partners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1990: PrimaLoft was used in the layering system for the Mount Everest Peace Climb</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1997: Developed first design using post-consumer recycled material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2012: Separation from Albany International into a standalone company through a management buyout</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2017: Release of i) ThermoPlume, the most advanced, 100% recycled, down-like synthetic insulation alternative and ii) Aerogel technology, a lightweight, compression-resistant insulation composed of more than 95% air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2018: Developed first-ever biodegradable, 100% recycled synthetic insulation and fabric cross-product capabilities</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2019: Breakthrough development of P.U.R.E. manufacturing technology, a proprietary process of synthetic insulation that reduces carbon emissions by up to 70%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2020: Launch of Patagonia Nano-Puff with PrimaLoft P.U.R.E. technology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2021: Launch of Aerogel Footwear with Canada Goose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2021: PrimaLoft Bio recognized as the winner of Drapers Sustainable Fashion Award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acquired a majority interest in PrimaLoft on July 12, 2022.</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w:t>
      </w:r>
      <w:r>
        <w:rPr>
          <w:rFonts w:ascii="Arial" w:cs="Arial" w:eastAsia="Arial" w:hAnsi="Arial"/>
          <w:sz w:val="17"/>
          <w:szCs w:val="17"/>
          <w:b w:val="1"/>
          <w:bCs w:val="1"/>
          <w:i w:val="1"/>
          <w:iCs w:val="1"/>
          <w:color w:val="auto"/>
        </w:rPr>
        <w:t>ndustry</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PrimaLoft participates in the global insulation market for both apparel and bedding, which is estimated to encompass over $30 billion of annual spending. Within the overall insulation market, PrimaLoft competes primarily in premium positioned products where consumers value performance and sustainability.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Customers and Distribution Channels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PrimaLoft’s core product offering includes a wide range of insulation product types that are optimized to keep end consumers at a comfortable temperature, regardless of weather conditions. At the top end of the product range, PrimaLoft’s technically focused brand partners design each new outwear garment with specific performance goals or use cases in mind and aim to deliver the highest levels of warmth while also reducing product weight and maximizing product flexibility. PrimaLoft also delivers a broader menu of solutions to its brand partners that can address any product designer’s aesthetic vision (e.g., quilted/non-quilted, high/low loft, loose fill/batted rolls, etc.). PrimaLoft has been an early advocate of apparel sustainability, becoming the exclusive partner to some of the largest and most pioneering sustainability focused outdoor brands when they first undertook meaningful sustainability initiatives. Additionally, under its “Relentlessly Responsible” mantra, PrimaLoft has innovated low-emission manufacturing processes, incorporated high levels of recycled content into its product lineup, and continues to push the boundaries of apparel circularity via biodegradation and carbon-negative technologies. The ability of PrimaLoft’s product suite to address any and all brand partner goals, whether performance, aesthetic, or sustainability related, is a critical reason for PrimaLoft’s consistent market leadership in synthetic insulation over the past four decades.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 and Distribution Channels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PrimaLoft primarily works directly with over 900 active brand partners across North America, Europe, and Asia. PrimaLoft maintains highly collaborative relationships with its brand partners, visiting most several times per year to introduce new innovations, generate new product ideas, and assist with integrating the latest PrimaLoft technologies into their outerwear lineups. The process of designing a jacket usually begins about 18 months before the jacket is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34" w:name="page35"/>
    <w:bookmarkEnd w:id="34"/>
    <w:p>
      <w:pPr>
        <w:jc w:val="both"/>
        <w:spacing w:after="0" w:line="252" w:lineRule="auto"/>
        <w:rPr>
          <w:sz w:val="20"/>
          <w:szCs w:val="20"/>
          <w:color w:val="auto"/>
        </w:rPr>
      </w:pPr>
      <w:r>
        <w:rPr>
          <w:rFonts w:ascii="Arial" w:cs="Arial" w:eastAsia="Arial" w:hAnsi="Arial"/>
          <w:sz w:val="18"/>
          <w:szCs w:val="18"/>
          <w:color w:val="auto"/>
        </w:rPr>
        <w:t>intended to be sold at retail. PrimaLoft sales team members and engineers engage early in the process, assisting with garment design, construction, and analysis of key insulation performance attributes. After several rounds of sampling and iterating with PrimaLoft, the brand partner will finalize product bill of materials and quantities for its lineup. Outerwear featuring PrimaLoft is primarily sold through brick-and-mortar sporting goods retailers, specialty sport retailers, online retailers, or brand partners</w:t>
      </w:r>
      <w:r>
        <w:rPr>
          <w:rFonts w:ascii="Calibri" w:cs="Calibri" w:eastAsia="Calibri" w:hAnsi="Calibri"/>
          <w:sz w:val="19"/>
          <w:szCs w:val="19"/>
          <w:color w:val="auto"/>
        </w:rPr>
        <w:t>’ owned retail and online channels.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PrimaLoft had approximately $13.8 million and $13.3 million, respectively, in firm backlog orders at December 31, 2024 and 2023.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Strategies and Competitive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Strategies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Accelerate the Market Trends Away from Down Insulation - </w:t>
      </w:r>
      <w:r>
        <w:rPr>
          <w:rFonts w:ascii="Arial" w:cs="Arial" w:eastAsia="Arial" w:hAnsi="Arial"/>
          <w:sz w:val="18"/>
          <w:szCs w:val="18"/>
          <w:color w:val="auto"/>
        </w:rPr>
        <w:t>With the introduction of ThermoPlume and other down-like synthetic</w:t>
      </w:r>
      <w:r>
        <w:rPr>
          <w:rFonts w:ascii="Arial" w:cs="Arial" w:eastAsia="Arial" w:hAnsi="Arial"/>
          <w:sz w:val="18"/>
          <w:szCs w:val="18"/>
          <w:b w:val="1"/>
          <w:bCs w:val="1"/>
          <w:color w:val="auto"/>
        </w:rPr>
        <w:t xml:space="preserve"> </w:t>
      </w:r>
      <w:r>
        <w:rPr>
          <w:rFonts w:ascii="Arial" w:cs="Arial" w:eastAsia="Arial" w:hAnsi="Arial"/>
          <w:sz w:val="18"/>
          <w:szCs w:val="18"/>
          <w:color w:val="auto"/>
        </w:rPr>
        <w:t>insulation solutions, PrimaLoft is well positioned to continue gaining market share as customers shift away from down insulation. This change is being driven by the following factors: (i) consumer pushback on traditional down products due to the widespread and well-publicized inhumane down harvesting practices; (ii) narrowing performance gap between synthetic and down; (iii) volatility and notably higher pricing for down insulation tied to commodity pricing of goose and duck meat; and (iv) limited design flexibility and loss of efficacy in wet conditions for down insulation makes synthetic more attractive to product designers.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Continued Development of Cutting Edge Insulation Technology - </w:t>
      </w:r>
      <w:r>
        <w:rPr>
          <w:rFonts w:ascii="Arial" w:cs="Arial" w:eastAsia="Arial" w:hAnsi="Arial"/>
          <w:sz w:val="18"/>
          <w:szCs w:val="18"/>
          <w:color w:val="auto"/>
        </w:rPr>
        <w:t>Over the past four decades, PrimaLoft has continuously improved its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offering to remain a technology leader in synthetic insulation. With strong continued investment in new product development, we expect PrimaLoft innovations to push the boundaries of material science and expand the value provided to end consumers.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Strengths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PrimaLoft’s competitive advantages include: (i) four decades of brand equity built on technology leadership, that allows brand partners to command premium pricing and tell their sustainability story; (ii) deep insulation-specific material science expertise ranging from polymer innovation to manufacturing innovation to design integration; (iii) protected intellectual property and a proprietary supply chain; (iv) trusted long standing brand partner relationships for a critical but relatively small cost component of the overall product; and (v) scale (demand aggregation) to gain efficiencies at both the fiber and toll manufacturing stages of the supply chain.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PrimaLoft’s competition falls into two categories: (i) brand partner house insulation brands; and (ii) other third-party insulation manufacturers that service more than one outerwear brand. PrimaLoft is believed to be the largest third-party branded synthetic insulation provider to the apparel industry.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PrimaLoft adheres to a “Stage Gate” approach for developing new products, beginning with market needs and potential product solutions. PrimaLoft gathers market intelligence from published market research, industry contacts, R&amp;D alliances and its internal product strategy and technical team to identify and develop innovative ideas to address market needs. Once defined, the team progresses through a series of “Stage Gates” that begin with innovation readiness and ultimately end with commercialized PrimaLoft branded products. In between, the “Stage Gates” address product testing and quality validation against internal and external requirements, supply chain sourcing and manufacturing, pricing constructs, marketing assets and selling strategy to address global market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PrimaLoft leverages an asset-lite production model, relying on a global network of third-party chemical suppliers, extruders, and fiber mills strategically located near brand partner production facilities throughout Asia, Europe, and North America. PrimaLoft’s vertically integrated supply chain is a competitive advantage, allowing for customized solutions to brand partners. Beginning at the polymer level, PrimaLoft possesses expertise in optimizing enhanced performance polymers. At the fiber extrusion level, PrimaLoft has the ability to innovate and create novel fibers, which are then used as inputs to the textile process. PrimaLoft provides fiber requirements and formulations to its network of exclusive manufacturing partners, who then directly receive raw materials ordered by PrimaLoft.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jc w:val="both"/>
        <w:spacing w:after="0" w:line="262" w:lineRule="auto"/>
        <w:rPr>
          <w:sz w:val="20"/>
          <w:szCs w:val="20"/>
          <w:color w:val="auto"/>
        </w:rPr>
      </w:pPr>
      <w:r>
        <w:rPr>
          <w:rFonts w:ascii="Arial" w:cs="Arial" w:eastAsia="Arial" w:hAnsi="Arial"/>
          <w:sz w:val="18"/>
          <w:szCs w:val="18"/>
          <w:color w:val="auto"/>
        </w:rPr>
        <w:t>PrimaLoft oversees the manufacturing partner insulation production process, often with visits to facilities and continuous testing to ensure all insulation produced meets the performance and sustainability standards. Once produced, the manufacturing partners ship insulation to brand partner manufacturing facilities, often located near the toll manufacturer in Europe or Asia. The brand partner manufacturer then produces the final product before it is shipped back to the brand partner, to a retailer, or direct to a consumer.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its brand, customer relationships and scale, PrimaLoft also makes use of product patents and process trade secrets as additional barriers to entry and competitive moats. As a leader in synthetic insulation PrimaLoft has built a patent portfolio of more than 11 issued and pending patents in the United States and more than 70 patents issued internationally. In addition, PrimaLoft uses a variety of trade secrets typically covering specific insulation manufacturing processes. Lastly, PrimaLoft has more than 50 registered and pending trademarks globally.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the nature of insulated outerwear and the concentration of spending in the northern hemisphere, PrimaLoft typically sees approximately 65% of sales in the first half of the calendar year, which is when brand partners order components to be used in cold weather apparel that will be sold to end consumers in the subsequent fall/winter.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PrimaLoft had 75 employees on December 31, 2024, 70 full-time employees and 5 part-time employees, with 38 employees located within the United States, 27 in China and the remainder in Europe and Vietnam. PrimaLoft's labor force is non-union. Management believes that PrimaLoft has a good relationship with its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Honey Pot Co.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Honey Pot Co. is The Holistic Wellness Partner for Humans with Vaginas, powered by plant-derived ingredients and clinically tested formulas. The Honey Pot Co. is rooted in the belief that all products should be made with healthy and efficacious ingredients that are kind to and safe for skin. The company offers an extensive range of holistic wellness products across the menstrual, personal care, and consumer health and sexual wellness categories. The Honey Pot Co.’s mission is to educate, support, and provide consumers around the world with tools and resources that promote menstrual health and feminine wellness.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The Honey Pot Co.</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Honey Pot Co. was founded in 2012 and is headquartered in Atlanta, Georgia. The Honey Pot Co.’s Co-Founder and CEO, Beatrice Dixon, faced persistent vaginal health issues and struggled to find safe but effective solutions, motivating her to create home remedies in her kitchen. Over the next few years, Beatrice and her Co-Founder, Simon Gray, bootstrapped their way into a small business by selling her homemade solutions at local trade shows, and in 2017, they were noticed by the feminine care buyer at a leading mass retailer who put the brand on the map. By 2020, The Honey Pot Co. had secured full distribution with that mass retailer across multiple product categories and had begun selectively entering other retailers and channels, including grocery and drug. Since then, the business has built scale and a passionate customer base by “normalizing the normal” through its authentic brand voice and educational content. Today, The Honey Pot Co.’s products can be found in more than 33,000 retail stores across the U.S. and Canada, as well as online.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purchased a majority interest in The Honey Pot Co. on January 31,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Honey Pot Co. participates in the large and growing feminine care market, which is estimated to be approximately $9 billion in the U.S. at retail and has grown at a mid-single digits compound annual growth rate over the past 5 years. In 2024, The Honey Pot Co. launched its hydrating body washes, further expanding its addressable market by entering the multi-billion-dollar body care segment. The company’s wide array of wellness products appeal to women of all ages, and its markets enjoy little cyclicality given the highly consumable and non-discretionary nature of menstrual products and other personal care “essentials.” As a result, the markets and consumers The Honey Pot Co. serves are both resilient and broad-based.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t>Feminine care has long been a stagnant category rooted in shame, underpinned by a lack of education, and dominated by large, stagnant legacy brands. These legacy brands have historically focused on low-cost, low-quality conventional products typically containing rayon, bleached cotton, titanium dioxide, and “harsh” chemicals such as sulfates, parabens, and synthetic fragrances. In recent years, upstart brands providing clean-label products (largely using organic cotton, “free from” harsh chemicals) have gained traction, demonstrating a shift in consumer preferences towards more natural, “better-for-you" products. The industry has also seen an increased emphasis on education and awareness regarding menstrual health, breaking societal taboos and promoting open conversations. Younger Millennial and Gen Z consumers demand more from brands than prior generations did, and we believe legacy brands have been unable to genuinely connect with these younger, socially minded consumers. Across all segments of the feminine care category, “better-for-you” players have been growing at faster rates than the category. The Honey Pot Co., we believe, is well positioned to benefit from the continued adoption of “better-for-you” feminine care products given their large distribution footprint and growing brand awareness.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Customers and Distribution Channels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Honey Pot Co. has an industry-leading portfolio of efficacious, clinically supported products that make consumers feel comfortable and confident in their bodies. The company sells through three primary product categories: Menstrual, Personal Care and Consumer Health &amp; Sexual Wellness.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Menstrual </w:t>
      </w:r>
      <w:r>
        <w:rPr>
          <w:rFonts w:ascii="Arial" w:cs="Arial" w:eastAsia="Arial" w:hAnsi="Arial"/>
          <w:sz w:val="18"/>
          <w:szCs w:val="18"/>
          <w:color w:val="auto"/>
        </w:rPr>
        <w:t>– The Honey Pot Co.’s largest product category, menstrual represented 56% and 49% of gross sales for the years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2024, and 2023, respectively. Launched in 2017, the company’s menstrual necessities portfolio includes Organic Cotton Standard (“OCS”) menstrual pads and liners, BPA-free OCS cotton tampons, and silicone menstrual cups. The Honey Pot Co. is most well-known for its innovative “herbal” pads, which are infused with a proprietary blend of essential oils and plant extracts - such as lavender, mint, and aloe vera - to moisturize, soothe, and provide a gentle, "cooling" sensation that helps users have a more comfortable period experience. The Honey Pot Co. also offers non-herbal pads and liners which also use a super soft OCS certified organic cotton cover and ultra-absorbent pulp core which ensures maximum comfort and minimal leakage.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Personal Care </w:t>
      </w:r>
      <w:r>
        <w:rPr>
          <w:rFonts w:ascii="Arial" w:cs="Arial" w:eastAsia="Arial" w:hAnsi="Arial"/>
          <w:sz w:val="18"/>
          <w:szCs w:val="18"/>
          <w:color w:val="auto"/>
        </w:rPr>
        <w:t>– Personal care represented 36% and 39% of gross sales for the years ending December 31, 2024, and 2023,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this category, The Honey Pot Co. offers an assortment of feminine hygiene products and full-body wellness products. Launched in 2014, the company’s feminine hygiene portfolio includes feminine washes and wipes that are gynecologist-tested, hypoallergenic, kind to and safe for skin. The company’s daily sensitive intimate wash, for example, is formulated with plant-derived ingredients as well as lactic acid (which is naturally occurring in the vaginal environment), to help maintain a balanced pH range of 3.5-4.5, while also boosting moisture and soothing the skin while gently cleansing intimate areas. The company launched its full-body wellness portfolio in 2024 with three herbal-infused body cleansers formulated to match the skin’s natural pH range and provide superior skin hydration.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Consumer Health, Sexual Wellness, and Other </w:t>
      </w:r>
      <w:r>
        <w:rPr>
          <w:rFonts w:ascii="Arial" w:cs="Arial" w:eastAsia="Arial" w:hAnsi="Arial"/>
          <w:sz w:val="18"/>
          <w:szCs w:val="18"/>
          <w:color w:val="auto"/>
        </w:rPr>
        <w:t>– Consumer health and sexual wellness represented 8% and 12% of gross sales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ending December 31, 2024, and 2023, respectively. Launched in 2020 and 2021, respectively, The Honey Pot Co.’s consumer health and sexual wellness portfolio includes anti-itch and soothing creams, suppositories, lubricants, and other intimacy products.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Consumers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Honey Pot Co.’s differentiated approach to marketing, consumer education, and community-building efforts have earned the brand a loyal, passionate consumer base. Although the company’s products speak to all women, The Honey Pot Co.’s consumers are predominantly younger, ethnically diverse, highly educated, and higher income. The company’s consumers derive joy from caring for their skin and are curious about integrating more natural products into their daily regimen. They are typically well informed about trends in personal care and holistic wellness, are engaged and vocal, and seek brands that cultivate a deep sense of trust and purpose.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Distribution Channels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digitally native brand with a retail-first strategy, The Honey Pot Co. uses an omnichannel distribution model across a network of nationwide retailers (89% and 95% of gross sales for the years ending December 31, 2024 and 2023, respectively) and eCommerce (11% and 5% of gross sales for the years ending December 31, 2024 and 2023,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p>
      <w:pPr>
        <w:jc w:val="both"/>
        <w:spacing w:after="0" w:line="262" w:lineRule="auto"/>
        <w:rPr>
          <w:sz w:val="20"/>
          <w:szCs w:val="20"/>
          <w:color w:val="auto"/>
        </w:rPr>
      </w:pPr>
      <w:r>
        <w:rPr>
          <w:rFonts w:ascii="Arial" w:cs="Arial" w:eastAsia="Arial" w:hAnsi="Arial"/>
          <w:sz w:val="18"/>
          <w:szCs w:val="18"/>
          <w:color w:val="auto"/>
        </w:rPr>
        <w:t>The Honey Pot Co.’s products are sold across national retailers in the mass, drug, grocery, and specialty beauty channels. The Honey Pot Co. is an established brand in the mass channel with nationwide distribution for its most popular products. The company is a newer entrant into the drug, grocery, and specialty beauty channels with meaningful runway for growth via new door and SKU expansions. The Honey Pot Co. launched in Canada in 2024 and expects to leverage its strong domestic retailer relationships to further expand internationally.</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eCommerce channel includes sales through the company’s owned website, Amazon, and other dotcom partners. Given the high cost of driving customers to its website, the company has historically leveraged its own dotcom as a tool for customer education and new product testing rather than a purchasing destination. The company launched its Amazon storefront in June 2023 as a way to increase the availability and convenience of shopping this category for its consumers.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Strategies and Competitive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Strategies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Increase Brand Awareness and Grow the Loyal Honey Pot Community </w:t>
      </w:r>
      <w:r>
        <w:rPr>
          <w:rFonts w:ascii="Arial" w:cs="Arial" w:eastAsia="Arial" w:hAnsi="Arial"/>
          <w:sz w:val="18"/>
          <w:szCs w:val="18"/>
          <w:color w:val="auto"/>
        </w:rPr>
        <w:t>– the company has the proven ability to build a loyal and</w:t>
      </w:r>
      <w:r>
        <w:rPr>
          <w:rFonts w:ascii="Arial" w:cs="Arial" w:eastAsia="Arial" w:hAnsi="Arial"/>
          <w:sz w:val="18"/>
          <w:szCs w:val="18"/>
          <w:b w:val="1"/>
          <w:bCs w:val="1"/>
          <w:color w:val="auto"/>
        </w:rPr>
        <w:t xml:space="preserve"> </w:t>
      </w:r>
      <w:r>
        <w:rPr>
          <w:rFonts w:ascii="Arial" w:cs="Arial" w:eastAsia="Arial" w:hAnsi="Arial"/>
          <w:sz w:val="18"/>
          <w:szCs w:val="18"/>
          <w:color w:val="auto"/>
        </w:rPr>
        <w:t>passionate consumer base through its authentic brand voice, educational content, and safe and efficacious products. Although the company is a leader in the “better-for-you” category, it continues to meaningfully trail legacy players’ awareness levels. The coupling of low awareness with a loyal and passionate customer base presents a significant opportunity for accelerated growth through strategic increases in marketing spend targeted at bringing new consumers into the category and at increasing conversion of consumers from legacy brands.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Capitalize on Increasing Consumer Preference for “Better-for-You” Products </w:t>
      </w:r>
      <w:r>
        <w:rPr>
          <w:rFonts w:ascii="Arial" w:cs="Arial" w:eastAsia="Arial" w:hAnsi="Arial"/>
          <w:sz w:val="18"/>
          <w:szCs w:val="18"/>
          <w:color w:val="auto"/>
        </w:rPr>
        <w:t>– As a leading “better-for-you” feminine care brand,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The Honey Pot Co. will enjoy an outsized benefit from consumers switching from legacy feminine care products to “better-for-you” alternatives. Younger consumers are increasingly searching for “clean-label” alternatives to products that typically contain “harsh” ingredients. This trend has been seen in the feminine care industry in the past years and will likely continue to accelerate as older generations age out of the category and younger consumers, who demand more transparency from their brands, enter the category. The Honey Pot Co. is, we believe, well positioned to be at the front of the “better-for-you” pack given their highly efficacious products and their unique value proposition of providing a complete, cross-category offering.</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Expand Distribution Network to Drive Growth, Awareness, and Adoption </w:t>
      </w:r>
      <w:r>
        <w:rPr>
          <w:rFonts w:ascii="Arial" w:cs="Arial" w:eastAsia="Arial" w:hAnsi="Arial"/>
          <w:sz w:val="18"/>
          <w:szCs w:val="18"/>
          <w:color w:val="auto"/>
        </w:rPr>
        <w:t>– Meaningful opportunity exists for The Honey Pot Co. to</w:t>
      </w:r>
      <w:r>
        <w:rPr>
          <w:rFonts w:ascii="Arial" w:cs="Arial" w:eastAsia="Arial" w:hAnsi="Arial"/>
          <w:sz w:val="18"/>
          <w:szCs w:val="18"/>
          <w:b w:val="1"/>
          <w:bCs w:val="1"/>
          <w:color w:val="auto"/>
        </w:rPr>
        <w:t xml:space="preserve"> </w:t>
      </w:r>
      <w:r>
        <w:rPr>
          <w:rFonts w:ascii="Arial" w:cs="Arial" w:eastAsia="Arial" w:hAnsi="Arial"/>
          <w:sz w:val="18"/>
          <w:szCs w:val="18"/>
          <w:color w:val="auto"/>
        </w:rPr>
        <w:t>expand its distribution footprint in existing channels where it remains under-penetrated and to enter entirely new channels and geographies with significant volume opportunities. The company has a successful track record of profitably expanding into new channels and significant whitespace exists both domestically and internationally. Accessibility remains a top hurdle for acquiring new customers, so expansion of the company’s distribution network presents an opportunity to further accelerate brand awareness and product adoption.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Leverage Brand Equity to Continue Developing New Products and Strategically Enter Large Adjacent Product Categories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strategically grow the product portfolio and bring newness to the category through meaningful innovation in core segments, supported by selective new product development in adjacent segments to grow The Honey Pot Co.’s addressable market. Opportunity exists for The Honey Pot Co. to expand its continuum of care to serve women at all life stages, ensuring consumers join the brand at a younger age and stay with the brand longer, thereby increasing consumer lifetime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Strengths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Authentic Brand with Distinct Marketing Strategy </w:t>
      </w:r>
      <w:r>
        <w:rPr>
          <w:rFonts w:ascii="Arial" w:cs="Arial" w:eastAsia="Arial" w:hAnsi="Arial"/>
          <w:sz w:val="18"/>
          <w:szCs w:val="18"/>
          <w:color w:val="auto"/>
        </w:rPr>
        <w:t>– The Honey Pot Co.’s differentiated marketing strategy is built upon three pillars: (i)</w:t>
      </w:r>
      <w:r>
        <w:rPr>
          <w:rFonts w:ascii="Arial" w:cs="Arial" w:eastAsia="Arial" w:hAnsi="Arial"/>
          <w:sz w:val="18"/>
          <w:szCs w:val="18"/>
          <w:b w:val="1"/>
          <w:bCs w:val="1"/>
          <w:color w:val="auto"/>
        </w:rPr>
        <w:t xml:space="preserve"> </w:t>
      </w:r>
      <w:r>
        <w:rPr>
          <w:rFonts w:ascii="Arial" w:cs="Arial" w:eastAsia="Arial" w:hAnsi="Arial"/>
          <w:sz w:val="18"/>
          <w:szCs w:val="18"/>
          <w:color w:val="auto"/>
        </w:rPr>
        <w:t>education as a product, (ii) community as a connection, and (iii) storytelling as an approach. Educating the consumer is at the core of the marketing strategy because it helps break down the stigmas that have made feminine wellness historically difficult to discuss. The company’s humorous and cheeky brand voice lightens and normalizes topics left unaddressed by legacy education channels (e.g., doctors, schooling, etc.). Their bold, honest, and relatable digital content fosters community learning and especially connects with younger consumers, who are much less inhibited in discussing personal topics with friends and family and who expect more authenticity from brands than prior generations did.</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Safe, Efficacious, and Clinically-Tested Products </w:t>
      </w:r>
      <w:r>
        <w:rPr>
          <w:rFonts w:ascii="Arial" w:cs="Arial" w:eastAsia="Arial" w:hAnsi="Arial"/>
          <w:sz w:val="18"/>
          <w:szCs w:val="18"/>
          <w:color w:val="auto"/>
        </w:rPr>
        <w:t>– Creating safe and trusted products is core to The Honey Pot Co.’s brand and is one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key drivers of the company’s leading retention and preference metrics. The company enables consumers to enjoy better-for-you ingredients without sacrificing product performance and provides consumers with differentiated functional benefits (pH balanced, microbiome friendly, safe for sensitive skin, etc.).</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8" w:name="page39"/>
    <w:bookmarkEnd w:id="38"/>
    <w:p>
      <w:pPr>
        <w:jc w:val="both"/>
        <w:spacing w:after="0" w:line="287" w:lineRule="auto"/>
        <w:rPr>
          <w:sz w:val="20"/>
          <w:szCs w:val="20"/>
          <w:color w:val="auto"/>
        </w:rPr>
      </w:pPr>
      <w:r>
        <w:rPr>
          <w:rFonts w:ascii="Arial" w:cs="Arial" w:eastAsia="Arial" w:hAnsi="Arial"/>
          <w:sz w:val="18"/>
          <w:szCs w:val="18"/>
          <w:color w:val="auto"/>
        </w:rPr>
        <w:t>Furthermore, the company has rigorous processes in place to ensure product efficacy and safety, including conducting consumer perception tests on the majority of its products.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Focus on Holistic Wellness </w:t>
      </w:r>
      <w:r>
        <w:rPr>
          <w:rFonts w:ascii="Arial" w:cs="Arial" w:eastAsia="Arial" w:hAnsi="Arial"/>
          <w:sz w:val="18"/>
          <w:szCs w:val="18"/>
          <w:color w:val="auto"/>
        </w:rPr>
        <w:t>– The Honey Pot Co. is the first feminine care brand to cross the aisle and provide consumers with a 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feminine care system (e.g., washes, wipes, and menstrual products, etc.), differentiating it from legacy brands who focus strictly on one category; the company provides consumers with a one-stop-shop for all feminine care needs, thereby increasing consumer loyalty. The Honey Pot Co. focuses on launching products that work together to create a holistic wellness routine, increasing cross-sell opportunities and providing a competitive edge when competing to own consumers’ entire personal care journey.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Honey Pot Co. primarily competes in the United States feminine care marketplace, which is comprised of large established brands that account for more than half of the category and a long tail of smaller “better-for-you” players that have been growing rapidly. Within the feminine care market, several distinct segments exist (each with their own set of established players), including (i) menstrual products; (ii) feminine hygiene products, and (iii) consumer health and sexual wellness products. The primary legacy competitors include Always, Tampax, Kotex, and Playtex (menstrual); Summer’s Eve and Vagisil (feminine hygiene); and Monistat and KY (consumer health and sexual wellness), among others. In recent years, upstart brands providing “better-for-you” products have gained traction, including Cora, Lola, and This is L., among others. The Honey Pot Co.’s full body wellness products compete against many established and upstart personal care brands such as Dove, Olay, Aveeno, Native, Lume, among others.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Honey Pot Co. utilizes an end-to-end, asset-light global supply chain leveraging multiple co-manufacturers, raw material vendors, and packaging suppliers.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Sourcing and Manufacturing</w:t>
      </w:r>
    </w:p>
    <w:p>
      <w:pPr>
        <w:spacing w:after="0" w:line="6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Honey Pot Co. has thoroughly vetted and qualified its current network of eight co-manufacturers across the globe. The company has purposefully chosen suppliers with small, medium, and large lines and facilities, allowing the company to quickly scale with the same partner. The Honey Pot Co. has supply agreements in place and renegotiates rates, lead-times, and minimum order quantities with partners based on volumes to continually optimize its stock model parameters.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Distribution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Honey Pot Co. contracts with a leading logistical provider to operate a dedicated distribution center in Memphis, TN to support its fulfillment needs across North America.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Honey Pot Co. has a robust new product development process that is stage gated to ensure product viability in both market fit and economic terms. The company’s ideation process is driven by the needs of their consumer community, incorporates extensive 360-degree consumer research (including whitespace consumer studies), and most importantly, focuses on bringing products to market that address the long-term holistic health of all humans. The company formulates products in collaboration with industry experts and suppliers to ensure that the products strictly adhere to their brand standards of high quality and efficacy and with their retail partners to ensure that the products will resonate with shoppers. The company then clinically tests their formulations (for compliance with regulatory standards) to confirm that the products are safe and efficacious. Lastly, the company validates their supply chain to ensure they can properly manufacture each product in the short and long term without disruption or quality compromises.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product development is underpinned by the company’s mission to create products that work together to create a holistic wellness routine and that address previously unmet and unacknowledged human needs. The company continues to develop innovations in its core categories as well as adjacent categories where their brand equity gives them permission to play.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Honey Pot Co. markets and distributes various feminine hygiene and consumer care products in the United States and Canada, including nonprescription medical devices, over the counter (“OTC”) drug products, dietary supplements, and cosmetics, which are subject to regulation by the U.S. Food and Drug Administration (“FDA”) as well as the Federal Trade Commission (“FTC”). As such, the company is governed by various laws and acts, including the Federal Food, Drug and Cosmetic Act (“FDCA”), the Fair Packaging and Labeling Act (“FPLA”), and The Modernization of Cosmetics Regulation Act (“MoCRA”).</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Honey Pot Co.’s products fall into five different FDA classifications. Menstrual pads and liners are classified as class I medical devices; lubricants, tampons and cups are classified as class II medical devices; anti-itch spray, anti-itch and Hemorrhoidal wipes are classified as OTC drug products, supplements are classified as dietary supplements, and feminine washes and wipes (excl. OTC wipes), deodorant sprays, suppositories, and body washes are classified as cosmetics.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FDCA and its implementing regulations, The Honey Pot Co. is subject to requirements related to, among other things, facility registration, current good manufacturing practices (“cGMP”), product ingredients, nonclinical and clinical testing, complaint handling and adverse event reporting, product recalls, product labeling, marketing, and promotion. Advertising and promotion is also regulated by the FTC under the FPLA and 15 U.S.C. § 52.</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MoCRA, which went into effect in December 2023, imposes a wide range of new requirements on cosmetic industry stakeholders, including requirements for cosmetic product manufacturers and processors, subject to certain exemptions, to register their facilities with the FDA and list each marketed cosmetic product and all product ingredients with the FDA. MoCRA also imposes several other new requirements, including with respect to adverse event reporting, safety substantiation for cosmetic products, and labeling.</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Honey Pot Co.’s outside general counsel and regulatory counsel work with the company’s in-house development and compliance teams to ensure products and the associated product claims and marketing are compliant with the standards set by relevant regulatory bodies, including FDA, MoCRA, and FTC. The company leverages their contract manufacturing partners for products that require 510(k) FDA notification, and the co-manufacturers are responsible for confirming that products are covered by the filings.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Inclusion and social impact are key values of the company’s brand and community. Notably, The Honey Pot Co. donates 2% of their owned website sales annually to charitable organizations that share their mission of democratizing wellness by providing access to the educational content, resources, community, and products women need to be the healthiest and most confident versions of themselves. To further support equitable access to feminine care, The Honey Pot Co. has implemented a policy of reimbursing consumers (upon proof of purchase) for sales tax on their menstrual products (sometimes called a “tampon tax”) given that other “essential” consumer products, such as aspirin and antacids, are sold tax-free.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Honey Pot Co. employs a non-union labor force of 71 employees who primarily work remotely across the United States. The company has an office in Atlanta, Georgia where a small group of employees work on a day-to-day basis, but this space is primarily used as a gathering place to host customers and team meetings. Over the past three years, The Honey Pot Co. has meaningfully invested in the infrastructure of the business to support its growth initiatives.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Velocity Outdoor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Velocity Outdoor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 in Rochester, New York.</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We acquired a majority interest in Velocity Outdoor on June 2,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Velocity Outdoor</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Velocity was founded in 1923 as Crosman Rifle Company and was one of the first manufacturers of recreational airguns in the United States. In 2008, Velocity diversified their product offerings by adding Crosman Archery to its list of branded products and introduced two new hunting</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crossbows in addition to youth archery products. In 2016, Velocity debuted its Centerpoint line of crossbows and with the 2018 acquisition of Ravin Crossbows, Velocity expanded their archery product line into the higher-end segment of the crossbow market. In July 2022, Velocity acquired Kings Camo LLC which designs and sells high-performance, feature rich hunting and casual apparel of uncompromised quality, utilizing King’s own proprietary camouflage patterns. King’s target consumers are men, women and youth who are avid in their outdoor pursuits. In April 2024, Velocity Outdoor sold Crosman Corporation ("Crosman"), its airgun product division.</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Today, Velocity Outdoor is an international designer, manufacturer, and marketer of archery products including the Ravin and Centerpoint crossbows and King's Camo hunting apparel.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Velocity Outdoor primarily competes within sub-segments of the broader outdoor recreational products industry, The archery equipment market is estimated by management to constitute approximately $ 770 million of annual manufacturers sales, of which $500-$550 million is attributable to bows and $200-$250 million is attributable to related archery consumables. Vertical and compound bows, and crossbows each comprise about half of the category sales, with crossbows gaining share in recent years. Independent archery dealer’s account for 36% and big box specialty sporting goods retailers account for approximately 34% of consumer purchases from Velocity. Distributors, mass merchants, and online retailers make up the remainder of consumer sales.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hunting apparel market is estimated by management to constitute $500 million of annual sales. Online retailers' sales account for approximately 50% of consumer purchases, dealers and distributors account for 25% and big box specialty sporting goods retailers make up the remainder of consumer sales from Velocity.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Customers and Distribution Channels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Velocity's product strategy encompasses producing high quality, feature-rich products recognized by consumers for their craftsmanship, value and building on a rich history to introduce innovative new products.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Archery Products - </w:t>
      </w:r>
      <w:r>
        <w:rPr>
          <w:rFonts w:ascii="Arial" w:cs="Arial" w:eastAsia="Arial" w:hAnsi="Arial"/>
          <w:sz w:val="18"/>
          <w:szCs w:val="18"/>
          <w:color w:val="auto"/>
        </w:rPr>
        <w:t>Velocity re-entered the archery market in 2016 with a product line anchored by the Centerpoint crossbow. Centerpoint</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has grown rapidly since it was launched to become a leading player in the crossbow category. Centerpoint acquired market share by offering features like an aluminum frame, higher shooting velocity, integrated string stops, a 4x32mm scope and shoulder sling at very competitive retail prices.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Velocity acquired Ravin Crossbows in 2018, further expanding its product line in the archery market. Ravin Crossbows is a leading designer, manufacturer and innovator of crossbows and accessories. Ravin primarily focuses on the higher-end segment of the crossbow market and has developed significant intellectual property related to the advancement of crossbow technology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 2022 Ravin introduced one of the most</w:t>
      </w: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compact, fastest, most powerful, and most accurate crossbow ever produced, shooting arrows at speeds over 500 feet per second. It also is available with an exclusive, and industry first, compact electronic cocking/de-cocking mechanism</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Hunting Apparel - </w:t>
      </w:r>
      <w:r>
        <w:rPr>
          <w:rFonts w:ascii="Arial" w:cs="Arial" w:eastAsia="Arial" w:hAnsi="Arial"/>
          <w:sz w:val="18"/>
          <w:szCs w:val="18"/>
          <w:color w:val="auto"/>
        </w:rPr>
        <w:t>Hunting apparel is designed specific to the activity and varies by region used and type of hunting. Hunting apparel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but is not limited to jackets, vests, pants, bibs, shirts, boots, base layers, socks, and gloves for men, women, and youth. Hunting apparel is typically: more durable and weather resistant than regular clothing; designed with special features for the field and fitted to provide more flexibility and less restricted movement. Proper clothing and apparel are essential to hunting success and enjoyment.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 and Distribution Channels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Velocity's products are sold across a mix of sales channels, including national retailers, distributors/dealers/regional chains, international distributors, and e-commerce. Over the last several years, management has successfully diversified both its sales channel composition and customer mix. Velocity's three largest customers represented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1" w:name="page42"/>
    <w:bookmarkEnd w:id="41"/>
    <w:p>
      <w:pPr>
        <w:jc w:val="both"/>
        <w:ind w:right="20"/>
        <w:spacing w:after="0" w:line="287" w:lineRule="auto"/>
        <w:rPr>
          <w:sz w:val="20"/>
          <w:szCs w:val="20"/>
          <w:color w:val="auto"/>
        </w:rPr>
      </w:pPr>
      <w:r>
        <w:rPr>
          <w:rFonts w:ascii="Arial" w:cs="Arial" w:eastAsia="Arial" w:hAnsi="Arial"/>
          <w:sz w:val="18"/>
          <w:szCs w:val="18"/>
          <w:color w:val="auto"/>
        </w:rPr>
        <w:t>12%, 7% and 6%, respectively, of gross sales in 2024 and represented the major sales channels, mass merchant, regional retail, and e-commerce.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Velocity had approximately $1.0 million and $5.3 million in firm backlog orders at December 31, 2024 and 2023,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Strategies and Competitive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Strategies</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Continued Innovation in Existing Product Categories </w:t>
      </w:r>
      <w:r>
        <w:rPr>
          <w:rFonts w:ascii="Arial" w:cs="Arial" w:eastAsia="Arial" w:hAnsi="Arial"/>
          <w:sz w:val="18"/>
          <w:szCs w:val="18"/>
          <w:color w:val="auto"/>
        </w:rPr>
        <w:t>- Velocity plans to continue to build on its successful history of bringing new,</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technically superior products to market through leveraging its stringent product development process and a flexible supply chain. The company has near-term new product launches and existing product updates planned across all categories, including the highlights below.</w:t>
      </w:r>
    </w:p>
    <w:p>
      <w:pPr>
        <w:spacing w:after="0" w:line="63" w:lineRule="exact"/>
        <w:rPr>
          <w:sz w:val="20"/>
          <w:szCs w:val="20"/>
          <w:color w:val="auto"/>
        </w:rPr>
      </w:pPr>
    </w:p>
    <w:p>
      <w:pPr>
        <w:jc w:val="both"/>
        <w:ind w:left="66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Archery - Innovation will continue to lead the way with new offerings in both the CenterPoint and Ravin product lines. Unequaled, game changing performance and accuracy is the industry leading ground Ravin owns and will continue to own well into the future with new product introductions scheduled for 2025 &amp; 2026.</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Hunting Apparel - Technically advanced and thoughtfully designed clothing is what makes Kings a fast growing brand in its space. 2024 saw an expansion of offerings in historical categories along with new categories. 2025 &amp; 2026 will see many more offerings including lifestyle, men’s, women’s, children’s, season specific, animal specific and new categories.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Expand into Adjacent Product Categories - </w:t>
      </w:r>
      <w:r>
        <w:rPr>
          <w:rFonts w:ascii="Arial" w:cs="Arial" w:eastAsia="Arial" w:hAnsi="Arial"/>
          <w:sz w:val="18"/>
          <w:szCs w:val="18"/>
          <w:color w:val="auto"/>
        </w:rPr>
        <w:t>Management believes that the company can leverage in-house manufacturing and sourcing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to develop products in new categories that utilize Velocity's existing distribution network and brand strength.</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Strengths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Innovation and Engineering Capabilities with Strong IP - </w:t>
      </w:r>
      <w:r>
        <w:rPr>
          <w:rFonts w:ascii="Arial" w:cs="Arial" w:eastAsia="Arial" w:hAnsi="Arial"/>
          <w:sz w:val="18"/>
          <w:szCs w:val="18"/>
          <w:color w:val="auto"/>
        </w:rPr>
        <w:t>Velocity is a consumer-focused organization with a deep understanding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In addition, Velocity employs and retains engineers who are the most accomplished in Velocity's markets which, combined with an innovative culture, have created what we believe to be significantly differentiated, demonstrably superior products with strong intellectual property protection.</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Leading Consumer Brands with Branding and Marketing Capabilities to Drive Consumer Awareness, Affinity, and Engagement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Velocity owns a portfolio of premium, iconic brands that are leaders in consumer awareness and affinity. These include the fast growing, super premium, and market disruptive brands like Ravin and King's Camo.</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Broad Coverage of Consumer Segments and Price Points</w:t>
      </w:r>
      <w:r>
        <w:rPr>
          <w:rFonts w:ascii="Arial" w:cs="Arial" w:eastAsia="Arial" w:hAnsi="Arial"/>
          <w:sz w:val="18"/>
          <w:szCs w:val="18"/>
          <w:color w:val="auto"/>
        </w:rPr>
        <w:t>. Velocity’s portfolio of brands and product lines provides broad coverage of</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segments and allows the business to position products with a combination of features and retail prices that appeal to all consumers in the category from recreational to avid.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Conditions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Archery - </w:t>
      </w:r>
      <w:r>
        <w:rPr>
          <w:rFonts w:ascii="Arial" w:cs="Arial" w:eastAsia="Arial" w:hAnsi="Arial"/>
          <w:sz w:val="18"/>
          <w:szCs w:val="18"/>
          <w:color w:val="auto"/>
        </w:rPr>
        <w:t>The archery market competes within a “good, better, best” spectrum. Velocity's CenterPoint product line, as a value-for-price, entry</w:t>
      </w:r>
      <w:r>
        <w:rPr>
          <w:rFonts w:ascii="Arial" w:cs="Arial" w:eastAsia="Arial" w:hAnsi="Arial"/>
          <w:sz w:val="18"/>
          <w:szCs w:val="18"/>
          <w:b w:val="1"/>
          <w:bCs w:val="1"/>
          <w:color w:val="auto"/>
        </w:rPr>
        <w:t xml:space="preserve"> </w:t>
      </w:r>
      <w:r>
        <w:rPr>
          <w:rFonts w:ascii="Arial" w:cs="Arial" w:eastAsia="Arial" w:hAnsi="Arial"/>
          <w:sz w:val="18"/>
          <w:szCs w:val="18"/>
          <w:color w:val="auto"/>
        </w:rPr>
        <w:t>to mid-level brand, tends to lie between the “good” and “better” segments, competing with Barnett Outdoors, Killer Instinct, and PSE Technologies, among others. Consumers tend to make purchasing decisions based on brand awareness, reliability, customer service, and pricing. Although CenterPoint is a recent entry into the archery market, the brand has been able to outpace more established brands on the reliability, pricing, and service aspects to win market share. The Ravin product line has a higher price point and falls within the "best"</w:t>
      </w:r>
    </w:p>
    <w:p>
      <w:pPr>
        <w:spacing w:after="0" w:line="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segment for crossbows, competing with the higher end crossbows. Ravin entered the market in 2017 and management believes it has since become the number one selling brand as measured by retail dollars.</w:t>
      </w:r>
    </w:p>
    <w:p>
      <w:pPr>
        <w:spacing w:after="0" w:line="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color w:val="auto"/>
        </w:rPr>
        <w:t xml:space="preserve">Hunting Apparel </w:t>
      </w:r>
      <w:r>
        <w:rPr>
          <w:rFonts w:ascii="Arial" w:cs="Arial" w:eastAsia="Arial" w:hAnsi="Arial"/>
          <w:sz w:val="18"/>
          <w:szCs w:val="18"/>
          <w:color w:val="auto"/>
        </w:rPr>
        <w:t>– The hunting apparel market operates within a "good, better, best" spectrum, where consumers prioritize factors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durability, pricing, and brand reputation when making purchasing decisions. King's Camo addresses these needs with three distinct product tiers:</w:t>
      </w:r>
    </w:p>
    <w:p>
      <w:pPr>
        <w:spacing w:after="0" w:line="103" w:lineRule="exact"/>
        <w:rPr>
          <w:sz w:val="20"/>
          <w:szCs w:val="20"/>
          <w:color w:val="auto"/>
        </w:rPr>
      </w:pPr>
    </w:p>
    <w:p>
      <w:pPr>
        <w:ind w:left="660" w:right="20" w:hanging="328"/>
        <w:spacing w:after="0" w:line="237" w:lineRule="auto"/>
        <w:tabs>
          <w:tab w:leader="none" w:pos="655"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b w:val="1"/>
          <w:bCs w:val="1"/>
          <w:color w:val="auto"/>
        </w:rPr>
        <w:t>Classic Series</w:t>
      </w:r>
      <w:r>
        <w:rPr>
          <w:rFonts w:ascii="Arial" w:cs="Arial" w:eastAsia="Arial" w:hAnsi="Arial"/>
          <w:sz w:val="18"/>
          <w:szCs w:val="18"/>
          <w:color w:val="auto"/>
        </w:rPr>
        <w:t>: Positioned within the "good" segment, the Classic Series offers a value-driven option for budget-conscious hunters</w:t>
      </w:r>
      <w:r>
        <w:rPr>
          <w:rFonts w:ascii="Arial" w:cs="Arial" w:eastAsia="Arial" w:hAnsi="Arial"/>
          <w:sz w:val="18"/>
          <w:szCs w:val="18"/>
          <w:b w:val="1"/>
          <w:bCs w:val="1"/>
          <w:color w:val="auto"/>
        </w:rPr>
        <w:t xml:space="preserve"> </w:t>
      </w:r>
      <w:r>
        <w:rPr>
          <w:rFonts w:ascii="Arial" w:cs="Arial" w:eastAsia="Arial" w:hAnsi="Arial"/>
          <w:sz w:val="18"/>
          <w:szCs w:val="18"/>
          <w:color w:val="auto"/>
        </w:rPr>
        <w:t>seeking functional gear without compromising on quality.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ind w:left="660" w:right="20" w:hanging="328"/>
        <w:spacing w:after="0" w:line="237" w:lineRule="auto"/>
        <w:tabs>
          <w:tab w:leader="none" w:pos="655"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b w:val="1"/>
          <w:bCs w:val="1"/>
          <w:color w:val="auto"/>
        </w:rPr>
        <w:t>Hunter Series</w:t>
      </w:r>
      <w:r>
        <w:rPr>
          <w:rFonts w:ascii="Arial" w:cs="Arial" w:eastAsia="Arial" w:hAnsi="Arial"/>
          <w:sz w:val="18"/>
          <w:szCs w:val="18"/>
          <w:color w:val="auto"/>
        </w:rPr>
        <w:t>: As part of the "better" segment, the Hunter Series balances performance and price, offering versatility and durability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everyday hunter.</w:t>
      </w:r>
    </w:p>
    <w:p>
      <w:pPr>
        <w:spacing w:after="0" w:line="126"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b w:val="1"/>
          <w:bCs w:val="1"/>
          <w:color w:val="auto"/>
        </w:rPr>
        <w:t>XKG Series</w:t>
      </w:r>
      <w:r>
        <w:rPr>
          <w:rFonts w:ascii="Arial" w:cs="Arial" w:eastAsia="Arial" w:hAnsi="Arial"/>
          <w:sz w:val="18"/>
          <w:szCs w:val="18"/>
          <w:color w:val="auto"/>
        </w:rPr>
        <w:t>: Positioned in the "best" segment, the XKG Series is designed for serious hunters who demand premium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materials, and technical advantages.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King's Camo faces competition from both long-established and niche brands, the company has steadily grown market share by emphasizing versatility, affordability, and tailored solutions for hunters across skill levels and budgets. By maintaining competitive pricing, reliable performance, and strong customer relationships, King's Camo continues to deliver products that resonate with the hunting community.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 and Manufacturing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Suppliers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Velocity’s supply chain has both a domestic and foreign sourced component, where sourcing decisions are based on manufacturing expertise, cost, lead time, demand requirements as well as other factors. Finished goods manufacturing is balanced between domestic and offshore, largely from the Asia Pacific region. We believe there is ample capacity throughout the value-chain to fully support growth objectives.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Velocity's product manufacturing is based on a dual strategy of in-house manufacturing and strategic alliances with select subcontractors and vendors. Velocity conducts its domestic manufacturing operations in an 85,000 square foot leased facility in Superior, Wisconsin.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Velocity Outdoor currently holds a portfolio of more than 20 registered trademarks and a patent portfolio of more than 40 issued patents with many more pending. Management considers its patent holdings, trademarked brand names, preeminent name recognition, ability to design game changing innovative products with overt benefits to the end user, and marketing expertise to be its primary competitive advantages.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Crossbow hunting restrictions have become less stringent over the last several years. Since 2006, 13 states, including populous hunting states like Wisconsin, Pennsylvania, North Carolina, and recently Minnesota, have legalized crossbow hunting, while many others moved to relax restrictions through the opening of limited seasons or creation of exceptions to hunting restrictions for those with disabilities. Today only Oregon classifies crossbows as illegal but there is currently a proposal to allow crossbows during the all-weapon deer season in the eastern half of the state. Nearly 90% of all hunting permits are filed in states that currently allow crossbow hunting for at least part of the season. Although continued deregulation is expected, it likely will not be the largest driver for the crossbow category moving forward. Participation levels have steadily increased within the states.This, as well as consumer centric innovation that improves the hunting experience, will be the main drivers behind market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Velocity typically has higher sales in the third quarter each year, reflecting the hunting season in most states.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15"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Velocity had 146 employees on December 31, 2024, 135 full-time employees and 11 part-time employees, with all employees located within the United States. Velocity’s labor force is non-union. Management believes that Velocity has a good relationship with its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Industrial Businesses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Altor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Altor Solutions, headquartered in St. Louis, Missouri, is a dynamic, engineering-driven company whose goal is to design and produce superior products that help customers solve their needs for temperature-sensitive and protective packaging. Altor Solutions offers a diverse range of materials, including traditional plastics and sustainable, plant-based and paper-based options. Altor operates molding and fabricating facilities across North America, creating a geographic footprint of strategically located manufacturing plants to efficiently serve national customer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Altor Solutions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Altor Solutions was founded in 1957 and began its operations as a single plant in St. Louis, MO, dedicated to the manufacture of rigid foam plastics. Through the years, Altor expanded its geographic footprint, adding additional molding plants to its operation, as well as growing through acquisitions. Altor also opened two greenfield plants in Mexico to better serve their multinational manufacturing customers.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2020, Altor acquired the assets of Polyfoam, a Massachusetts-based manufacturer of protective and temperature-sensitive packaging solutions for the medical, pharmaceutical, grocery and food industries, among others. In October 2021, Altor acquired Plymouth Foam, a designer and manufacturer of fabricated foam, custom protective packaging solutions and componentry. In October 2024, Altor acquired Lifoam, a leading manufacturer of temperature-controlled packaging products such as thermal shippers and refrigerant gel packs for the healthcare, commercial and retail industries. Today, Altor operates out of its corporate headquarters in St. Louis, Missouri and manufacturing facilities across North America.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purchased Altor on February 15,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Altor competes in the broadly defined North American protective packaging market which we estimate was approximately $7.5 billion in 2024, with foam materials making up the largest component of this market. On the basis of product type, this market is segmented into rigid protective, flexible protective, and foam protective applications. Altor primarily competes in the North American foam protective packaging market which includes expanded polyurethane foams, loose fills, foam in place polyurethane, and molded foams products. Producers of molded foam products generally fall into two categories: block and shape. Block molders manufacture large blocks of EPS foam that are typically used as insulation in building products such as walls, roofs and floors and are closely tied to the construction market. Altor’s acquisition of Plymouth Foam entered the company into this category. Shape molding, the majority of Altor’s business, represents customized molded foam solutions for protective packaging applications, life science and perishable applications and internal parts and components for OEMs. Products made of EPS foam have broad applications across various end markets due to a unique combination of performance characteristics. The superior cushioning and barrier properties paired with insulating and hydrophobic properties make it an ideal lighter weight material for protective packaging of heavy or valuable goods as well as insulated shipping containers for temperature and moisture sensitive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Solutions, Customers and Distribution Channels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Solutions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Altor Solutions designs and manufactures a broad array of protective, cold chain, and sustainable solutions, as well as OEM components and fabricated products, serving diverse end markets. Through the acquisitions of Lifoam Industries and Rational Packaging, Altor has strengthened its position as a leader in temperature-sensitive and protective packaging, with a broad offering of traditional and sustainable options.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Altor Solutions’ custom-engineered solutions fall into six major categories: protective packaging, cold chain solutions, refrigerants, OEM parts and componentry, fabricated solutions and sustainable packaging. These products are used across a variety of end markets including appliances, temperature-sensitive pharmaceuticals and food, HVAC, home and office furnishings and building products among others.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4" w:name="page45"/>
    <w:bookmarkEnd w:id="44"/>
    <w:p>
      <w:pPr>
        <w:jc w:val="both"/>
        <w:spacing w:after="0" w:line="268" w:lineRule="auto"/>
        <w:rPr>
          <w:sz w:val="20"/>
          <w:szCs w:val="20"/>
          <w:color w:val="auto"/>
        </w:rPr>
      </w:pPr>
      <w:r>
        <w:rPr>
          <w:rFonts w:ascii="Arial" w:cs="Arial" w:eastAsia="Arial" w:hAnsi="Arial"/>
          <w:sz w:val="18"/>
          <w:szCs w:val="18"/>
          <w:b w:val="1"/>
          <w:bCs w:val="1"/>
          <w:color w:val="auto"/>
        </w:rPr>
        <w:t xml:space="preserve">Protective Packaging </w:t>
      </w:r>
      <w:r>
        <w:rPr>
          <w:rFonts w:ascii="Arial" w:cs="Arial" w:eastAsia="Arial" w:hAnsi="Arial"/>
          <w:sz w:val="18"/>
          <w:szCs w:val="18"/>
          <w:color w:val="auto"/>
        </w:rPr>
        <w:t>- Engineered for mechanical and physical impact protection, including solutions for appliances, furniture, HVAC, and</w:t>
      </w:r>
      <w:r>
        <w:rPr>
          <w:rFonts w:ascii="Arial" w:cs="Arial" w:eastAsia="Arial" w:hAnsi="Arial"/>
          <w:sz w:val="18"/>
          <w:szCs w:val="18"/>
          <w:b w:val="1"/>
          <w:bCs w:val="1"/>
          <w:color w:val="auto"/>
        </w:rPr>
        <w:t xml:space="preserve"> </w:t>
      </w:r>
      <w:r>
        <w:rPr>
          <w:rFonts w:ascii="Arial" w:cs="Arial" w:eastAsia="Arial" w:hAnsi="Arial"/>
          <w:sz w:val="18"/>
          <w:szCs w:val="18"/>
          <w:color w:val="auto"/>
        </w:rPr>
        <w:t>sensitive shipments. The acquisition of Rational Packaging expands Altor’s capabilities in curbside-recyclable, paper-based solutions, replacing traditional plastics while maintaining high performance.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Cold Chain Solutions </w:t>
      </w:r>
      <w:r>
        <w:rPr>
          <w:rFonts w:ascii="Arial" w:cs="Arial" w:eastAsia="Arial" w:hAnsi="Arial"/>
          <w:sz w:val="18"/>
          <w:szCs w:val="18"/>
          <w:color w:val="auto"/>
        </w:rPr>
        <w:t>- A core focus for Altor, including insulated shipping containers, gel packs, and the newly introduced Bioffex®, a</w:t>
      </w:r>
      <w:r>
        <w:rPr>
          <w:rFonts w:ascii="Arial" w:cs="Arial" w:eastAsia="Arial" w:hAnsi="Arial"/>
          <w:sz w:val="18"/>
          <w:szCs w:val="18"/>
          <w:b w:val="1"/>
          <w:bCs w:val="1"/>
          <w:color w:val="auto"/>
        </w:rPr>
        <w:t xml:space="preserve"> </w:t>
      </w:r>
      <w:r>
        <w:rPr>
          <w:rFonts w:ascii="Arial" w:cs="Arial" w:eastAsia="Arial" w:hAnsi="Arial"/>
          <w:sz w:val="18"/>
          <w:szCs w:val="18"/>
          <w:color w:val="auto"/>
        </w:rPr>
        <w:t>starchbio-based molded cooler. These solutions support specialty pharmaceuticals, healthcare, and perishable food logistics, reinforcing Altor’s leading market position in single-use pharma parcel shippers. The Altor Perishables segment enhances cold chain capabilities for perishable food distribution. These shippers can also be made in alternative materials, such as our BioEPS®, which is biodegradable to ASTM D5511 standards, and the previously-noted Bioffex®, a commercially compostable foam.</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Refrigerants </w:t>
      </w:r>
      <w:r>
        <w:rPr>
          <w:rFonts w:ascii="Arial" w:cs="Arial" w:eastAsia="Arial" w:hAnsi="Arial"/>
          <w:sz w:val="18"/>
          <w:szCs w:val="18"/>
          <w:color w:val="auto"/>
        </w:rPr>
        <w:t>- Manufactured at six plants across the U.S., Altor offers a full range of phase change material (PCM) and water-based</w:t>
      </w:r>
      <w:r>
        <w:rPr>
          <w:rFonts w:ascii="Arial" w:cs="Arial" w:eastAsia="Arial" w:hAnsi="Arial"/>
          <w:sz w:val="18"/>
          <w:szCs w:val="18"/>
          <w:b w:val="1"/>
          <w:bCs w:val="1"/>
          <w:color w:val="auto"/>
        </w:rPr>
        <w:t xml:space="preserve"> </w:t>
      </w:r>
      <w:r>
        <w:rPr>
          <w:rFonts w:ascii="Arial" w:cs="Arial" w:eastAsia="Arial" w:hAnsi="Arial"/>
          <w:sz w:val="18"/>
          <w:szCs w:val="18"/>
          <w:color w:val="auto"/>
        </w:rPr>
        <w:t>refrigerants in both bottles and pouches, meeting a variety of temperature requirements for pharmaceutical and food shipping applications.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OEM Parts and Componentry </w:t>
      </w:r>
      <w:r>
        <w:rPr>
          <w:rFonts w:ascii="Arial" w:cs="Arial" w:eastAsia="Arial" w:hAnsi="Arial"/>
          <w:sz w:val="18"/>
          <w:szCs w:val="18"/>
          <w:color w:val="auto"/>
        </w:rPr>
        <w:t>- Includes engineered solutions for automotive, appliances, and construction applications, ensuring</w:t>
      </w:r>
      <w:r>
        <w:rPr>
          <w:rFonts w:ascii="Arial" w:cs="Arial" w:eastAsia="Arial" w:hAnsi="Arial"/>
          <w:sz w:val="18"/>
          <w:szCs w:val="18"/>
          <w:b w:val="1"/>
          <w:bCs w:val="1"/>
          <w:color w:val="auto"/>
        </w:rPr>
        <w:t xml:space="preserve"> </w:t>
      </w:r>
      <w:r>
        <w:rPr>
          <w:rFonts w:ascii="Arial" w:cs="Arial" w:eastAsia="Arial" w:hAnsi="Arial"/>
          <w:sz w:val="18"/>
          <w:szCs w:val="18"/>
          <w:color w:val="auto"/>
        </w:rPr>
        <w:t>lightweight, durable, and cost-effective alternatives to traditional materials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Fabricated Solutions </w:t>
      </w:r>
      <w:r>
        <w:rPr>
          <w:rFonts w:ascii="Arial" w:cs="Arial" w:eastAsia="Arial" w:hAnsi="Arial"/>
          <w:sz w:val="18"/>
          <w:szCs w:val="18"/>
          <w:color w:val="auto"/>
        </w:rPr>
        <w:t>- Custom manufacturing through die cutting, saw cutting, and pressure cutting for medium to low-volume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catering to specialized industrial needs. Fabricated solutions represent a small portion of Altor overall net sales.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Sustainable Packaging </w:t>
      </w:r>
      <w:r>
        <w:rPr>
          <w:rFonts w:ascii="Arial" w:cs="Arial" w:eastAsia="Arial" w:hAnsi="Arial"/>
          <w:sz w:val="18"/>
          <w:szCs w:val="18"/>
          <w:color w:val="auto"/>
        </w:rPr>
        <w:t>- Altor leads in sustainability with solutions such as BioEPS®, a Biodegradable solution as per ASTM D5511, and</w:t>
      </w:r>
      <w:r>
        <w:rPr>
          <w:rFonts w:ascii="Arial" w:cs="Arial" w:eastAsia="Arial" w:hAnsi="Arial"/>
          <w:sz w:val="18"/>
          <w:szCs w:val="18"/>
          <w:b w:val="1"/>
          <w:bCs w:val="1"/>
          <w:color w:val="auto"/>
        </w:rPr>
        <w:t xml:space="preserve"> </w:t>
      </w:r>
      <w:r>
        <w:rPr>
          <w:rFonts w:ascii="Arial" w:cs="Arial" w:eastAsia="Arial" w:hAnsi="Arial"/>
          <w:sz w:val="18"/>
          <w:szCs w:val="18"/>
          <w:color w:val="auto"/>
        </w:rPr>
        <w:t>Bioffex, a plant-based molded packaging solution supporting circular economy initiatives. The introduction of BioEPS with up to 55% post-consumer recycled content demonstrates Altor’s commitment to reducing environmental impact. Altor also exhibits its commitment to circularity within its 23 plants by recycling its waste and offering post-consumer collection to be remolded into new parts.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Altor Solutions provides industry-leading services to enhance product integrity, performance validation, and regulatory compliance, many of which are done by our in-house ISTA Standard 20 Certified lab.</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Protective Packaging Services </w:t>
      </w:r>
      <w:r>
        <w:rPr>
          <w:rFonts w:ascii="Arial" w:cs="Arial" w:eastAsia="Arial" w:hAnsi="Arial"/>
          <w:sz w:val="18"/>
          <w:szCs w:val="18"/>
          <w:color w:val="auto"/>
        </w:rPr>
        <w:t>- Impact, drop, and vibration testing to ensure optimized protection.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Cold Chain Services </w:t>
      </w:r>
      <w:r>
        <w:rPr>
          <w:rFonts w:ascii="Arial" w:cs="Arial" w:eastAsia="Arial" w:hAnsi="Arial"/>
          <w:sz w:val="18"/>
          <w:szCs w:val="18"/>
          <w:color w:val="auto"/>
        </w:rPr>
        <w:t>- Thermal modeling, chamber testing, and qualification processes for temperature-controlled shipping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Categories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Altor Solutions operates across four primary market categories: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Altor Life Sciences </w:t>
      </w:r>
      <w:r>
        <w:rPr>
          <w:rFonts w:ascii="Arial" w:cs="Arial" w:eastAsia="Arial" w:hAnsi="Arial"/>
          <w:sz w:val="18"/>
          <w:szCs w:val="18"/>
          <w:color w:val="auto"/>
        </w:rPr>
        <w:t>– This category is focused on cold chain solutions for specialty pharmaceuticals and healthcare applications.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Altor Industrial </w:t>
      </w:r>
      <w:r>
        <w:rPr>
          <w:rFonts w:ascii="Arial" w:cs="Arial" w:eastAsia="Arial" w:hAnsi="Arial"/>
          <w:sz w:val="18"/>
          <w:szCs w:val="18"/>
          <w:color w:val="auto"/>
        </w:rPr>
        <w:t>– Encompassing appliances, HVAC, furniture, construction, and other industrial applications, primarily serving protective</w:t>
      </w:r>
      <w:r>
        <w:rPr>
          <w:rFonts w:ascii="Arial" w:cs="Arial" w:eastAsia="Arial" w:hAnsi="Arial"/>
          <w:sz w:val="18"/>
          <w:szCs w:val="18"/>
          <w:b w:val="1"/>
          <w:bCs w:val="1"/>
          <w:color w:val="auto"/>
        </w:rPr>
        <w:t xml:space="preserve"> </w:t>
      </w:r>
      <w:r>
        <w:rPr>
          <w:rFonts w:ascii="Arial" w:cs="Arial" w:eastAsia="Arial" w:hAnsi="Arial"/>
          <w:sz w:val="18"/>
          <w:szCs w:val="18"/>
          <w:color w:val="auto"/>
        </w:rPr>
        <w:t>packaging needs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Altor Perishables </w:t>
      </w:r>
      <w:r>
        <w:rPr>
          <w:rFonts w:ascii="Arial" w:cs="Arial" w:eastAsia="Arial" w:hAnsi="Arial"/>
          <w:sz w:val="18"/>
          <w:szCs w:val="18"/>
          <w:color w:val="auto"/>
        </w:rPr>
        <w:t>– Providing innovative cold chain solutions for seafood, meat, perishable and specialty foods, and grocery logistics.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Retail </w:t>
      </w:r>
      <w:r>
        <w:rPr>
          <w:rFonts w:ascii="Arial" w:cs="Arial" w:eastAsia="Arial" w:hAnsi="Arial"/>
          <w:sz w:val="18"/>
          <w:szCs w:val="18"/>
          <w:color w:val="auto"/>
        </w:rPr>
        <w:t>– Specializing in retail-driven temperature maintenance solutions, including reusable and single-use parcel shipping coolers and</w:t>
      </w:r>
      <w:r>
        <w:rPr>
          <w:rFonts w:ascii="Arial" w:cs="Arial" w:eastAsia="Arial" w:hAnsi="Arial"/>
          <w:sz w:val="18"/>
          <w:szCs w:val="18"/>
          <w:b w:val="1"/>
          <w:bCs w:val="1"/>
          <w:color w:val="auto"/>
        </w:rPr>
        <w:t xml:space="preserve"> </w:t>
      </w:r>
      <w:r>
        <w:rPr>
          <w:rFonts w:ascii="Arial" w:cs="Arial" w:eastAsia="Arial" w:hAnsi="Arial"/>
          <w:sz w:val="18"/>
          <w:szCs w:val="18"/>
          <w:color w:val="auto"/>
        </w:rPr>
        <w:t>refrigerants.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 and Distribution Channels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Altor Solutions serves over 1,000 customers across diverse industries. With its leading market share in single-use pharmaceutical parcel shippers, Altor remains at the forefront of temperature-sensitive logistics. Products are distributed through direct-to-customer channels and strategic distributor partnerships, ensuring flexibility and value optimization. Altor has maintained long-standing relationships with its top customers, often averaging ten or more years. Altor's three largest customers comprised approximately 21%, 32%, and 30% of net sales in the years ended December 31, 2024, 2023 and 2022,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5" w:name="page46"/>
    <w:bookmarkEnd w:id="45"/>
    <w:p>
      <w:pPr>
        <w:jc w:val="both"/>
        <w:spacing w:after="0" w:line="287" w:lineRule="auto"/>
        <w:rPr>
          <w:sz w:val="20"/>
          <w:szCs w:val="20"/>
          <w:color w:val="auto"/>
        </w:rPr>
      </w:pPr>
      <w:r>
        <w:rPr>
          <w:rFonts w:ascii="Arial" w:cs="Arial" w:eastAsia="Arial" w:hAnsi="Arial"/>
          <w:sz w:val="18"/>
          <w:szCs w:val="18"/>
          <w:color w:val="auto"/>
        </w:rPr>
        <w:t>Altor Solutions often maintains resin cost pass-through provisions with its contracted customers, allowing it to pass-through material resin price changes - resin constitutes its primary raw material cost.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Altor's customer breakdown by sector for the fiscal years ended December 31, 2024, 2023 and 2022:</w:t>
      </w:r>
    </w:p>
    <w:p>
      <w:pPr>
        <w:spacing w:after="0" w:line="278"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2820" w:type="dxa"/>
            <w:vAlign w:val="bottom"/>
          </w:tcPr>
          <w:p>
            <w:pPr>
              <w:spacing w:after="0"/>
              <w:rPr>
                <w:sz w:val="19"/>
                <w:szCs w:val="19"/>
                <w:color w:val="auto"/>
              </w:rPr>
            </w:pPr>
          </w:p>
        </w:tc>
        <w:tc>
          <w:tcPr>
            <w:tcW w:w="3780" w:type="dxa"/>
            <w:vAlign w:val="bottom"/>
            <w:tcBorders>
              <w:top w:val="single" w:sz="8" w:color="auto"/>
              <w:bottom w:val="single" w:sz="8" w:color="auto"/>
            </w:tcBorders>
            <w:gridSpan w:val="5"/>
          </w:tcPr>
          <w:p>
            <w:pPr>
              <w:ind w:left="154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Borders>
              <w:top w:val="single" w:sz="8" w:color="auto"/>
              <w:bottom w:val="single" w:sz="8" w:color="auto"/>
            </w:tcBorders>
          </w:tcPr>
          <w:p>
            <w:pPr>
              <w:spacing w:after="0"/>
              <w:rPr>
                <w:sz w:val="19"/>
                <w:szCs w:val="19"/>
                <w:color w:val="auto"/>
              </w:rPr>
            </w:pPr>
          </w:p>
        </w:tc>
      </w:tr>
      <w:tr>
        <w:trPr>
          <w:trHeight w:val="210"/>
        </w:trPr>
        <w:tc>
          <w:tcPr>
            <w:tcW w:w="2820" w:type="dxa"/>
            <w:vAlign w:val="bottom"/>
          </w:tcPr>
          <w:p>
            <w:pPr>
              <w:spacing w:after="0"/>
              <w:rPr>
                <w:sz w:val="18"/>
                <w:szCs w:val="18"/>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34"/>
        </w:trPr>
        <w:tc>
          <w:tcPr>
            <w:tcW w:w="2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Industrial</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50.8 %</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53.1 %</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52.0 %</w:t>
            </w:r>
          </w:p>
        </w:tc>
      </w:tr>
      <w:tr>
        <w:trPr>
          <w:trHeight w:val="215"/>
        </w:trPr>
        <w:tc>
          <w:tcPr>
            <w:tcW w:w="2820" w:type="dxa"/>
            <w:vAlign w:val="bottom"/>
          </w:tcPr>
          <w:p>
            <w:pPr>
              <w:spacing w:after="0"/>
              <w:rPr>
                <w:sz w:val="20"/>
                <w:szCs w:val="20"/>
                <w:color w:val="auto"/>
              </w:rPr>
            </w:pPr>
            <w:r>
              <w:rPr>
                <w:rFonts w:ascii="Arial" w:cs="Arial" w:eastAsia="Arial" w:hAnsi="Arial"/>
                <w:sz w:val="16"/>
                <w:szCs w:val="16"/>
                <w:color w:val="auto"/>
              </w:rPr>
              <w:t>Life Sciences</w:t>
            </w:r>
          </w:p>
        </w:tc>
        <w:tc>
          <w:tcPr>
            <w:tcW w:w="1560" w:type="dxa"/>
            <w:vAlign w:val="bottom"/>
          </w:tcPr>
          <w:p>
            <w:pPr>
              <w:jc w:val="right"/>
              <w:spacing w:after="0"/>
              <w:rPr>
                <w:sz w:val="20"/>
                <w:szCs w:val="20"/>
                <w:color w:val="auto"/>
              </w:rPr>
            </w:pPr>
            <w:r>
              <w:rPr>
                <w:rFonts w:ascii="Arial" w:cs="Arial" w:eastAsia="Arial" w:hAnsi="Arial"/>
                <w:sz w:val="16"/>
                <w:szCs w:val="16"/>
                <w:color w:val="auto"/>
              </w:rPr>
              <w:t>26.8 %</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27.4 %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28.6 %</w:t>
            </w:r>
          </w:p>
        </w:tc>
      </w:tr>
      <w:tr>
        <w:trPr>
          <w:trHeight w:val="217"/>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Perishables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15"/>
        </w:trPr>
        <w:tc>
          <w:tcPr>
            <w:tcW w:w="2820" w:type="dxa"/>
            <w:vAlign w:val="bottom"/>
          </w:tcPr>
          <w:p>
            <w:pPr>
              <w:spacing w:after="0"/>
              <w:rPr>
                <w:sz w:val="20"/>
                <w:szCs w:val="20"/>
                <w:color w:val="auto"/>
              </w:rPr>
            </w:pPr>
            <w:r>
              <w:rPr>
                <w:rFonts w:ascii="Arial" w:cs="Arial" w:eastAsia="Arial" w:hAnsi="Arial"/>
                <w:sz w:val="16"/>
                <w:szCs w:val="16"/>
                <w:color w:val="auto"/>
              </w:rPr>
              <w:t>Retail</w:t>
            </w:r>
          </w:p>
        </w:tc>
        <w:tc>
          <w:tcPr>
            <w:tcW w:w="1560" w:type="dxa"/>
            <w:vAlign w:val="bottom"/>
          </w:tcPr>
          <w:p>
            <w:pPr>
              <w:jc w:val="right"/>
              <w:spacing w:after="0"/>
              <w:rPr>
                <w:sz w:val="20"/>
                <w:szCs w:val="20"/>
                <w:color w:val="auto"/>
              </w:rPr>
            </w:pPr>
            <w:r>
              <w:rPr>
                <w:rFonts w:ascii="Arial" w:cs="Arial" w:eastAsia="Arial" w:hAnsi="Arial"/>
                <w:sz w:val="16"/>
                <w:szCs w:val="16"/>
                <w:color w:val="auto"/>
              </w:rPr>
              <w:t>1.5 %</w:t>
            </w:r>
          </w:p>
        </w:tc>
        <w:tc>
          <w:tcPr>
            <w:tcW w:w="180" w:type="dxa"/>
            <w:vAlign w:val="bottom"/>
          </w:tcPr>
          <w:p>
            <w:pPr>
              <w:spacing w:after="0"/>
              <w:rPr>
                <w:sz w:val="18"/>
                <w:szCs w:val="18"/>
                <w:color w:val="auto"/>
              </w:rPr>
            </w:pPr>
          </w:p>
        </w:tc>
        <w:tc>
          <w:tcPr>
            <w:tcW w:w="2040" w:type="dxa"/>
            <w:vAlign w:val="bottom"/>
            <w:gridSpan w:val="3"/>
          </w:tcPr>
          <w:p>
            <w:pPr>
              <w:jc w:val="right"/>
              <w:ind w:right="50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10"/>
        </w:trPr>
        <w:tc>
          <w:tcPr>
            <w:tcW w:w="28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1"/>
        </w:trPr>
        <w:tc>
          <w:tcPr>
            <w:tcW w:w="28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Strategies and Competitive Strengths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Strategies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Defend Market Position </w:t>
      </w:r>
      <w:r>
        <w:rPr>
          <w:rFonts w:ascii="Arial" w:cs="Arial" w:eastAsia="Arial" w:hAnsi="Arial"/>
          <w:sz w:val="18"/>
          <w:szCs w:val="18"/>
          <w:color w:val="auto"/>
        </w:rPr>
        <w:t>- As a leading supplier of custom molded foam solutions, management believes Altor enjoys strong brand</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and a reputation for superior quality and service in the industry. In a market characterized by fragmented competition, Altor will continue to focus on providing a best-in-class suite of products and capabilities.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Remain Committed to Customers </w:t>
      </w:r>
      <w:r>
        <w:rPr>
          <w:rFonts w:ascii="Arial" w:cs="Arial" w:eastAsia="Arial" w:hAnsi="Arial"/>
          <w:sz w:val="18"/>
          <w:szCs w:val="18"/>
          <w:color w:val="auto"/>
        </w:rPr>
        <w:t>- Functional and error-free products are key considerations for its customers and Altor has maintained a</w:t>
      </w:r>
      <w:r>
        <w:rPr>
          <w:rFonts w:ascii="Arial" w:cs="Arial" w:eastAsia="Arial" w:hAnsi="Arial"/>
          <w:sz w:val="18"/>
          <w:szCs w:val="18"/>
          <w:b w:val="1"/>
          <w:bCs w:val="1"/>
          <w:color w:val="auto"/>
        </w:rPr>
        <w:t xml:space="preserve"> </w:t>
      </w:r>
      <w:r>
        <w:rPr>
          <w:rFonts w:ascii="Arial" w:cs="Arial" w:eastAsia="Arial" w:hAnsi="Arial"/>
          <w:sz w:val="18"/>
          <w:szCs w:val="18"/>
          <w:color w:val="auto"/>
        </w:rPr>
        <w:t>disciplined approach to ensure its products meet the highest standard of quality. As a result of this strong quality assurance, Altor has had little customer attrition.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Pursue Selective Acquisitions </w:t>
      </w:r>
      <w:r>
        <w:rPr>
          <w:rFonts w:ascii="Arial" w:cs="Arial" w:eastAsia="Arial" w:hAnsi="Arial"/>
          <w:sz w:val="18"/>
          <w:szCs w:val="18"/>
          <w:color w:val="auto"/>
        </w:rPr>
        <w:t>- Altor Solutions views acquisitions as a potentially attractive means to expand its national footprint or</w:t>
      </w:r>
      <w:r>
        <w:rPr>
          <w:rFonts w:ascii="Arial" w:cs="Arial" w:eastAsia="Arial" w:hAnsi="Arial"/>
          <w:sz w:val="18"/>
          <w:szCs w:val="18"/>
          <w:b w:val="1"/>
          <w:bCs w:val="1"/>
          <w:color w:val="auto"/>
        </w:rPr>
        <w:t xml:space="preserve"> </w:t>
      </w:r>
      <w:r>
        <w:rPr>
          <w:rFonts w:ascii="Arial" w:cs="Arial" w:eastAsia="Arial" w:hAnsi="Arial"/>
          <w:sz w:val="18"/>
          <w:szCs w:val="18"/>
          <w:color w:val="auto"/>
        </w:rPr>
        <w:t>broaden its current product offering. Management will continue to seek acquisitions of regional foam molders and other packaging suppliers where sales and operational efficiencies can be realized, and to diversify into packaging products other than molded foam.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Strengths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National Scale and Proximity to Customers </w:t>
      </w:r>
      <w:r>
        <w:rPr>
          <w:rFonts w:ascii="Arial" w:cs="Arial" w:eastAsia="Arial" w:hAnsi="Arial"/>
          <w:sz w:val="18"/>
          <w:szCs w:val="18"/>
          <w:color w:val="auto"/>
        </w:rPr>
        <w:t>- Altor Solutions maintains a national footprint of 23 manufacturing locations across North</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Facilities are strategically located near customers’ production locations enabling Altor to be one of only a few foam molders capable of serving large national accounts. Due to foam’s high volume-to-weight ratio, foam manufacturers generally confine product shipments to a 300-mile radius in which shipping costs are economically viable. Thus, Altor is uniquely positioned to provide multi-facility support to its largest customers who often have multiple manufacturing or distribution locations.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Engineering and Design Capabilities </w:t>
      </w:r>
      <w:r>
        <w:rPr>
          <w:rFonts w:ascii="Arial" w:cs="Arial" w:eastAsia="Arial" w:hAnsi="Arial"/>
          <w:sz w:val="18"/>
          <w:szCs w:val="18"/>
          <w:color w:val="auto"/>
        </w:rPr>
        <w:t>- Altor Solutions has three coordinated design and testing centers with experienced packaging and</w:t>
      </w:r>
      <w:r>
        <w:rPr>
          <w:rFonts w:ascii="Arial" w:cs="Arial" w:eastAsia="Arial" w:hAnsi="Arial"/>
          <w:sz w:val="18"/>
          <w:szCs w:val="18"/>
          <w:b w:val="1"/>
          <w:bCs w:val="1"/>
          <w:color w:val="auto"/>
        </w:rPr>
        <w:t xml:space="preserve"> </w:t>
      </w:r>
      <w:r>
        <w:rPr>
          <w:rFonts w:ascii="Arial" w:cs="Arial" w:eastAsia="Arial" w:hAnsi="Arial"/>
          <w:sz w:val="18"/>
          <w:szCs w:val="18"/>
          <w:color w:val="auto"/>
        </w:rPr>
        <w:t>mechanical engineers that work closely with customers to support packaging design needs. Engineering services include optimizing molds to meet customer needs and address complex design requirements, identifying pre-manufacturing challenges, solving post-manufacturing issues, improving packaging processes and laboratory testing final designs. Early customer involvement and collaboration to develop packaging solutions has resulted in increased project win rates and better visibility into product development pipelines.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Barriers to Entry</w:t>
      </w:r>
    </w:p>
    <w:p>
      <w:pPr>
        <w:spacing w:after="0" w:line="117" w:lineRule="exact"/>
        <w:rPr>
          <w:sz w:val="20"/>
          <w:szCs w:val="20"/>
          <w:color w:val="auto"/>
        </w:rPr>
      </w:pPr>
    </w:p>
    <w:p>
      <w:pPr>
        <w:jc w:val="both"/>
        <w:ind w:left="66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 Customer Switching Costs - The operational risk and disruption associated with switching existing molds to operate on a competitor’s press makes shifting or splitting business between different shape molders difficult and infrequent. In general, most customers pay for their own molds, which are custom built for a specific molders’ presses. The financial cost of retooling is estimated to be $5,000 - $30,000 per mold, making it cost prohibitive to change molders on existing projects.In larger protective and cold chain applications, there are generally lengthy qualification periods which make switching costly and time-consuming.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6" w:name="page47"/>
    <w:bookmarkEnd w:id="46"/>
    <w:p>
      <w:pPr>
        <w:jc w:val="both"/>
        <w:ind w:left="66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Favorable Cost-to-value Proposition - The high cost of failure, relatively low proportionate cost of foam to the final product being protected, and a sometimes lengthy testing and qualification process represent significant barriers to customers changing solution providers or packaging material choices.</w:t>
      </w:r>
    </w:p>
    <w:p>
      <w:pPr>
        <w:spacing w:after="0" w:line="6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Equipment and Processing Infrastructure - Altor's existing base of production equipment has a significant estimated replacement cost. Management estimates the cost of opening a new shape molding facility at approximately $5 million, excluding real estate, and it must meet stringent environmental standards. A new entrant could require as much as 1-2 years of lead time to match the process performance requirements, customization of equipment and material formulations necessary to effectively compete in the molded foam industry. Moreover, Altor has a strong preventive maintenance program and in-house equipment division that is responsible for repairing and rebuilding presses. This allows Altor to significantly extend the average useful life of its machinery and reduce the ongoing capital investment requirements, creating an advantage over competitors.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 and Manufacturing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raw materials that are used in production are plastic resins, such as EPS, expandable polypropylene ("EPP") and expandable polyethylene ("EPE"). In addition to plastic resins, Altor also purchases fabricating material including blocks of EPE and EPP foam, polyethylene and urethane, as well as other packaging materials including corrugate, boxes, paperboard, tape and plastic film. Altor purchases its materials from a combination of domestic and foreign suppliers and has maintained strong relationships with key resin suppliers for over 30 years. Adequate amounts of all raw materials have been available in the past, and Altor's management believes this will continue in the foreseeable future.</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Altor maintains 23 manufacturing facilities across North America with 21 located in the U.S. and 2 in Mexico, as well as one non-manufacturing corporate headquarters. Given the high volume, low density nature of foam, Altor's manufacturing facilities are strategically located near its largest customers’ production locations to minimize freight and logistics costs. Altor's geographic footprint covers a large portion of the continental U.S. and Mexico. Each plant has a warehouse space for raw materials, supplies and finished goods. Several plants also use third-party warehousing to store excess inventory. Altor uses common carriers to deliver finished product and in certain cases, some customers pick up directly from the plants.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Altor's manufacturing operations and facilities are subject to federal, state and local environmental and occupational health and safety laws and regulations. These include laws and regulations governing air emissions, wastewater discharge and the storage and handling of chemicals and hazardous materials.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Altor employed 1,160 full-time employees. None of Altor's’ U.S.-based employees are subject to collective bargaining agreements. Under Mexican Federal Labor Law, 109 employees at the two Mexican manufacturing facilities are unionized. Altor believes its relationship with its employees is good.</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Arnold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Headquartered in Rochester, New York, Arnold serves a variety of markets including aerospace and defense, general industrial, motorsport/transportation, oil and gas, medical, energy, semiconductor and advertising specialties. Over the course of more than 100 years, Arnold has successfully evolved and adapted its products, technologies, and manufacturing presence to meet the demands of current and emerging markets. Arnold has expanded globally and built strong relationships with its customers worldwide. As a result, Arnold provides its customers with new and innovative materials and solutions that empowers them to develop next generation technologies. Arnold is the largest and, we believe, the most technically advanced U.S. manufacturer of engineered magnetic systems. Arnold is one of two domestic producers to optimize, engineer and manufacture rare earth magnetic solutions. Arnold serves customers and generates revenues via four business units:</w:t>
      </w:r>
    </w:p>
    <w:p>
      <w:pPr>
        <w:spacing w:after="0" w:line="77" w:lineRule="exact"/>
        <w:rPr>
          <w:sz w:val="20"/>
          <w:szCs w:val="20"/>
          <w:color w:val="auto"/>
        </w:rPr>
      </w:pPr>
    </w:p>
    <w:p>
      <w:pPr>
        <w:jc w:val="both"/>
        <w:ind w:left="660" w:hanging="328"/>
        <w:spacing w:after="0" w:line="267" w:lineRule="auto"/>
        <w:tabs>
          <w:tab w:leader="none" w:pos="655"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PMAG </w:t>
      </w:r>
      <w:r>
        <w:rPr>
          <w:rFonts w:ascii="Arial" w:cs="Arial" w:eastAsia="Arial" w:hAnsi="Arial"/>
          <w:sz w:val="18"/>
          <w:szCs w:val="18"/>
          <w:color w:val="auto"/>
        </w:rPr>
        <w:t>- Permanent Magnets and Assemblies Group ("PMAG")- Arnold’s high performance permanent magnets have a wide variety</w:t>
      </w:r>
      <w:r>
        <w:rPr>
          <w:rFonts w:ascii="Arial" w:cs="Arial" w:eastAsia="Arial" w:hAnsi="Arial"/>
          <w:sz w:val="18"/>
          <w:szCs w:val="18"/>
          <w:b w:val="1"/>
          <w:bCs w:val="1"/>
          <w:color w:val="auto"/>
        </w:rPr>
        <w:t xml:space="preserve"> </w:t>
      </w:r>
      <w:r>
        <w:rPr>
          <w:rFonts w:ascii="Arial" w:cs="Arial" w:eastAsia="Arial" w:hAnsi="Arial"/>
          <w:sz w:val="18"/>
          <w:szCs w:val="18"/>
          <w:color w:val="auto"/>
        </w:rPr>
        <w:t>of applications, mainly used for rotating electrical machinery such as motor and generators. Industries served include aerospace and defense, energy exploration, industrial</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motorsport and medical.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jc w:val="both"/>
        <w:ind w:left="66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Electric Motors </w:t>
      </w:r>
      <w:r>
        <w:rPr>
          <w:rFonts w:ascii="Arial" w:cs="Arial" w:eastAsia="Arial" w:hAnsi="Arial"/>
          <w:sz w:val="18"/>
          <w:szCs w:val="18"/>
          <w:color w:val="auto"/>
        </w:rPr>
        <w:t>- Low-to-mid volume AC induction, Switched Reluctance, and Brushless DC stators, rotors, and rotor shaft</w:t>
      </w:r>
      <w:r>
        <w:rPr>
          <w:rFonts w:ascii="Arial" w:cs="Arial" w:eastAsia="Arial" w:hAnsi="Arial"/>
          <w:sz w:val="18"/>
          <w:szCs w:val="18"/>
          <w:b w:val="1"/>
          <w:bCs w:val="1"/>
          <w:color w:val="auto"/>
        </w:rPr>
        <w:t xml:space="preserve"> </w:t>
      </w:r>
      <w:r>
        <w:rPr>
          <w:rFonts w:ascii="Arial" w:cs="Arial" w:eastAsia="Arial" w:hAnsi="Arial"/>
          <w:sz w:val="18"/>
          <w:szCs w:val="18"/>
          <w:color w:val="auto"/>
        </w:rPr>
        <w:t>assemblies. Finished motors range from under 1kW through 1MW for aerospace and defense, industrial, energy, hybrid electric platforms and energy exploration.</w:t>
      </w:r>
    </w:p>
    <w:p>
      <w:pPr>
        <w:spacing w:after="0" w:line="6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Precision Thin Metals </w:t>
      </w:r>
      <w:r>
        <w:rPr>
          <w:rFonts w:ascii="Arial" w:cs="Arial" w:eastAsia="Arial" w:hAnsi="Arial"/>
          <w:sz w:val="18"/>
          <w:szCs w:val="18"/>
          <w:color w:val="auto"/>
        </w:rPr>
        <w:t>- Arnold's precision thin metals group ("Precision Thing Metals") produces thin and ultra-thin alloys that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the power density electrical systems such as motors, generators, and transformers along with thin foils for other applications such as electromagnetic shielding, radio frequency shielding, lightweight structures, and implantable structures. Industries served include aerospace and defense, industrial, energy exploration, and medical.</w:t>
      </w:r>
    </w:p>
    <w:p>
      <w:pPr>
        <w:spacing w:after="0" w:line="6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Flexmag</w:t>
      </w:r>
      <w:r>
        <w:rPr>
          <w:rFonts w:ascii="Arial" w:cs="Arial" w:eastAsia="Arial" w:hAnsi="Arial"/>
          <w:sz w:val="18"/>
          <w:szCs w:val="18"/>
          <w:color w:val="auto"/>
        </w:rPr>
        <w:t>™ - High quality flexible magnetic sheet and strip, Flexmag products not only are magnetic but their processing capabilities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allow for loading of a variety of materials into their flexible sheet products. Industries served include protective magnetic barriers, electromagnetic shielding, radio frequency shielding, advertising specialties, industrial, medical, and transportation.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Arnold operates 11 manufacturing facilities worldwide but functions as One Arnold. The facilities are split under the four business units shown above along with prototyping and advanced technology development through its Technology Center. In 2024, Arnold consolidated two facilities in the United States and opened a new facility in Thailand. These facilities have significantly upgraded Arnold’s manufacturing capabilities.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Arnold</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Arnold was founded in 1895 as the Arnold Electric Power Station Company. Arnold began producing AlNiCo permanent magnets in its Marengo, Illinois facility in the mid-1930s. In 1970, Arnold acquired Ogallala Electronics, which manufactured high power coils and electromagnets. During the following decades, Arnold made a series of acquisitions and partnerships to expand its portfolio and geographic reach.</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February 2007, Arnold Magnetic Technologies completed the acquisition of Precision Magnetics, which expanded its geographic footprint to include operations in Sheffield, England and Lupfig, Switzerland. In addition, Arnold’s Lupfig, Switzerland operation is a joint venture partner with a Chinese rare earth producer. The joint venture manufactures RECOMA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Samarium Cobalt blocks for select markets. In 2016, Arnold developed and launched the world’s strongest Samarium Cobalt magnet grade, RECOMA 35E, that enables significant opportunity for increased performance in smaller packages, and at higher temperatures, with no trade off in stability.</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2021, Arnold acquired Ramco Electric Motors, Inc. ("Ramco"), a provider of custom electric motor solutions for general industrial, aerospace and defense and oil and gas end markets. Ramco's complementary product portfolio allows Arnold to offer more comprehensive, turn-key solutions to their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purchased a majority interest in Arnold on March 5, 2012.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Permanent Magnets - </w:t>
      </w:r>
      <w:r>
        <w:rPr>
          <w:rFonts w:ascii="Arial" w:cs="Arial" w:eastAsia="Arial" w:hAnsi="Arial"/>
          <w:sz w:val="18"/>
          <w:szCs w:val="18"/>
          <w:color w:val="auto"/>
        </w:rPr>
        <w:t>There exists a broad range of permanent magnets which include Rare Earth Magnets and magnets made from</w:t>
      </w:r>
      <w:r>
        <w:rPr>
          <w:rFonts w:ascii="Arial" w:cs="Arial" w:eastAsia="Arial" w:hAnsi="Arial"/>
          <w:sz w:val="18"/>
          <w:szCs w:val="18"/>
          <w:b w:val="1"/>
          <w:bCs w:val="1"/>
          <w:color w:val="auto"/>
        </w:rPr>
        <w:t xml:space="preserve"> </w:t>
      </w:r>
      <w:r>
        <w:rPr>
          <w:rFonts w:ascii="Arial" w:cs="Arial" w:eastAsia="Arial" w:hAnsi="Arial"/>
          <w:sz w:val="18"/>
          <w:szCs w:val="18"/>
          <w:color w:val="auto"/>
        </w:rPr>
        <w:t>specialty magnetic alloys. Magnets produced from these materials may be sliced, ground, coated and magnetized to customer requirements. Those industry players with the broadest portfolio of these magnets, such as Arnold, maintain a significant competitive advantage over competitors as they are able to offer one-stop shop capabilities to customers. Management believes that being a manufacturer of these magnets, subject to patent rights, is another critical market advantage.</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Magnetic Assemblies - </w:t>
      </w:r>
      <w:r>
        <w:rPr>
          <w:rFonts w:ascii="Arial" w:cs="Arial" w:eastAsia="Arial" w:hAnsi="Arial"/>
          <w:sz w:val="18"/>
          <w:szCs w:val="18"/>
          <w:color w:val="auto"/>
        </w:rPr>
        <w:t>Arnold offers complex, customized value added magnetic assemblies. These assemblies are used in devices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motors, generators, beam focusing arrays, sensors, and solenoid actuators. Magnetic assembly production capabilities include machined metal components, magnet fabrication, machining, encapsulation or sleeving, balancing, and field mapping.</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Electric Motors </w:t>
      </w:r>
      <w:r>
        <w:rPr>
          <w:rFonts w:ascii="Arial" w:cs="Arial" w:eastAsia="Arial" w:hAnsi="Arial"/>
          <w:sz w:val="18"/>
          <w:szCs w:val="18"/>
          <w:color w:val="auto"/>
        </w:rPr>
        <w:t>– There exists a global demand for electric motors. Arnold is a manufacturer for low-to-mid volume AC induction, Switched</w:t>
      </w:r>
      <w:r>
        <w:rPr>
          <w:rFonts w:ascii="Arial" w:cs="Arial" w:eastAsia="Arial" w:hAnsi="Arial"/>
          <w:sz w:val="18"/>
          <w:szCs w:val="18"/>
          <w:b w:val="1"/>
          <w:bCs w:val="1"/>
          <w:color w:val="auto"/>
        </w:rPr>
        <w:t xml:space="preserve"> </w:t>
      </w:r>
      <w:r>
        <w:rPr>
          <w:rFonts w:ascii="Arial" w:cs="Arial" w:eastAsia="Arial" w:hAnsi="Arial"/>
          <w:sz w:val="18"/>
          <w:szCs w:val="18"/>
          <w:color w:val="auto"/>
        </w:rPr>
        <w:t>Reluctance, and Brushless DC stators, rotors, and rotor shaft assemblies. Arnold works with companies of all sizes: from small businesses and medium-sized companies all the way to Fortune 500s. The industry exists wherever electrical energy needs conversion to mechanical use.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Precision Strip and Foil - </w:t>
      </w:r>
      <w:r>
        <w:rPr>
          <w:rFonts w:ascii="Arial" w:cs="Arial" w:eastAsia="Arial" w:hAnsi="Arial"/>
          <w:sz w:val="18"/>
          <w:szCs w:val="18"/>
          <w:color w:val="auto"/>
        </w:rPr>
        <w:t>Precision rolled thin metal foil products are manufactured from a wide range of materials for use in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transformers, motor laminations, lightweight structures, shielding, and composite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jc w:val="both"/>
        <w:spacing w:after="0" w:line="287" w:lineRule="auto"/>
        <w:rPr>
          <w:sz w:val="20"/>
          <w:szCs w:val="20"/>
          <w:color w:val="auto"/>
        </w:rPr>
      </w:pPr>
      <w:r>
        <w:rPr>
          <w:rFonts w:ascii="Arial" w:cs="Arial" w:eastAsia="Arial" w:hAnsi="Arial"/>
          <w:sz w:val="18"/>
          <w:szCs w:val="18"/>
          <w:color w:val="auto"/>
        </w:rPr>
        <w:t>structures. They have the unique processing capability to roll foils as thin as 2.5 microns while providing critical heat treatment maintaining competitive material properties. Once completed the product is coated if necessary and is slit to the application width.</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Flexible Magnets - </w:t>
      </w:r>
      <w:r>
        <w:rPr>
          <w:rFonts w:ascii="Arial" w:cs="Arial" w:eastAsia="Arial" w:hAnsi="Arial"/>
          <w:sz w:val="18"/>
          <w:szCs w:val="18"/>
          <w:color w:val="auto"/>
        </w:rPr>
        <w:t>Flexible magnet products span the range of applications from advertising (refrigerator magnets and displays) to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(needle counters) to sealing and holding applications (door gaskets). Other applications include Electromagnetic or Radio Frequency Shielding for high end electronics.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Customers and Distribution Channels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Permanent Magnets and Assemblies Group - </w:t>
      </w:r>
      <w:r>
        <w:rPr>
          <w:rFonts w:ascii="Arial" w:cs="Arial" w:eastAsia="Arial" w:hAnsi="Arial"/>
          <w:sz w:val="18"/>
          <w:szCs w:val="18"/>
          <w:color w:val="auto"/>
        </w:rPr>
        <w:t>Arnold’s PMAG is a leading global manufacturer of precision magnetic assemblies and high-performance magnets. The group’s products include tight tolerance assemblies consisting of many dozens of components and employing RECOMA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SmCo, Neo, and AlNiCo magnets. These products are sold to a wide range of industries including aerospace and defense, motorsport/ transportation, oil and gas, medical, general industrial, energy and semiconductors. Arnold has established a reputation in the magnetic industry as the engineering solutions provider, assisting customers to ensure their critical assemblies meet expectations. PMAG is Arnold’s largest business unit representing greater than 50 - 60% of Arnold sales on an annualized basis with a global footprint including manufacturing facilities in the U.S., U.K., Switzerland, and China.</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Electric Motors - </w:t>
      </w:r>
      <w:r>
        <w:rPr>
          <w:rFonts w:ascii="Arial" w:cs="Arial" w:eastAsia="Arial" w:hAnsi="Arial"/>
          <w:sz w:val="18"/>
          <w:szCs w:val="18"/>
          <w:color w:val="auto"/>
        </w:rPr>
        <w:t>Arnold manufactures electric motors and related components for use in industrial, military, and aerospace applications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is typically approximately 20 - 25% of Arnold sales on an annualized basis. Arnold's Electric Motor division is a trusted partner, supplying high-quality, electrical components and assemblies to many well-known brands in the industrial and aerospace industries. Arnold's competent, trained staff are committed to engineering solutions together with its customers and ensuring their satisfaction. Applications for electric motors span all industries. Arnold is a trusted supplier for technologies such as hybrid and electric transportation motors, aerospace and defense power generation, HVAC fan motors, marine propulsions and stabilization technologies, vertical lift motors and many others.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Precision Thin Metals - </w:t>
      </w:r>
      <w:r>
        <w:rPr>
          <w:rFonts w:ascii="Arial" w:cs="Arial" w:eastAsia="Arial" w:hAnsi="Arial"/>
          <w:sz w:val="18"/>
          <w:szCs w:val="18"/>
          <w:color w:val="auto"/>
        </w:rPr>
        <w:t>Arnold’s Precision Thin Metals group manufactures precision thin strip and foil products from an array of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and typically represents approximately 5 - 10% of Arnold sales on an annualized basis. The Precision Thin Metals group serves the aerospace and defense, power transmission, alternative energy (hybrids, wind, battery, solar), medical, security, and general industrial end-markets. Precision Thin Metals has developed unique processing capabilities that allow it to produce foils and strip with precision and quality that are unmatched in the industry (down to 1/10th thickness of a human hair). In addition, the group’s facility is capable of increasing production from current levels with its existing equipment and is, we believe, well-positioned to realize future growth. Precision thin metals are used in electrical steels for hybrid propulsion systems, electric motors, and micro turbines, electromagnetic and radio frequency shielding, batteries and military countermeasures, as well as other applications.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Flexmag - </w:t>
      </w:r>
      <w:r>
        <w:rPr>
          <w:rFonts w:ascii="Arial" w:cs="Arial" w:eastAsia="Arial" w:hAnsi="Arial"/>
          <w:sz w:val="18"/>
          <w:szCs w:val="18"/>
          <w:color w:val="auto"/>
        </w:rPr>
        <w:t>Arnold is one of two North American manufacturers of flexible rubber magnets for specialty advertising, industrial, medical, and</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reprographic applications. Flexmag typically represents approximately 10% of Arnold sales on an annualized basis. It primarily sells its products to specialty advertisers and original equipment manufacturers. With highly automated manufacturing processes, Flexmag can accommodate customers required short lead times. Flexmag benefits from a loyal customer base and significant barriers to entry in the industry. Flexmag’s success is driven by superior customer service, and proprietary formulations offering enhanced product performance.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Existing End-Markets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Aerospace and Defense - In the aerospace and defense sector, Arnold is selling electric motor components, magnets, magnetic assemblies and ultra-thin foil solutions. Specifically, in the aerospace industry, Arnold’s assemblies have been designed into products, which enables Arnold to benefit from the market growth and a healthy flow of business based on current airframe orders. Through its OEM customers, many new commercial aircraft placed in service contain assemblies produced by Arnold. Arnold’s sales to large aerospace and defense manufacturers includes magnetic assemblies used in applications such as motors and generators, actuators, trigger mechanisms, and guidance systems, as well as magnets for these and other uses. In addition, it sells its ultra-thin foil for use in military countermeasures, lightweight structures, brazing alloys, and motor laminations.</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General Industrial - Within the industrial sector, Arnold provides electric motors, magnet assemblies as well as magnets for custom made motor systems. These include stepper motors, pick and place robotic systems, and new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designs that are increasingly being required by regulation to meet energy efficiency standards. An example is a motor utilizing Arnold’s</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bonded magnets for use in commercial refrigeration systems. Arnold also produces magnetic couplings for seal-less pumps used in chemical and oil &amp; gas applications that allow chemical companies to meet environmental requirements.</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Motorsport / Transportation - Arnold produces high performance motor components and sub-assemblies for motorsport and transportation applications, such as the Kinetic Energy Recovery System, which includes a composite sleeved RECOMA® SmCo magnet rotor for a high speed, high power system and Electric Turbo Chargers that operate at greater than 100,000 RPM. Further emerging magnetic applications</w:t>
      </w:r>
    </w:p>
    <w:p>
      <w:pPr>
        <w:jc w:val="both"/>
        <w:spacing w:after="0" w:line="287" w:lineRule="auto"/>
        <w:rPr>
          <w:sz w:val="20"/>
          <w:szCs w:val="20"/>
          <w:color w:val="auto"/>
        </w:rPr>
      </w:pPr>
      <w:r>
        <w:rPr>
          <w:rFonts w:ascii="Arial" w:cs="Arial" w:eastAsia="Arial" w:hAnsi="Arial"/>
          <w:sz w:val="18"/>
          <w:szCs w:val="18"/>
          <w:color w:val="auto"/>
        </w:rPr>
        <w:t>include electric traction drives, regenerative braking systems, starter generators, and electric turbo charging. As much of this technology utilizes magnetic systems, Arnold expects to benefit from this trend.</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end markets - Arnold provides magnets and precision assemblies for use in oil and gas exploration and production, and magnetic assemblies, magnets, flexible magnets, and ultrathin foils in the medical sector. Arnold’s Precision Thin Metals group supplies grain-oriented silicon steel produced with proprietary methods for use in transformers and inductors. These cores allow for the production of very efficient transformers and inductors while minimizing size.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 and Distribution Channels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Arnold’s focus on customer service and product quality has resulted in a broad base of customers in a variety of end markets. The following table sets forth management’s estimate of Arnold’s approximate customer breakdown by industry sector for the fiscal years ended December 31, 2024, 2023 and 2022:</w:t>
      </w:r>
    </w:p>
    <w:p>
      <w:pPr>
        <w:spacing w:after="0" w:line="108" w:lineRule="exact"/>
        <w:rPr>
          <w:sz w:val="20"/>
          <w:szCs w:val="20"/>
          <w:color w:val="auto"/>
        </w:rPr>
      </w:pPr>
    </w:p>
    <w:tbl>
      <w:tblPr>
        <w:tblLayout w:type="fixed"/>
        <w:tblInd w:w="76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3320" w:type="dxa"/>
            <w:vAlign w:val="bottom"/>
            <w:tcBorders>
              <w:bottom w:val="single" w:sz="8" w:color="auto"/>
            </w:tcBorders>
            <w:gridSpan w:val="5"/>
          </w:tcPr>
          <w:p>
            <w:pPr>
              <w:ind w:left="1380"/>
              <w:spacing w:after="0"/>
              <w:rPr>
                <w:sz w:val="20"/>
                <w:szCs w:val="20"/>
                <w:color w:val="auto"/>
              </w:rPr>
            </w:pPr>
            <w:r>
              <w:rPr>
                <w:rFonts w:ascii="Arial" w:cs="Arial" w:eastAsia="Arial" w:hAnsi="Arial"/>
                <w:sz w:val="16"/>
                <w:szCs w:val="16"/>
                <w:b w:val="1"/>
                <w:bCs w:val="1"/>
                <w:color w:val="auto"/>
              </w:rPr>
              <w:t>Customer Distribution</w:t>
            </w:r>
          </w:p>
        </w:tc>
        <w:tc>
          <w:tcPr>
            <w:tcW w:w="1120" w:type="dxa"/>
            <w:vAlign w:val="bottom"/>
            <w:tcBorders>
              <w:bottom w:val="single" w:sz="8" w:color="auto"/>
            </w:tcBorders>
          </w:tcPr>
          <w:p>
            <w:pPr>
              <w:spacing w:after="0"/>
              <w:rPr>
                <w:sz w:val="18"/>
                <w:szCs w:val="18"/>
                <w:color w:val="auto"/>
              </w:rPr>
            </w:pPr>
          </w:p>
        </w:tc>
      </w:tr>
      <w:tr>
        <w:trPr>
          <w:trHeight w:val="209"/>
        </w:trPr>
        <w:tc>
          <w:tcPr>
            <w:tcW w:w="52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Industry Sector</w:t>
            </w: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Aerospace and Defense</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15"/>
        </w:trPr>
        <w:tc>
          <w:tcPr>
            <w:tcW w:w="5220" w:type="dxa"/>
            <w:vAlign w:val="bottom"/>
          </w:tcPr>
          <w:p>
            <w:pPr>
              <w:spacing w:after="0"/>
              <w:rPr>
                <w:sz w:val="20"/>
                <w:szCs w:val="20"/>
                <w:color w:val="auto"/>
              </w:rPr>
            </w:pPr>
            <w:r>
              <w:rPr>
                <w:rFonts w:ascii="Arial" w:cs="Arial" w:eastAsia="Arial" w:hAnsi="Arial"/>
                <w:sz w:val="16"/>
                <w:szCs w:val="16"/>
                <w:color w:val="auto"/>
              </w:rPr>
              <w:t>General Industrial</w:t>
            </w:r>
          </w:p>
        </w:tc>
        <w:tc>
          <w:tcPr>
            <w:tcW w:w="142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Motorsport/ transportation</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5"/>
        </w:trPr>
        <w:tc>
          <w:tcPr>
            <w:tcW w:w="5220" w:type="dxa"/>
            <w:vAlign w:val="bottom"/>
          </w:tcPr>
          <w:p>
            <w:pPr>
              <w:spacing w:after="0"/>
              <w:rPr>
                <w:sz w:val="20"/>
                <w:szCs w:val="20"/>
                <w:color w:val="auto"/>
              </w:rPr>
            </w:pPr>
            <w:r>
              <w:rPr>
                <w:rFonts w:ascii="Arial" w:cs="Arial" w:eastAsia="Arial" w:hAnsi="Arial"/>
                <w:sz w:val="16"/>
                <w:szCs w:val="16"/>
                <w:color w:val="auto"/>
              </w:rPr>
              <w:t>Oil and Gas</w:t>
            </w:r>
          </w:p>
        </w:tc>
        <w:tc>
          <w:tcPr>
            <w:tcW w:w="142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7"/>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Advertising specialties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15"/>
        </w:trPr>
        <w:tc>
          <w:tcPr>
            <w:tcW w:w="5220" w:type="dxa"/>
            <w:vAlign w:val="bottom"/>
          </w:tcPr>
          <w:p>
            <w:pPr>
              <w:spacing w:after="0"/>
              <w:rPr>
                <w:sz w:val="20"/>
                <w:szCs w:val="20"/>
                <w:color w:val="auto"/>
              </w:rPr>
            </w:pPr>
            <w:r>
              <w:rPr>
                <w:rFonts w:ascii="Arial" w:cs="Arial" w:eastAsia="Arial" w:hAnsi="Arial"/>
                <w:sz w:val="16"/>
                <w:szCs w:val="16"/>
                <w:color w:val="auto"/>
              </w:rPr>
              <w:t>Energy</w:t>
            </w:r>
          </w:p>
        </w:tc>
        <w:tc>
          <w:tcPr>
            <w:tcW w:w="142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7"/>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Medical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5"/>
        </w:trPr>
        <w:tc>
          <w:tcPr>
            <w:tcW w:w="5220" w:type="dxa"/>
            <w:vAlign w:val="bottom"/>
          </w:tcPr>
          <w:p>
            <w:pPr>
              <w:spacing w:after="0"/>
              <w:rPr>
                <w:sz w:val="20"/>
                <w:szCs w:val="20"/>
                <w:color w:val="auto"/>
              </w:rPr>
            </w:pPr>
            <w:r>
              <w:rPr>
                <w:rFonts w:ascii="Arial" w:cs="Arial" w:eastAsia="Arial" w:hAnsi="Arial"/>
                <w:sz w:val="16"/>
                <w:szCs w:val="16"/>
                <w:color w:val="auto"/>
              </w:rPr>
              <w:t>Reprographic</w:t>
            </w:r>
          </w:p>
        </w:tc>
        <w:tc>
          <w:tcPr>
            <w:tcW w:w="14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All Other Sectors Combined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10"/>
        </w:trPr>
        <w:tc>
          <w:tcPr>
            <w:tcW w:w="52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Arnold has a large and diverse, blue-chip customer base. Sales to Arnold’s top ten customers were 30% for the year ended December 31, 2024, 29% for the year ended December 31, 2023, and 27% of total sales for the year ended December 31, 2022. In 2024, 2023 and 2022, no individual customer represented more than 10% of Arnold's 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Arnold had firm backlog orders totaling approximately $80.3 million and $83.4 million, respectively, at December 31, 2024 and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Strategies and Competitive Strengths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Strategies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Engineering and Product Development - </w:t>
      </w:r>
      <w:r>
        <w:rPr>
          <w:rFonts w:ascii="Arial" w:cs="Arial" w:eastAsia="Arial" w:hAnsi="Arial"/>
          <w:sz w:val="18"/>
          <w:szCs w:val="18"/>
          <w:color w:val="auto"/>
        </w:rPr>
        <w:t>Arnold’s engineers work closely with the customer to provide system solutions, representing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competitive advantage. Arnold’s engineering expertise is leveraged with state-of-the-art technology across the various business units located in North America, Europe and Asia Pacific. Arnold’s engineers work with customers on a global basis to optimize designs, guide material choices, and create magnetic models resulting in Arnold’s products being specified into customer designs.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Arnold continues to be an industry leader with regard to new product formulations and innovations. As evidence of this, Arnold currently relies on a deep portfolio of “trade secrets” and proprietary intellectual property. Arnold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0" w:name="page51"/>
    <w:bookmarkEnd w:id="50"/>
    <w:p>
      <w:pPr>
        <w:ind w:right="20"/>
        <w:spacing w:after="0" w:line="287" w:lineRule="auto"/>
        <w:rPr>
          <w:sz w:val="20"/>
          <w:szCs w:val="20"/>
          <w:color w:val="auto"/>
        </w:rPr>
      </w:pPr>
      <w:r>
        <w:rPr>
          <w:rFonts w:ascii="Arial" w:cs="Arial" w:eastAsia="Arial" w:hAnsi="Arial"/>
          <w:sz w:val="18"/>
          <w:szCs w:val="18"/>
          <w:color w:val="auto"/>
        </w:rPr>
        <w:t>continuously endeavors to introduce electromagnetic solutions that exceed the performance of current offerings and meet customer design specifications.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Growth in Arnold’s business is primarily focused in three areas:</w:t>
      </w:r>
    </w:p>
    <w:p>
      <w:pPr>
        <w:spacing w:after="0" w:line="158" w:lineRule="exact"/>
        <w:rPr>
          <w:sz w:val="20"/>
          <w:szCs w:val="20"/>
          <w:color w:val="auto"/>
        </w:rPr>
      </w:pPr>
    </w:p>
    <w:p>
      <w:pPr>
        <w:ind w:left="660" w:hanging="328"/>
        <w:spacing w:after="0" w:line="237"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Growing market share in existing end-markets and geographies, with a focus on aerospace and defense, niche industrial systems, and oil and gas;</w:t>
      </w:r>
    </w:p>
    <w:p>
      <w:pPr>
        <w:spacing w:after="0" w:line="58"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Vertical integration through new products and technologies; and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Completing opportunistic acquisitions and partnerships to reduce product introduction and market penetration time.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Landscape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specialty magnetic systems industry is highly fragmented, creating a competitive landscape with a variety of magnetic component manufacturers. However, few have the breadth of capabilities that Arnold possesses. Manufacturers compete on the basis of technical innovation, co-development capabilities, time-to-market, quality, geographic reach and total cost of ownership. Industry competitors relevant to Arnold’s served markets range from large multinational manufacturers to small, regional participants. Given these dynamics, we believe the industry will likely favor players that are able to achieve vertical integration and a diversification of offerings across a breadth of products</w:t>
      </w:r>
    </w:p>
    <w:p>
      <w:pPr>
        <w:spacing w:after="0" w:line="4" w:lineRule="exact"/>
        <w:rPr>
          <w:sz w:val="20"/>
          <w:szCs w:val="20"/>
          <w:color w:val="auto"/>
        </w:rPr>
      </w:pPr>
    </w:p>
    <w:p>
      <w:pPr>
        <w:ind w:right="1640"/>
        <w:spacing w:after="0" w:line="399" w:lineRule="auto"/>
        <w:rPr>
          <w:sz w:val="20"/>
          <w:szCs w:val="20"/>
          <w:color w:val="auto"/>
        </w:rPr>
      </w:pPr>
      <w:r>
        <w:rPr>
          <w:rFonts w:ascii="Arial" w:cs="Arial" w:eastAsia="Arial" w:hAnsi="Arial"/>
          <w:sz w:val="18"/>
          <w:szCs w:val="18"/>
          <w:color w:val="auto"/>
        </w:rPr>
        <w:t xml:space="preserve">along with magnet engineering and design expertise. The focus will be engineering solutions together with its customers. </w:t>
      </w:r>
      <w:r>
        <w:rPr>
          <w:rFonts w:ascii="Arial" w:cs="Arial" w:eastAsia="Arial" w:hAnsi="Arial"/>
          <w:sz w:val="18"/>
          <w:szCs w:val="18"/>
          <w:u w:val="single" w:color="auto"/>
          <w:color w:val="auto"/>
        </w:rPr>
        <w:t>Barriers to Entry</w:t>
      </w:r>
    </w:p>
    <w:p>
      <w:pPr>
        <w:ind w:left="660" w:hanging="328"/>
        <w:spacing w:after="0" w:line="259" w:lineRule="auto"/>
        <w:tabs>
          <w:tab w:leader="none" w:pos="4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 Substitution Risk – Arnold’s solutions are typically specified into its customers’ program designs through a co-development and qualification process that often takes 6-18 months. Arnold’s customers are typically contractors and component manufacturers whose products are integrated into end-customers’ applications. The high cost of failure, relatively low proportionate cost of magnets to the final product, sometimes lengthy testing and qualification process, and substantial upfront co-engineering investment required, represent significant barriers to customers changing solution providers such as Arnold.</w:t>
      </w:r>
    </w:p>
    <w:p>
      <w:pPr>
        <w:spacing w:after="0" w:line="111" w:lineRule="exact"/>
        <w:rPr>
          <w:rFonts w:ascii="Arial" w:cs="Arial" w:eastAsia="Arial" w:hAnsi="Arial"/>
          <w:sz w:val="18"/>
          <w:szCs w:val="18"/>
          <w:color w:val="auto"/>
        </w:rPr>
      </w:pPr>
    </w:p>
    <w:p>
      <w:pPr>
        <w:ind w:left="660" w:hanging="328"/>
        <w:spacing w:after="0" w:line="259" w:lineRule="auto"/>
        <w:tabs>
          <w:tab w:leader="none" w:pos="4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Equipment and Processing – Arnold’s existing base of production equipment has a significant estimated replacement cost. A new entrant could require as much as 2-3 years of lead time to match the process performance requirements, customization of equipment and material formulations necessary to effectively compete in the specialty magnet industry. Further, given the program nature of a majority Arnold’s sales, management estimates that it could take 5-10 years to build a sufficient book of business and base of institutional knowledge to generate positive cash flow out of a new manufacturing plant.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 and Manufacturing</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Raw materials utilized by Arnold include neodymium, samarium, dysprosium, nickel and cobalt, stainless steel shafts, Inconel sleeves, adhesives, laminates, aluminum extrusions and binders. Although Arnold considers its relationships with vendors to be strong, Arnold’s management team also maintains a variety of alternative sources of comparable quality, quantity and price. The management team therefore believes that it is not dependent upon any single vendor to meet its sourcing needs. Arnold is generally able to pass through material costs to its customers and believes that in the event of significant price increases by vendors that it could pass the increases to its customers.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Arnold has a wide variety of manufacturing capabilities. For permanent magnets and assemblies our magnets are produced and fabricated utilizing personnel, skills, tools, and specific machinery to convert raw materials into finished magnet and then integration of those magnets and machines components into devices or sub-assemblies. Orders are all built to specific customer needs and distributed directly from our manufacturing facilities located worldwide.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Arnold has a core research and development team with extensive industry experience located at its Technology Center. In addition to the Technology Center, a large number of other Arnold staff members assigned to the business units contribute to the research and development effort at various stages. Product development also includes collaborating with customers and field testing. This feedback helps ensure products will meet Arnold’s demanding standards of excellence as well as the constantly changing needs of end users. Arnold’s research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jc w:val="both"/>
        <w:ind w:right="20"/>
        <w:spacing w:after="0" w:line="287" w:lineRule="auto"/>
        <w:rPr>
          <w:sz w:val="20"/>
          <w:szCs w:val="20"/>
          <w:color w:val="auto"/>
        </w:rPr>
      </w:pPr>
      <w:r>
        <w:rPr>
          <w:rFonts w:ascii="Arial" w:cs="Arial" w:eastAsia="Arial" w:hAnsi="Arial"/>
          <w:sz w:val="18"/>
          <w:szCs w:val="18"/>
          <w:color w:val="auto"/>
        </w:rPr>
        <w:t>development activities are supported by state-of-the-art engineering software design tools, integrated manufacturing facilities and a performance testing center equipped to ensure product safety, durability and superior performance.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Arnold currently relies on a deep portfolio of “trade secrets” and proprietary intellectual property. Arnold currently has 2 patents in force in the United States, 2 patent in force in Europe and 1 patent in force in Japan.</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Arnold currently has 40 trademarks, 12 of which are in the U.S. The most notable trademarked items are the following: “RECOMA”, “PLASTIFORM”, “FLEXMAG” &amp; “ARNOLD”. Application dates for various trademarks date back to as early as 1960.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Arnold’s domestic manufacturing and assembly operations and its facilities are subject to evolving Federal, state and local environmental and occupational health and safety laws and regulations. These include laws and regulations governing air emissions, wastewater discharge and the storage and handling of chemicals and hazardous substances. Arnold’s foreign manufacturing and assembly operations are also subject to local environmental and occupational health and safety laws and regulations. New requirements, more stringent application of existing requirements, or discovery of previously unknown environmental conditions could result in material environmental expenditures in the future.</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Arnold is a major producer of both Samarium Cobalt permanent magnets under its brand name RECOMA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Alnico (in both cast and sintered forms). Both materials from Arnold meet the current Berry Amendment or Defense Federal Acquisition Regulations Systems (DFARS) requirements per clause 252.225.7014 further described under 10 U.S.C. 2533b. This provision covers the protection of strategic materials critical to national security. These magnet types are considered “specialty metals” under these regulations.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Arnold is led by a capable management team of industry veterans that possess a balanced combination of industry experience and operational expertise. Arnold employed approximately 798 hourly and salaried employees located throughout North America, Europe and Asia at December 31, 2024. Arnold’s employees are compensated at levels commensurate with industry standards, based on their respective position and job grade.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Arnold’s workforce is non-union except for approximately 61 hourly employees at its Marengo, Illinois facilities, which are represented by the International Association of Machinists (IAM). Arnold enjoys good labor relations with its employees and union and has a three-year contract in place with the IAM, which will expire in June 2025.</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Sterno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Sterno, headquartered in Plano, Texas, is the parent company of Sterno Products, LLC ("Sterno Products") and Rimports, LLC ("Rimports").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Sterno operates via two product divisions:</w:t>
      </w:r>
    </w:p>
    <w:p>
      <w:pPr>
        <w:spacing w:after="0" w:line="99" w:lineRule="exact"/>
        <w:rPr>
          <w:sz w:val="20"/>
          <w:szCs w:val="20"/>
          <w:color w:val="auto"/>
        </w:rPr>
      </w:pPr>
    </w:p>
    <w:p>
      <w:pPr>
        <w:jc w:val="both"/>
        <w:ind w:left="660" w:hanging="328"/>
        <w:spacing w:after="0" w:line="26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Sterno Products </w:t>
      </w:r>
      <w:r>
        <w:rPr>
          <w:rFonts w:ascii="Arial" w:cs="Arial" w:eastAsia="Arial" w:hAnsi="Arial"/>
          <w:sz w:val="18"/>
          <w:szCs w:val="18"/>
          <w:color w:val="auto"/>
        </w:rPr>
        <w:t>- Sterno Products offers a broad range of wick and gel chafing fuels, liquid and traditional wax candles, butane</w:t>
      </w:r>
      <w:r>
        <w:rPr>
          <w:rFonts w:ascii="Arial" w:cs="Arial" w:eastAsia="Arial" w:hAnsi="Arial"/>
          <w:sz w:val="18"/>
          <w:szCs w:val="18"/>
          <w:b w:val="1"/>
          <w:bCs w:val="1"/>
          <w:color w:val="auto"/>
        </w:rPr>
        <w:t xml:space="preserve"> </w:t>
      </w:r>
      <w:r>
        <w:rPr>
          <w:rFonts w:ascii="Arial" w:cs="Arial" w:eastAsia="Arial" w:hAnsi="Arial"/>
          <w:sz w:val="18"/>
          <w:szCs w:val="18"/>
          <w:color w:val="auto"/>
        </w:rPr>
        <w:t>stoves and accessories, and catering equipment and lamps for restaurants, hotel and home entertainment uses, selling both Sterno brand and private label. As a leading supplier of canned heat to foodservice distributors and foodservice group purchasing organizations, Sterno is always pursuing end-user solutions and innovations to strengthen its position in the marketplace.</w:t>
      </w:r>
    </w:p>
    <w:p>
      <w:pPr>
        <w:spacing w:after="0" w:line="68"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Rimports </w:t>
      </w:r>
      <w:r>
        <w:rPr>
          <w:rFonts w:ascii="Arial" w:cs="Arial" w:eastAsia="Arial" w:hAnsi="Arial"/>
          <w:sz w:val="18"/>
          <w:szCs w:val="18"/>
          <w:color w:val="auto"/>
        </w:rPr>
        <w:t>- Rimports is a manufacturer and distributor of branded and private label wickless candle products used for home decor</w:t>
      </w:r>
      <w:r>
        <w:rPr>
          <w:rFonts w:ascii="Arial" w:cs="Arial" w:eastAsia="Arial" w:hAnsi="Arial"/>
          <w:sz w:val="18"/>
          <w:szCs w:val="18"/>
          <w:b w:val="1"/>
          <w:bCs w:val="1"/>
          <w:color w:val="auto"/>
        </w:rPr>
        <w:t xml:space="preserve"> </w:t>
      </w:r>
      <w:r>
        <w:rPr>
          <w:rFonts w:ascii="Arial" w:cs="Arial" w:eastAsia="Arial" w:hAnsi="Arial"/>
          <w:sz w:val="18"/>
          <w:szCs w:val="18"/>
          <w:color w:val="auto"/>
        </w:rPr>
        <w:t>and fragrance systems under the ScentSationals, AmbiEscents, Oak &amp; Rye, Fusion and Ador brands. The company offers unique lines of wickless candle products including ceramic wax warmers, scented wax cubes, fragrance oils, essential oils, and diffusers. Rimports also sells flameless candles, lanterns, and outdoor lighting. Sterno acquired Rimports in February 2018. During the first quarter of 2022, Sterno completed the product lines integration of Sterno Home Inc. (“Sterno Home”) with Rimports to leverage the capabilities of Rimports’ operations for profitability and growth. Previously, Sterno Home was a separate product division of Sterno whose product offerings include flameless candles, traditional house and garden lighting including path lights, spotlights, and security lights.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History of Sterno</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Sterno’s history dates back to 1893 when S. Sternau &amp; Co. began making chafing dishes and coffee percolators in Tenafly, New Jersey. In 1914, S. Sternau &amp; Co. introduced “canned heat” with the launch of its gelled ethanol product under the “Sterno” brand. Since then, the Sternau and Sterno names have been the most well-known names in portable food warming fuel. In 1917, S. Sternau &amp; Co. was renamed</w:t>
      </w:r>
    </w:p>
    <w:p>
      <w:pPr>
        <w:spacing w:after="0"/>
        <w:rPr>
          <w:sz w:val="20"/>
          <w:szCs w:val="20"/>
          <w:color w:val="auto"/>
        </w:rPr>
      </w:pPr>
      <w:r>
        <w:rPr>
          <w:rFonts w:ascii="Arial" w:cs="Arial" w:eastAsia="Arial" w:hAnsi="Arial"/>
          <w:sz w:val="18"/>
          <w:szCs w:val="18"/>
          <w:color w:val="auto"/>
        </w:rPr>
        <w:t>The Sterno Corporation. During World War I, Sterno portable stoves were promoted as an essential gift for soldiers going to fight in the</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trenches of Europe. Sterno stoves heated water and rations, sterilized surgical instruments, and provided light and warmth in bunkers and foxholes. During World War II, Sterno produced ethanol and methanol chafing fuels under contract with the U.S. military. In 2012, Sterno merged with the Candle Lamp Company LLC, a supplier of chafing fuel in addition to lighting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2016, Sterno expanded their product offering with the acquisition of Northern International Inc. ("Sterno Home"). The success in the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outdoor lighting of an innovative use of LED technology evolved into the development of patented flameless candle product line. In February 2018, Sterno acquired Rimports, a manufacturer and distributor of branded and private label wickless candle products used for home decor and fragrance systems. Rimports offers unique lines of wickless candle products including ceramic wax warmers, scented wax cubes and essential oil and diffusers. In 2022, the combination of Sterno Home and Rimports created opportunities for cost savings and strong business synergies.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Today, Sterno operates out of its corporate headquarters in Plano, Texas, two manufacturing facilities in Texarkana, Texas and Memphis, Tennessee, and the Rimports facility in Provo, Utah.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purchased Sterno on October 10, 2014.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Sterno Products competes in the broadly defined U.S. foodservice industry where historically restaurant, catering and hospitality sales have accounted for a majority of the market with the remainder comprised of retail, travel and leisure, education and healthcare related sales. The Sterno Products product offerings focus on safe, portable fire solutions for cooking and warming, as well as tabletop lighting décor.</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Rimports operates in the broad North American and United Kingdom home decor space (retail) which is heavily correlated to general consumer spending. Flameless and reusable wax products have seen increased adoption by younger consumers who prioritize economical</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environmentally friendly products. Within the home decor space, Rimports competes in the U.S. candle space and the U.S. home fragrance space, and, with the integration of Sterno Home, has added the flameless candles, lanterns and outdoor lighting industry. Management believes that a rise in demand from households and businesses will bolster growth, with consumers spending more money on beautifying their indoor and outdoor home, changing out trendy accent items more frequently and investing in more spacious and comfortable outdoor spaces with many equivalent amenities of their indoor spaces.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Sterno is a “full-line” supplier offering a broad array of portable chafing fuels, table lighting, outdoor lighting products, wickless candles and fragrance products with approximately 4000 SKUs serving the foodservice and retail markets. Sterno originally focused on chafing fuel (“canned heat”) products and later expanded its offerings to include table ambiance products such as liquid wax, wax candles and votive lamps, as well as outdoor lighting with the acquisition of Sterno Home in 2016, and wax cubes and warmer products through its acquisition of</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Rimports. Sterno’s products fall into six major categories: canned heat, catering equipment and butane products, table lighting, flameless candles and outdoor lighting, wickless candle and fragrance products.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Customers and Distribution Channels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Products</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Canned Heat - </w:t>
      </w:r>
      <w:r>
        <w:rPr>
          <w:rFonts w:ascii="Arial" w:cs="Arial" w:eastAsia="Arial" w:hAnsi="Arial"/>
          <w:sz w:val="18"/>
          <w:szCs w:val="18"/>
          <w:color w:val="auto"/>
        </w:rPr>
        <w:t>The canned heat product line is composed of various chafing fuels packaged in small, portable cans. The portable warming</w:t>
      </w:r>
      <w:r>
        <w:rPr>
          <w:rFonts w:ascii="Arial" w:cs="Arial" w:eastAsia="Arial" w:hAnsi="Arial"/>
          <w:sz w:val="18"/>
          <w:szCs w:val="18"/>
          <w:b w:val="1"/>
          <w:bCs w:val="1"/>
          <w:color w:val="auto"/>
        </w:rPr>
        <w:t xml:space="preserve"> </w:t>
      </w:r>
      <w:r>
        <w:rPr>
          <w:rFonts w:ascii="Arial" w:cs="Arial" w:eastAsia="Arial" w:hAnsi="Arial"/>
          <w:sz w:val="18"/>
          <w:szCs w:val="18"/>
          <w:color w:val="auto"/>
        </w:rPr>
        <w:t>(canned heat) line is composed of wick-based and gel-based chafing fuels packaged in steel cans. These products are used by foodservice professionals in a variety of food serving and holding applications and are designed to keep food products at an optimal food-safe serving</w:t>
      </w:r>
    </w:p>
    <w:p>
      <w:pPr>
        <w:jc w:val="both"/>
        <w:ind w:right="20"/>
        <w:spacing w:after="0" w:line="287" w:lineRule="auto"/>
        <w:rPr>
          <w:sz w:val="20"/>
          <w:szCs w:val="20"/>
          <w:color w:val="auto"/>
        </w:rPr>
      </w:pPr>
      <w:r>
        <w:rPr>
          <w:rFonts w:ascii="Arial" w:cs="Arial" w:eastAsia="Arial" w:hAnsi="Arial"/>
          <w:sz w:val="18"/>
          <w:szCs w:val="18"/>
          <w:color w:val="auto"/>
        </w:rPr>
        <w:t>temperature of 140-165 Fahrenheit. The canned heat product line is composed of two subcategories: wick chafing fuel and gel chafing fuel. The subcategories are distinguished based on the type of chafing fuel being used; the four primary chafing fuels are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53" w:name="page54"/>
    <w:bookmarkEnd w:id="53"/>
    <w:p>
      <w:pPr>
        <w:jc w:val="both"/>
        <w:spacing w:after="0" w:line="287" w:lineRule="auto"/>
        <w:rPr>
          <w:sz w:val="20"/>
          <w:szCs w:val="20"/>
          <w:color w:val="auto"/>
        </w:rPr>
      </w:pPr>
      <w:r>
        <w:rPr>
          <w:rFonts w:ascii="Arial" w:cs="Arial" w:eastAsia="Arial" w:hAnsi="Arial"/>
          <w:sz w:val="18"/>
          <w:szCs w:val="18"/>
          <w:color w:val="auto"/>
        </w:rPr>
        <w:t>diethylene glycol (“DEG”), propylene glycol, ethanol and methanol. Each fuel contains unique characteristics and properties that allow the Company to offer a broad array of configurations to suit varying user requirements.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an environmentally preferred chafing fuel, the Company offers a patented line of “Green” chafing fuels featuring USDA Certified Biobased Product formulas. The “Green Heat” and “Green Wick” products perform similar to the Wick and Gel chafing fuels, but are made from renewable resources that are more environmentally friendly.</w:t>
      </w:r>
    </w:p>
    <w:p>
      <w:pPr>
        <w:spacing w:after="0" w:line="117" w:lineRule="exact"/>
        <w:rPr>
          <w:sz w:val="20"/>
          <w:szCs w:val="20"/>
          <w:color w:val="auto"/>
        </w:rPr>
      </w:pPr>
    </w:p>
    <w:p>
      <w:pPr>
        <w:jc w:val="both"/>
        <w:spacing w:after="0" w:line="334" w:lineRule="auto"/>
        <w:rPr>
          <w:sz w:val="20"/>
          <w:szCs w:val="20"/>
          <w:color w:val="auto"/>
        </w:rPr>
      </w:pPr>
      <w:r>
        <w:rPr>
          <w:rFonts w:ascii="Arial" w:cs="Arial" w:eastAsia="Arial" w:hAnsi="Arial"/>
          <w:sz w:val="18"/>
          <w:szCs w:val="18"/>
          <w:b w:val="1"/>
          <w:bCs w:val="1"/>
          <w:color w:val="auto"/>
        </w:rPr>
        <w:t xml:space="preserve">Catering Equipment - </w:t>
      </w:r>
      <w:r>
        <w:rPr>
          <w:rFonts w:ascii="Arial" w:cs="Arial" w:eastAsia="Arial" w:hAnsi="Arial"/>
          <w:sz w:val="18"/>
          <w:szCs w:val="18"/>
          <w:color w:val="auto"/>
        </w:rPr>
        <w:t>Catering equipment products are designed to provide a complete commercial catering solution whether indoor or</w:t>
      </w:r>
      <w:r>
        <w:rPr>
          <w:rFonts w:ascii="Arial" w:cs="Arial" w:eastAsia="Arial" w:hAnsi="Arial"/>
          <w:sz w:val="18"/>
          <w:szCs w:val="18"/>
          <w:b w:val="1"/>
          <w:bCs w:val="1"/>
          <w:color w:val="auto"/>
        </w:rPr>
        <w:t xml:space="preserve"> </w:t>
      </w:r>
      <w:r>
        <w:rPr>
          <w:rFonts w:ascii="Arial" w:cs="Arial" w:eastAsia="Arial" w:hAnsi="Arial"/>
          <w:sz w:val="18"/>
          <w:szCs w:val="18"/>
          <w:color w:val="auto"/>
        </w:rPr>
        <w:t>outdoor. Products include chafing dish frames and lids, wind guards and buffet sets.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Butane - </w:t>
      </w:r>
      <w:r>
        <w:rPr>
          <w:rFonts w:ascii="Arial" w:cs="Arial" w:eastAsia="Arial" w:hAnsi="Arial"/>
          <w:sz w:val="18"/>
          <w:szCs w:val="18"/>
          <w:color w:val="auto"/>
        </w:rPr>
        <w:t>Sterno produces a full line of professional quality portable butane stoves, ideal for action stations, made-to-order omelet lines,</w:t>
      </w:r>
    </w:p>
    <w:p>
      <w:pPr>
        <w:spacing w:after="0" w:line="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tableside and off-site cooking, outdoor events and more. Products also include select butane accessories for special culinary applications such as the culinary torch. Sterno butane fuel comes with an additional safety feature called Countersink Release Vent (CRV) Technology.</w:t>
      </w:r>
    </w:p>
    <w:p>
      <w:pPr>
        <w:spacing w:after="0" w:line="9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b w:val="1"/>
          <w:bCs w:val="1"/>
          <w:color w:val="auto"/>
        </w:rPr>
        <w:t xml:space="preserve">Table Lighting - </w:t>
      </w:r>
      <w:r>
        <w:rPr>
          <w:rFonts w:ascii="Arial" w:cs="Arial" w:eastAsia="Arial" w:hAnsi="Arial"/>
          <w:sz w:val="18"/>
          <w:szCs w:val="18"/>
          <w:color w:val="auto"/>
        </w:rPr>
        <w:t>Sterno sells a variety of items designed to enhance lighting and ambiance at meal settings which are critical to a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Products include liquid wax, traditional hard wax and flameless electronic candles, as well as votive lamps, shaded lamps and accent lamps.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Flameless Candles and Outdoor Lighting - </w:t>
      </w:r>
      <w:r>
        <w:rPr>
          <w:rFonts w:ascii="Arial" w:cs="Arial" w:eastAsia="Arial" w:hAnsi="Arial"/>
          <w:sz w:val="18"/>
          <w:szCs w:val="18"/>
          <w:color w:val="auto"/>
        </w:rPr>
        <w:t>Sterno offers a wide selection of lighting for your home, garden, patio and yard with over 400</w:t>
      </w:r>
      <w:r>
        <w:rPr>
          <w:rFonts w:ascii="Arial" w:cs="Arial" w:eastAsia="Arial" w:hAnsi="Arial"/>
          <w:sz w:val="18"/>
          <w:szCs w:val="18"/>
          <w:b w:val="1"/>
          <w:bCs w:val="1"/>
          <w:color w:val="auto"/>
        </w:rPr>
        <w:t xml:space="preserve"> </w:t>
      </w:r>
      <w:r>
        <w:rPr>
          <w:rFonts w:ascii="Arial" w:cs="Arial" w:eastAsia="Arial" w:hAnsi="Arial"/>
          <w:sz w:val="18"/>
          <w:szCs w:val="18"/>
          <w:color w:val="auto"/>
        </w:rPr>
        <w:t>SKU's available in its retail markets. All of Sterno's products are powered by one of the following - 1) Solar - solar panel with rechargeable power source - usually a rechargeable battery; 2) Battery - battery operated; 3) Plug-in - plugs directly into a regular wall socket either with 2 or 3 prong plug and with or without included and attached transformer; 4) Low Voltage - part of a set which includes a stand-alone transformer. Fixtures connect through a stand-alone wire via clip connectors; 5) Line Voltage - hardwired into a home's electrical circuitry, or</w:t>
      </w:r>
    </w:p>
    <w:p>
      <w:pPr>
        <w:spacing w:after="0" w:line="3"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Rechargeable - product is recharged when empty usually through a plug-in wire and an onboard rechargeable power source.</w:t>
      </w:r>
    </w:p>
    <w:p>
      <w:pPr>
        <w:spacing w:after="0" w:line="15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Flameless Candles</w:t>
      </w:r>
      <w:r>
        <w:rPr>
          <w:rFonts w:ascii="Arial" w:cs="Arial" w:eastAsia="Arial" w:hAnsi="Arial"/>
          <w:sz w:val="18"/>
          <w:szCs w:val="18"/>
          <w:color w:val="auto"/>
        </w:rPr>
        <w:t xml:space="preserve"> - The flameless candle product line is made up of various types and sizes of candles with all of them sharing the one main attribute: their glow is powered by an artificial power source, most often battery. This makes them inherently safer than traditional candles as there is no flame or even heat generated to cause any type of accident. Although pillar type candles are the most common shape, Sterno also designs and manufactures votives, tealights, tapers as well as specialty molded candles. Sterno candles stand out from the competition as they offer a patented black wick with a unique algorithm-based light circuit which gives the candle a naturally random flicker and glow.</w:t>
      </w:r>
    </w:p>
    <w:p>
      <w:pPr>
        <w:spacing w:after="0" w:line="7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Landscape Lighting</w:t>
      </w:r>
      <w:r>
        <w:rPr>
          <w:rFonts w:ascii="Arial" w:cs="Arial" w:eastAsia="Arial" w:hAnsi="Arial"/>
          <w:sz w:val="18"/>
          <w:szCs w:val="18"/>
          <w:color w:val="auto"/>
        </w:rPr>
        <w:t xml:space="preserve"> - Landscape lighting is lighting that promotes and accentuates elements of a consumer’s home, yard or garden so its beauty can be enjoyed both in daytime and nighttime. Another benefit of landscape lighting is added safety as it is easier to navigate around a home at night when it is reasonably well-lit. Landscape lighting was originally most commonly powered through a low voltage setup but as solar technologies have rapidly developed, many of these fixtures can achieve their lighting purposes with only a solar panel for power generation.</w:t>
      </w:r>
    </w:p>
    <w:p>
      <w:pPr>
        <w:spacing w:after="0" w:line="125"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Décor Lighting</w:t>
      </w:r>
      <w:r>
        <w:rPr>
          <w:rFonts w:ascii="Arial" w:cs="Arial" w:eastAsia="Arial" w:hAnsi="Arial"/>
          <w:sz w:val="18"/>
          <w:szCs w:val="18"/>
          <w:color w:val="auto"/>
        </w:rPr>
        <w:t xml:space="preserve"> - Décor lighting has similar functions to landscape lighting but is usually less about safety and functionality and more about accenting an area of the outside home with ornamentation of some sort. With a décor piece, the light the piece gives off and the item itself together become elements of beauty in the setting. Because these items are very trend driven, consumers are more apt to switch them out more often therefore increasing repeat purchase potential and other recurrent sales opportunities for Sterno.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Wickless Candle and Fragrance Products</w:t>
      </w:r>
    </w:p>
    <w:p>
      <w:pPr>
        <w:spacing w:after="0" w:line="117" w:lineRule="exact"/>
        <w:rPr>
          <w:sz w:val="20"/>
          <w:szCs w:val="20"/>
          <w:color w:val="auto"/>
        </w:rPr>
      </w:pPr>
    </w:p>
    <w:p>
      <w:pPr>
        <w:jc w:val="both"/>
        <w:ind w:left="660" w:hanging="328"/>
        <w:spacing w:after="0" w:line="257" w:lineRule="auto"/>
        <w:tabs>
          <w:tab w:leader="none" w:pos="655"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Wax Warmers and Scented Wax Cubes</w:t>
      </w:r>
      <w:r>
        <w:rPr>
          <w:rFonts w:ascii="Arial" w:cs="Arial" w:eastAsia="Arial" w:hAnsi="Arial"/>
          <w:sz w:val="18"/>
          <w:szCs w:val="18"/>
          <w:color w:val="auto"/>
        </w:rPr>
        <w:t xml:space="preserve"> - The wax and wax warmer line is composed of a large variety of fragrance and warmer design choices for consumers. The wax cubes are long-lasting and consistently release strong fragrance. The scented wax cubes are at a price point whereby they are an impulse item, making it easy and quick for the customer to change fragrances. The flameless feature is a plus in that it is very safe. The proprietary formula and world-class fragrances add to the high quality of the domestically-made products. We believe ongoing research contributes to consumer loyalty, superior quality, and well-rounded fragrance programs. The wax warmers are made up of quality materials including wood, metal, ceramic, and glass.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jc w:val="both"/>
        <w:ind w:left="660" w:hanging="328"/>
        <w:spacing w:after="0" w:line="268"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Essential Oils and Diffusers</w:t>
      </w:r>
      <w:r>
        <w:rPr>
          <w:rFonts w:ascii="Arial" w:cs="Arial" w:eastAsia="Arial" w:hAnsi="Arial"/>
          <w:sz w:val="18"/>
          <w:szCs w:val="18"/>
          <w:color w:val="auto"/>
        </w:rPr>
        <w:t xml:space="preserve"> - The 100% Pure Essential Oil lines and brands consists of Peppermint, Lavender, Lemon, Eucalyptus, Sweet Orange, Grapefruit, Tea tree, Cinnamon, etc. Customers are attracted to high quality, 100 percent pure oil products with no additives or fillers. Attractively designed diffusers appeal to consumers in the Aromatherapy Home Fragrance section.</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ScentCharms</w:t>
      </w:r>
      <w:r>
        <w:rPr>
          <w:rFonts w:ascii="Arial" w:cs="Arial" w:eastAsia="Arial" w:hAnsi="Arial"/>
          <w:sz w:val="18"/>
          <w:szCs w:val="18"/>
          <w:color w:val="auto"/>
        </w:rPr>
        <w:t xml:space="preserve"> - With various interchangeable high-quality fragrance oils and plug-in designs, consumers enjoy a personalized experience. The product is designed to be no spill, no mess, clutter-free, and long-lasting.</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Aromatherapy Products</w:t>
      </w:r>
      <w:r>
        <w:rPr>
          <w:rFonts w:ascii="Arial" w:cs="Arial" w:eastAsia="Arial" w:hAnsi="Arial"/>
          <w:sz w:val="18"/>
          <w:szCs w:val="18"/>
          <w:color w:val="auto"/>
        </w:rPr>
        <w:t xml:space="preserve"> - The aromatherapy line consists of room sprays, liquid hand soaps, foaming hand soaps, hand sanitizers, body lotions, and body scrubs, etc. The five unique fragrance combinations - lavender and chamomile, eucalyptus and rosemary, orange and vanilla, lemon and grapefruit, and peppermint and geranium - are made with pure essential oils.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 and Distribution Channels</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Sterno's products are sold primarily through the food service and consumer retail channels. Sterno’s product distribution network is comprised of long-standing, entrenched relationships with a diversified set of customers. Sterno’s top ten customers comprised approximately 70%, 70%, and 71% of gross sales in the years ended December 31, 2024, 2023 and 2022, respectively.</w:t>
      </w:r>
    </w:p>
    <w:p>
      <w:pPr>
        <w:spacing w:after="0" w:line="63" w:lineRule="exact"/>
        <w:rPr>
          <w:sz w:val="20"/>
          <w:szCs w:val="20"/>
          <w:color w:val="auto"/>
        </w:rPr>
      </w:pPr>
    </w:p>
    <w:p>
      <w:pPr>
        <w:jc w:val="both"/>
        <w:ind w:left="660" w:hanging="328"/>
        <w:spacing w:after="0" w:line="268"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Foodservice - The foodservice channel consists of multiple layers of distribution comprised of broadline distributors, equipment and supply dealers and cash and carry dealers. Within the food service channel, Sterno’s products are predominantly used in the restaurant, lodging/hospitality and catering markets.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Retail - The retail channel consists of club stores, mass merchants, specialty retailers, grocers and national and regional DIY stores. The Company’s retail products are used in home, camping and emergency applications. The Company’s retail products appeal to a wide variety of consumers, from home entertainers to recreational campers and extreme outdoorsmen. Online retail sales are also an important channel for Sterno and Rimports. With an online dynamic, it is also much easier to showcase how Sterno’s and Rimports' products look in actual dark use conditions, directly addressing their primary merchandising challenge.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Sterno’s gross revenue by product for the fiscal years ended December 31, 2024, 2023 and 2022:</w:t>
      </w:r>
    </w:p>
    <w:p>
      <w:pPr>
        <w:spacing w:after="0" w:line="14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80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Year ended December 31,</w:t>
            </w:r>
          </w:p>
        </w:tc>
        <w:tc>
          <w:tcPr>
            <w:tcW w:w="1800" w:type="dxa"/>
            <w:vAlign w:val="bottom"/>
            <w:tcBorders>
              <w:top w:val="single" w:sz="8" w:color="auto"/>
              <w:bottom w:val="single" w:sz="8" w:color="auto"/>
            </w:tcBorders>
          </w:tcPr>
          <w:p>
            <w:pPr>
              <w:spacing w:after="0"/>
              <w:rPr>
                <w:sz w:val="18"/>
                <w:szCs w:val="18"/>
                <w:color w:val="auto"/>
              </w:rPr>
            </w:pPr>
          </w:p>
        </w:tc>
      </w:tr>
      <w:tr>
        <w:trPr>
          <w:trHeight w:val="196"/>
        </w:trPr>
        <w:tc>
          <w:tcPr>
            <w:tcW w:w="3440" w:type="dxa"/>
            <w:vAlign w:val="bottom"/>
          </w:tcPr>
          <w:p>
            <w:pPr>
              <w:ind w:left="20"/>
              <w:spacing w:after="0" w:line="196" w:lineRule="exact"/>
              <w:rPr>
                <w:sz w:val="20"/>
                <w:szCs w:val="20"/>
                <w:color w:val="auto"/>
              </w:rPr>
            </w:pPr>
            <w:r>
              <w:rPr>
                <w:rFonts w:ascii="Arial" w:cs="Arial" w:eastAsia="Arial" w:hAnsi="Arial"/>
                <w:sz w:val="15"/>
                <w:szCs w:val="15"/>
                <w:b w:val="1"/>
                <w:bCs w:val="1"/>
                <w:color w:val="auto"/>
              </w:rPr>
              <w:t xml:space="preserve">Gross sales by product </w:t>
            </w:r>
            <w:r>
              <w:rPr>
                <w:rFonts w:ascii="Arial" w:cs="Arial" w:eastAsia="Arial" w:hAnsi="Arial"/>
                <w:sz w:val="19"/>
                <w:szCs w:val="19"/>
                <w:b w:val="1"/>
                <w:bCs w:val="1"/>
                <w:color w:val="auto"/>
                <w:vertAlign w:val="superscript"/>
              </w:rPr>
              <w:t>(1)</w:t>
            </w:r>
          </w:p>
        </w:tc>
        <w:tc>
          <w:tcPr>
            <w:tcW w:w="1800" w:type="dxa"/>
            <w:vAlign w:val="bottom"/>
          </w:tcPr>
          <w:p>
            <w:pPr>
              <w:jc w:val="right"/>
              <w:ind w:right="664"/>
              <w:spacing w:after="0"/>
              <w:rPr>
                <w:sz w:val="20"/>
                <w:szCs w:val="20"/>
                <w:color w:val="auto"/>
              </w:rPr>
            </w:pPr>
            <w:r>
              <w:rPr>
                <w:rFonts w:ascii="Arial" w:cs="Arial" w:eastAsia="Arial" w:hAnsi="Arial"/>
                <w:sz w:val="15"/>
                <w:szCs w:val="15"/>
                <w:b w:val="1"/>
                <w:bCs w:val="1"/>
                <w:color w:val="auto"/>
              </w:rPr>
              <w:t>2024</w:t>
            </w:r>
          </w:p>
        </w:tc>
        <w:tc>
          <w:tcPr>
            <w:tcW w:w="2020" w:type="dxa"/>
            <w:vAlign w:val="bottom"/>
            <w:gridSpan w:val="2"/>
          </w:tcPr>
          <w:p>
            <w:pPr>
              <w:jc w:val="right"/>
              <w:ind w:right="644"/>
              <w:spacing w:after="0"/>
              <w:rPr>
                <w:sz w:val="20"/>
                <w:szCs w:val="20"/>
                <w:color w:val="auto"/>
              </w:rPr>
            </w:pPr>
            <w:r>
              <w:rPr>
                <w:rFonts w:ascii="Arial" w:cs="Arial" w:eastAsia="Arial" w:hAnsi="Arial"/>
                <w:sz w:val="15"/>
                <w:szCs w:val="15"/>
                <w:b w:val="1"/>
                <w:bCs w:val="1"/>
                <w:color w:val="auto"/>
              </w:rPr>
              <w:t>2023</w:t>
            </w:r>
          </w:p>
        </w:tc>
        <w:tc>
          <w:tcPr>
            <w:tcW w:w="260" w:type="dxa"/>
            <w:vAlign w:val="bottom"/>
          </w:tcPr>
          <w:p>
            <w:pPr>
              <w:spacing w:after="0"/>
              <w:rPr>
                <w:sz w:val="17"/>
                <w:szCs w:val="17"/>
                <w:color w:val="auto"/>
              </w:rPr>
            </w:pPr>
          </w:p>
        </w:tc>
        <w:tc>
          <w:tcPr>
            <w:tcW w:w="1800" w:type="dxa"/>
            <w:vAlign w:val="bottom"/>
          </w:tcPr>
          <w:p>
            <w:pPr>
              <w:jc w:val="right"/>
              <w:ind w:right="664"/>
              <w:spacing w:after="0"/>
              <w:rPr>
                <w:sz w:val="20"/>
                <w:szCs w:val="20"/>
                <w:color w:val="auto"/>
              </w:rPr>
            </w:pPr>
            <w:r>
              <w:rPr>
                <w:rFonts w:ascii="Arial" w:cs="Arial" w:eastAsia="Arial" w:hAnsi="Arial"/>
                <w:sz w:val="15"/>
                <w:szCs w:val="15"/>
                <w:b w:val="1"/>
                <w:bCs w:val="1"/>
                <w:color w:val="auto"/>
              </w:rPr>
              <w:t>2022</w:t>
            </w:r>
          </w:p>
        </w:tc>
      </w:tr>
      <w:tr>
        <w:trPr>
          <w:trHeight w:val="196"/>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Canned Heat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24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2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35 %</w:t>
            </w:r>
          </w:p>
        </w:tc>
      </w:tr>
      <w:tr>
        <w:trPr>
          <w:trHeight w:val="201"/>
        </w:trPr>
        <w:tc>
          <w:tcPr>
            <w:tcW w:w="3440" w:type="dxa"/>
            <w:vAlign w:val="bottom"/>
          </w:tcPr>
          <w:p>
            <w:pPr>
              <w:ind w:left="20"/>
              <w:spacing w:after="0"/>
              <w:rPr>
                <w:sz w:val="20"/>
                <w:szCs w:val="20"/>
                <w:color w:val="auto"/>
              </w:rPr>
            </w:pPr>
            <w:r>
              <w:rPr>
                <w:rFonts w:ascii="Arial" w:cs="Arial" w:eastAsia="Arial" w:hAnsi="Arial"/>
                <w:sz w:val="15"/>
                <w:szCs w:val="15"/>
                <w:color w:val="auto"/>
              </w:rPr>
              <w:t>Wickless Candle Products</w:t>
            </w:r>
          </w:p>
        </w:tc>
        <w:tc>
          <w:tcPr>
            <w:tcW w:w="1800" w:type="dxa"/>
            <w:vAlign w:val="bottom"/>
          </w:tcPr>
          <w:p>
            <w:pPr>
              <w:jc w:val="right"/>
              <w:spacing w:after="0"/>
              <w:rPr>
                <w:sz w:val="20"/>
                <w:szCs w:val="20"/>
                <w:color w:val="auto"/>
              </w:rPr>
            </w:pPr>
            <w:r>
              <w:rPr>
                <w:rFonts w:ascii="Arial" w:cs="Arial" w:eastAsia="Arial" w:hAnsi="Arial"/>
                <w:sz w:val="15"/>
                <w:szCs w:val="15"/>
                <w:color w:val="auto"/>
              </w:rPr>
              <w:t>28 %</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29 %</w:t>
            </w: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32 %</w:t>
            </w:r>
          </w:p>
        </w:tc>
      </w:tr>
      <w:tr>
        <w:trPr>
          <w:trHeight w:val="204"/>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Table Lighting</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5 %</w:t>
            </w:r>
          </w:p>
        </w:tc>
      </w:tr>
      <w:tr>
        <w:trPr>
          <w:trHeight w:val="201"/>
        </w:trPr>
        <w:tc>
          <w:tcPr>
            <w:tcW w:w="3440" w:type="dxa"/>
            <w:vAlign w:val="bottom"/>
          </w:tcPr>
          <w:p>
            <w:pPr>
              <w:ind w:left="20"/>
              <w:spacing w:after="0"/>
              <w:rPr>
                <w:sz w:val="20"/>
                <w:szCs w:val="20"/>
                <w:color w:val="auto"/>
              </w:rPr>
            </w:pPr>
            <w:r>
              <w:rPr>
                <w:rFonts w:ascii="Arial" w:cs="Arial" w:eastAsia="Arial" w:hAnsi="Arial"/>
                <w:sz w:val="15"/>
                <w:szCs w:val="15"/>
                <w:color w:val="auto"/>
              </w:rPr>
              <w:t>Flameless Candle and Outdoor Lighting</w:t>
            </w:r>
          </w:p>
        </w:tc>
        <w:tc>
          <w:tcPr>
            <w:tcW w:w="1800" w:type="dxa"/>
            <w:vAlign w:val="bottom"/>
          </w:tcPr>
          <w:p>
            <w:pPr>
              <w:jc w:val="right"/>
              <w:spacing w:after="0"/>
              <w:rPr>
                <w:sz w:val="20"/>
                <w:szCs w:val="20"/>
                <w:color w:val="auto"/>
              </w:rPr>
            </w:pPr>
            <w:r>
              <w:rPr>
                <w:rFonts w:ascii="Arial" w:cs="Arial" w:eastAsia="Arial" w:hAnsi="Arial"/>
                <w:sz w:val="15"/>
                <w:szCs w:val="15"/>
                <w:color w:val="auto"/>
              </w:rPr>
              <w:t>4 %</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4 %</w:t>
            </w: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6 %</w:t>
            </w:r>
          </w:p>
        </w:tc>
      </w:tr>
      <w:tr>
        <w:trPr>
          <w:trHeight w:val="204"/>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Diffusers and Essential Oils</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2 %</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4 %</w:t>
            </w: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5 %</w:t>
            </w:r>
          </w:p>
        </w:tc>
      </w:tr>
      <w:tr>
        <w:trPr>
          <w:trHeight w:val="201"/>
        </w:trPr>
        <w:tc>
          <w:tcPr>
            <w:tcW w:w="3440" w:type="dxa"/>
            <w:vAlign w:val="bottom"/>
          </w:tcPr>
          <w:p>
            <w:pPr>
              <w:ind w:left="20"/>
              <w:spacing w:after="0"/>
              <w:rPr>
                <w:sz w:val="20"/>
                <w:szCs w:val="20"/>
                <w:color w:val="auto"/>
              </w:rPr>
            </w:pPr>
            <w:r>
              <w:rPr>
                <w:rFonts w:ascii="Arial" w:cs="Arial" w:eastAsia="Arial" w:hAnsi="Arial"/>
                <w:sz w:val="15"/>
                <w:szCs w:val="15"/>
                <w:color w:val="auto"/>
              </w:rPr>
              <w:t>Other</w:t>
            </w:r>
          </w:p>
        </w:tc>
        <w:tc>
          <w:tcPr>
            <w:tcW w:w="1800" w:type="dxa"/>
            <w:vAlign w:val="bottom"/>
          </w:tcPr>
          <w:p>
            <w:pPr>
              <w:jc w:val="right"/>
              <w:spacing w:after="0"/>
              <w:rPr>
                <w:sz w:val="20"/>
                <w:szCs w:val="20"/>
                <w:color w:val="auto"/>
              </w:rPr>
            </w:pPr>
            <w:r>
              <w:rPr>
                <w:rFonts w:ascii="Arial" w:cs="Arial" w:eastAsia="Arial" w:hAnsi="Arial"/>
                <w:sz w:val="15"/>
                <w:szCs w:val="15"/>
                <w:color w:val="auto"/>
              </w:rPr>
              <w:t>22 %</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20 %</w:t>
            </w: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17 %</w:t>
            </w:r>
          </w:p>
        </w:tc>
      </w:tr>
      <w:tr>
        <w:trPr>
          <w:trHeight w:val="221"/>
        </w:trPr>
        <w:tc>
          <w:tcPr>
            <w:tcW w:w="344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23"/>
          <w:szCs w:val="23"/>
          <w:b w:val="1"/>
          <w:bCs w:val="1"/>
          <w:color w:val="auto"/>
          <w:vertAlign w:val="superscript"/>
        </w:rPr>
      </w:pPr>
      <w:r>
        <w:rPr>
          <w:rFonts w:ascii="Arial" w:cs="Arial" w:eastAsia="Arial" w:hAnsi="Arial"/>
          <w:sz w:val="16"/>
          <w:szCs w:val="16"/>
          <w:color w:val="auto"/>
        </w:rPr>
        <w:t>As a percentage of gross sales, exclusive of sale discounts.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Sterno had approximately $12.5 million in firm backlog orders at December 31, 2024 and 2023,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Strategies and Competitive Strengths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Strategies</w:t>
      </w:r>
    </w:p>
    <w:p>
      <w:pPr>
        <w:spacing w:after="0" w:line="115"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auto"/>
        </w:rPr>
        <w:t xml:space="preserve">Defend Leading Market Position </w:t>
      </w:r>
      <w:r>
        <w:rPr>
          <w:rFonts w:ascii="Arial" w:cs="Arial" w:eastAsia="Arial" w:hAnsi="Arial"/>
          <w:sz w:val="18"/>
          <w:szCs w:val="18"/>
          <w:color w:val="auto"/>
        </w:rPr>
        <w:t>- As a leading supplier of canned fuels, flameless candles and outdoor lighting, wickless candles and</w:t>
      </w:r>
      <w:r>
        <w:rPr>
          <w:rFonts w:ascii="Arial" w:cs="Arial" w:eastAsia="Arial" w:hAnsi="Arial"/>
          <w:sz w:val="18"/>
          <w:szCs w:val="18"/>
          <w:b w:val="1"/>
          <w:bCs w:val="1"/>
          <w:color w:val="auto"/>
        </w:rPr>
        <w:t xml:space="preserve"> </w:t>
      </w:r>
      <w:r>
        <w:rPr>
          <w:rFonts w:ascii="Arial" w:cs="Arial" w:eastAsia="Arial" w:hAnsi="Arial"/>
          <w:sz w:val="18"/>
          <w:szCs w:val="18"/>
          <w:color w:val="auto"/>
        </w:rPr>
        <w:t>fragrance products, Sterno places great value in delivering unmatched customer service and product selection. In a market characterized by</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fragmented categories and competition, Sterno will continue to focus on providing the best in class service to its customers. Sterno Products has been the recipient of numerous vendor awards for its high degree of customer service.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5" w:name="page56"/>
    <w:bookmarkEnd w:id="55"/>
    <w:p>
      <w:pPr>
        <w:jc w:val="both"/>
        <w:spacing w:after="0" w:line="287" w:lineRule="auto"/>
        <w:rPr>
          <w:sz w:val="20"/>
          <w:szCs w:val="20"/>
          <w:color w:val="auto"/>
        </w:rPr>
      </w:pPr>
      <w:r>
        <w:rPr>
          <w:rFonts w:ascii="Arial" w:cs="Arial" w:eastAsia="Arial" w:hAnsi="Arial"/>
          <w:sz w:val="18"/>
          <w:szCs w:val="18"/>
          <w:b w:val="1"/>
          <w:bCs w:val="1"/>
          <w:color w:val="auto"/>
        </w:rPr>
        <w:t xml:space="preserve">Pursue Selective Acquisitions </w:t>
      </w:r>
      <w:r>
        <w:rPr>
          <w:rFonts w:ascii="Arial" w:cs="Arial" w:eastAsia="Arial" w:hAnsi="Arial"/>
          <w:sz w:val="18"/>
          <w:szCs w:val="18"/>
          <w:color w:val="auto"/>
        </w:rPr>
        <w:t>- Sterno views acquisitions as a potentially attractive means to expand its product offerings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foodservice and retail channels as well as enter new international markets.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Expand Retail Distribution </w:t>
      </w:r>
      <w:r>
        <w:rPr>
          <w:rFonts w:ascii="Arial" w:cs="Arial" w:eastAsia="Arial" w:hAnsi="Arial"/>
          <w:sz w:val="18"/>
          <w:szCs w:val="18"/>
          <w:color w:val="auto"/>
        </w:rPr>
        <w:t>- Sterno’s management believes that there is an opportunity to leverage the iconic nature of the “Sterno” brand</w:t>
      </w:r>
      <w:r>
        <w:rPr>
          <w:rFonts w:ascii="Arial" w:cs="Arial" w:eastAsia="Arial" w:hAnsi="Arial"/>
          <w:sz w:val="18"/>
          <w:szCs w:val="18"/>
          <w:b w:val="1"/>
          <w:bCs w:val="1"/>
          <w:color w:val="auto"/>
        </w:rPr>
        <w:t xml:space="preserve"> </w:t>
      </w:r>
      <w:r>
        <w:rPr>
          <w:rFonts w:ascii="Arial" w:cs="Arial" w:eastAsia="Arial" w:hAnsi="Arial"/>
          <w:sz w:val="18"/>
          <w:szCs w:val="18"/>
          <w:color w:val="auto"/>
        </w:rPr>
        <w:t>to expand its retail product offering and to expand distribution into additional retailers.</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Create Innovative Products </w:t>
      </w:r>
      <w:r>
        <w:rPr>
          <w:rFonts w:ascii="Arial" w:cs="Arial" w:eastAsia="Arial" w:hAnsi="Arial"/>
          <w:sz w:val="18"/>
          <w:szCs w:val="18"/>
          <w:color w:val="auto"/>
        </w:rPr>
        <w:t>- Having innovative design, marketing, and production teams enables Rimports to expand into new fragrance</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markets, as it has done with Essential Oil Diffusers and ScentCharms (Decorative Liquid plug-in fragrance units). Rimports will continue to focus on providing the best quality products and low prices to retailers and end-users.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Strengths</w:t>
      </w:r>
    </w:p>
    <w:p>
      <w:pPr>
        <w:sectPr>
          <w:pgSz w:w="11900" w:h="16838" w:orient="portrait"/>
          <w:cols w:equalWidth="0" w:num="1">
            <w:col w:w="11240"/>
          </w:cols>
          <w:pgMar w:left="320" w:top="1174" w:right="339" w:bottom="1440" w:gutter="0" w:footer="0" w:header="0"/>
        </w:sectPr>
      </w:pPr>
    </w:p>
    <w:p>
      <w:pPr>
        <w:spacing w:after="0" w:line="210"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Leading Brand Recognition &amp; Market Share </w:t>
      </w:r>
      <w:r>
        <w:rPr>
          <w:rFonts w:ascii="Arial" w:cs="Arial" w:eastAsia="Arial" w:hAnsi="Arial"/>
          <w:sz w:val="18"/>
          <w:szCs w:val="18"/>
          <w:color w:val="auto"/>
        </w:rPr>
        <w:t>believes Sterno Products enjoys outstanding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left="16" w:hanging="16"/>
        <w:spacing w:after="0" w:line="273" w:lineRule="auto"/>
        <w:tabs>
          <w:tab w:leader="none" w:pos="1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Sterno Products is the market share leader in the canned chafing fuel market. Management brand awareness and a reputation for superior quality and performance with distributors,</w:t>
      </w:r>
    </w:p>
    <w:p>
      <w:pPr>
        <w:spacing w:after="0" w:line="2" w:lineRule="exact"/>
        <w:rPr>
          <w:sz w:val="20"/>
          <w:szCs w:val="20"/>
          <w:color w:val="auto"/>
        </w:rPr>
      </w:pPr>
    </w:p>
    <w:p>
      <w:pPr>
        <w:sectPr>
          <w:pgSz w:w="11900" w:h="16838" w:orient="portrait"/>
          <w:cols w:equalWidth="0" w:num="2">
            <w:col w:w="3740" w:space="44"/>
            <w:col w:w="7456"/>
          </w:cols>
          <w:pgMar w:left="320" w:top="1174" w:right="339" w:bottom="1440" w:gutter="0" w:footer="0" w:header="0"/>
          <w:type w:val="continuous"/>
        </w:sectPr>
      </w:pPr>
    </w:p>
    <w:p>
      <w:pPr>
        <w:jc w:val="both"/>
        <w:spacing w:after="0" w:line="268" w:lineRule="auto"/>
        <w:rPr>
          <w:sz w:val="20"/>
          <w:szCs w:val="20"/>
          <w:color w:val="auto"/>
        </w:rPr>
      </w:pPr>
      <w:r>
        <w:rPr>
          <w:rFonts w:ascii="Arial" w:cs="Arial" w:eastAsia="Arial" w:hAnsi="Arial"/>
          <w:sz w:val="18"/>
          <w:szCs w:val="18"/>
          <w:color w:val="auto"/>
        </w:rPr>
        <w:t>caterers, hotels and other end users. Rimports is a leader in fragrance systems, particularly the wickless candle market, and is growing its market share in the essential oils and diffusers and plug-in liquid fragrance markets. Rimports offers a large variety of products to retailers in North America, Canada, China, and the United Kingdom</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Low Cost versus Alternatives </w:t>
      </w:r>
      <w:r>
        <w:rPr>
          <w:rFonts w:ascii="Arial" w:cs="Arial" w:eastAsia="Arial" w:hAnsi="Arial"/>
          <w:sz w:val="18"/>
          <w:szCs w:val="18"/>
          <w:color w:val="auto"/>
        </w:rPr>
        <w:t>- Sterno Product's customers are typically caterers, hotels or restaurants who utilize canned chafing fuel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prepared food at a safe and enjoyable serving temperature. The risk of ruining a dining experience and the low proportionate cost of canned chafing fuel relative to the cost of a catered event represent significant barriers to customers switching out of Sterno’s canned chafing</w:t>
      </w:r>
    </w:p>
    <w:p>
      <w:pPr>
        <w:spacing w:after="0"/>
        <w:rPr>
          <w:sz w:val="20"/>
          <w:szCs w:val="20"/>
          <w:color w:val="auto"/>
        </w:rPr>
      </w:pPr>
      <w:r>
        <w:rPr>
          <w:rFonts w:ascii="Arial" w:cs="Arial" w:eastAsia="Arial" w:hAnsi="Arial"/>
          <w:sz w:val="18"/>
          <w:szCs w:val="18"/>
          <w:color w:val="auto"/>
        </w:rPr>
        <w:t>fuel products. Additionally, management believes that there is no other technology available today that offers the portability, reliability and 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 of the Sterno canned chafing fuel products. Rimports’ ultimate consumers seek high quality products in the Home Fragrance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high value proposition ensures consumer loyalty and satisfaction.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 and Manufacturing</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Sterno's product manufacturing is based on a dual strategy of in-house manufacturing and strategic alliances with select vendors. Sterno operates an efficient, low-cost supply chain, sourcing materials and employing contract manufacturers from across the Unites States, as well as Mexico and the Asia-Pacific region.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Sterno Products' primary raw materials are diethylene glycol, ethanol, liquid paraffin and steel cans for which it receives multiple shipments per month. Sterno Products purchases its materials from a combination of domestic and foreign suppliers.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Rimports sources raw materials from and outsources manufacturing processes to companies in the U.S. and China. Raw materials include wax, fragrances, and color dye for waxes; essential oils; wood, metal, ceramic, and glass for warmers and diffusers; and packaging supplies. Products are shipped to retailers from outsourced manufacturing warehouses and Rimports’ two Utah warehouses.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Sterno relies upon a combination of trademarks and patents in order to secure and protect its intellectual property rights. Sterno currently owns approximately 235 registered trademarks and 72 patents globally and has 37 applications for trademarks and patents pending.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Sterno is proactive regarding regulatory issues and management believes that it is in compliance with all relevant regulations. Sterno maintains adequate product liability insurance coverage. Management believes that Sterno complies, in all material respects, with applicable environmental and occupational health and safety laws and regulations.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Sterno Products typically has higher sales in the second and fourth quarter of each year, reflecting the outdoor summer season and the holiday season. Rimports typically has higher sales in the third and fourth quarter of each year, reflecting the holiday season.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2024, Sterno had 465 employees within its two product divisions - 251 employees at Sterno Products and 214 employees at Rimports. Sterno Products operates out of four locations in the United States, with a majority of their employees located at production facilities in Memphis, Tennessee and Texarkana, Texas. Rimports employees primarily operate out of Rimports' facilities in Provo, Utah. Sterno believes that its relationship with its employees is good.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ITEM 1A. RISK FACTORS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operations and financial condition are subject to various risks and uncertainties. The following discussion of risk factors should be read in conjunction with the Management’s Discussion and Analysis of Financial Condition and Results of Operations (MD&amp;A) section and the consolidated financial statements and related notes. If any of these risks actually occur, our business, financial condition, operating results and prospects could be materially and adversely affected. In addition to the factors affecting our specific operating segments identified in connection with the descriptions of these segments and the financial results of the operations of these operating segments elsewhere in this report, the most significant factors affecting our operations include the following: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future success is dependent on the employees of our Manager and the management teams of our businesses, the loss of any of whom could materially adversely affect our financial condition, business and results of operations.</w:t>
      </w:r>
    </w:p>
    <w:p>
      <w:pPr>
        <w:spacing w:after="0" w:line="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future success depends, to a significant extent, on the continued services of the employees of our Manager, most of whom have worked together for a number of years. Our Manager does not have an employment agreement with our Chief Executive Officer and, in any event, employment agreements may not prevent our Manager’s employees from leaving or from competing with us in the future.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future success of our businesses also depends on their respective management teams because we operate our businesses on a stand-alone basis, primarily relying on existing management teams for management of their day-to-day operations. Consequently, their operational success, as well as the success of our internal growth strategy, will be dependent on the continued efforts of the management teams of the businesses. The loss of services of one or more members of our management team or the management team at one of our businesses could materially adversely affect our financial condition, business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with respect to the evaluation and management of future acquisitions.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component of our strategy is to continue to acquire additional subsidiaries, as well as add-on acquisitions for our existing subsidiaries. Generally, because such acquisition targets are held privately, we may experience difficulty in evaluating potential target businesses as the information concerning these businesses is not publicly available. In addition, we and our subsidiary companies may have difficulty effectively managing or integrating acquisitions. We may experience greater than expected costs or difficulties relating to such acquisition, in which case, we might not achieve the anticipated returns from any particular acquisition, our financial condition, business and results of operations.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not be able to successfully fund future acquisitions of new businesses due to the lack of availability of debt or equity financing at the Company level on acceptable terms, which could impede the implementation of our acquisition strategy and materially adversely impact our financial condition, business and results of operations.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make future acquisitions, we intend to raise capital primarily through debt financing at the Company level, additional equity offerings, the sale of stock or assets of our businesses, and by offering equity in the Trust or our businesses to the sellers of target businesses or by undertaking a combination of any of the above. Since the timing and size of acquisitions cannot be readily predicted, we may need to be able to obtain funding on short notice to benefit fully from attractive acquisition opportunities. Such funding may not be available on acceptable terms. In addition, the level of our indebtedness may impact our ability to borrow at the Company level. Another source of capital for us may be the sale of additional shares, subject to market conditions and investor demand for the shares at prices that we consider to be in the interests of our shareholders. These risks may materially adversely affect our ability to pursue our acquisition strategy successfully and our financial condition, business and results of operations.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Under the Trust Agreement, the Company’s Board will have the power to cause the Trust to be converted to a corporation in the future at its sole discretion in ways with which our shareholders may disagree.</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Trust Agreement authorizes the Company, acting through the Board and without further shareholder approval, to cause the Trust to be converted to a corporation (the “Conversion”). As a shareholder of the Trust, you may disagree with the terms of the Conversion that might be implemented by the Company’s Board in the future, and you may disagree with the Board’s determination that the terms of the Conversion are not materially adverse to you as a shareholder or that they are in the best interests of the Trust and its shareholders. Your recourse, if you disagree, will be limited because our Trust Agreement gives broad authority and discretion to the Board 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implement the Conversion as long as the Board determines that it will be in the best interests of the Trust and its shareholders to do so.</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Company’s Board has full authority and discretion over the distributions of the Company, other than the profit allocation, and it may decide to reduce or eliminate distributions at any time, which may materially adversely affect the market price for our shares.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Board has full authority and discretion to determine whether or not a distribution by the Company should be declared and paid to the Trust and in turn, subject to U.S. federal income taxes and applicable state and local taxes, to our shareholders, as well as the amount and timing of any distribution. In addition, the management fee and profit allocation will be payment obligations of the Company and, as a result, will be paid, along with other Company obligations, prior to the payment of distributions to our shareholders. The Board may, based on their review of our financial condition and results of operations and pending acquisitions or our tax structure, determine to reduce or eliminate distributions, which may have a material adverse effect on the market price of our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entirely on receipts from our businesses to make distributions to our shareholders.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Trust’s sole asset is its interest in the LLC, which holds controlling interests in our businesses. Therefore, we are dependent upon the ability of our businesses to generate earnings and cash flow and distribute them to us in the form of interest and principal payments on indebtedness and, from time to time, dividends on equity to enable us, first, to satisfy our financial and tax obligations and second to make distributions to our shareholders. This ability may be subject to limitations under laws of the jurisdictions in which they are incorporated or organized. If, as a consequence of these various restrictions, we are unable to generate sufficient receipts from our businesses, we may not be able to declare, or may have to delay or cancel payment of, distributions to our shareholders.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own 100% of our businesses. While we receive cash payments from our businesses which are in the form of interest payments, debt repayment and dividends, if any dividends were to be paid by our businesses, they would be shared pro rata with the minority shareholders of our businesses and the amounts of dividends made to minority shareholders would not be available to us for any purpose, including Company debt service or distributions to our shareholders. Any proceeds from the sale of a business will be allocated among us and the non-controlling shareholders of the business that is sold.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has the power to change the terms of our shares in its sole discretion in ways with which you may disagree.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an owner of our shares, you may disagree with changes made to the terms of our shares, and you may disagree with the Board's decision that the changes made to the terms of the shares are not materially adverse to you as a shareholder or that they do not alter the characterization of the Trust. Your recourse, if you disagree, will be limited because our Trust Agreement gives broad authority and discretion to our Board.</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Certain provisions of the LLC Agreement of the Company and the Trust Agreement make it difficult for third parties to acquire control of the Trust and the LLC and could deprive you of the opportunity to obtain a takeover premium for your shares.</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LLC Agreement of the LLC and the Trust Agreement of the Trust contain a number of provisions that could make it more difficult for a third party to acquire, or may discourage a third party from acquiring, control of the Trust and the Company. These provisions include, among others:</w:t>
      </w:r>
    </w:p>
    <w:p>
      <w:pPr>
        <w:ind w:left="660" w:hanging="328"/>
        <w:spacing w:after="0" w:line="266"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LLC’s ability to enter into certain transactions with our major shareholders, with the exception of our Manager, modeled on the limitation contained in Section 203 of the Delaware General Corporation Law, or DGCL;</w:t>
      </w:r>
    </w:p>
    <w:p>
      <w:pPr>
        <w:jc w:val="both"/>
        <w:ind w:left="660" w:hanging="328"/>
        <w:spacing w:after="0" w:line="266"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allowing only the LLC’s board of directors to fill newly created directorships, for those directors who are elected by our shareholders, and allowing only our Manager, as holder of a portion of the Allocation Interests, to fill vacancies with respect to the class of directors appointed by our Manager;</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that directors elected by our shareholders be removed, with or without cause, only by a vote of 85% of our shareholders;</w:t>
      </w:r>
    </w:p>
    <w:p>
      <w:pPr>
        <w:spacing w:after="0" w:line="4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advance notice for nominations of candidates for election to the Company’s Board or for proposing matters that can be acted upon by our shareholders at a shareholders’ meeting;</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having a substantial number of additional authorized but unissued shares that may be issued without shareholder action;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9" w:name="page60"/>
    <w:bookmarkEnd w:id="59"/>
    <w:p>
      <w:pPr>
        <w:ind w:left="660" w:hanging="328"/>
        <w:spacing w:after="0" w:line="26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providing the Company’s Board with certain authority to amend the LLC Agreement and the Trust Agreement, subject to certain voting and consent rights of the holders of trust interests and Allocation Interests; and</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regarding calling special meetings and written consents of our shareholders.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provisions, as well as other provisions in the LLC Agreement and Trust Agreement may delay, defer or prevent a transaction or a change in control that might otherwise result in you obtaining a takeover premium for your shares.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conflicts of interest with the noncontrolling shareholders of our businesses.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boards of directors of our respective businesses have fiduciary duties to all their shareholders, including the Company and noncontrolling shareholders. As a result, they may make decisions that are in the best interests of their shareholders generally, but which are not necessarily in the best interest of the Company or our shareholders. In dealings with the Company, the directors of our businesses may have conflicts of interest and decisions may have to be made without the participation of directors appointed by the Company, and such decisions may be different from those that we would make.</w:t>
      </w:r>
    </w:p>
    <w:p>
      <w:pPr>
        <w:spacing w:after="0" w:line="12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financing arrangements expose us to additional risks associated with leverage, inhibit our operating flexibility and reduce earnings and cash available for distributions to our shareholders.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2024, we had approximately $1,785 million of consolidated debt outstanding. This level of consolidated debt could have important consequences, such as (i) limiting our ability to obtain additional financing to fund our potential growth; (ii) increasing the cost of future borrowings; (iii) limiting our ability to use operating cash flow in our other areas of our business because of cash requirements to service our debt; and (iv) increasing our vulnerability to adverse economic conditions. Our financing arrangements subject the Company to certain customary affirmative and restrictive covenants. If we violate any of these covenants, our lender may accelerate the maturity of any debt outstanding under our 2022 Credit Facility. Our ability to meet our debt service obligations may be affected by events beyond our control and will depend primarily upon cash produced by our businesses. Any failure to comply with the terms of our indebtedness could materially adversely affect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could materially adversely affect our profitability, ability to service debt, and our business as a whole.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2022 Credit Facility bears interest at floating rates which will generally change as interest rates change. We bear the risk that the rates we are charged by our lender will increase faster than the earnings and cash flow of our businesses, which could reduce profitability, adversely affect our ability to service our debt, cause us to breach covenants contained in our 2022 Credit Facility and reduce earnings and cash available for distribution, any of which could materially adversely affect us.</w:t>
      </w:r>
    </w:p>
    <w:p>
      <w:pPr>
        <w:spacing w:after="0" w:line="12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may engage in a business transaction with one or more target businesses that have relationships with our officers, our directors, or our Manager, which may create potential conflicts of interest.</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decide to acquire one or more businesses with which our officers, our directors, or our Manager have a relationship. Potential conflicts of interest may exist with respect to a particular acquisition, and, as a result, the terms of the acquisition of a target business may not be as advantageous to our shareholders as it would have been absent any conflicts of interest.</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in the future, we cease to control and operate our businesses, we may be deemed to be an investment company under the Investment Company Act of 1940, as amended, which may adversely affect our business, financial conditions and otherwise.</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LLC Agreement, we have the latitude to make investments in businesses that we will not operate or control. If we make significant investments in businesses that we do not operate or control or cease to operate and control our businesses, we may be deemed to be an investment company under the Investment Company Act of 1940, as amended, or the Investment Company Act. If we were deemed to be an investment company, we would either have to register as an investment company under the Investment Company Act, obtain exemptive relief from the SEC or modify our investments or organizational structure or our contract rights to fall outside the definition of an investment company. Registering as an investment company could, among other things, materially adversely affect our financial condition, business and results of operations, materially limit our ability to borrow funds or engage in other transactions involving leverage and require us to add directors who are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independent of us or our Manager and otherwise will subject us to additional regulation that will be costly and time-consuming.</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Certain of our businesses are dependent on a limited number of customers to derive a large portion of their revenue, and the loss of one of these customers may adversely affect the financial condition, business and results of operations of these businesses.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 The Honey Pot Co., Altor and Sterno businesses derive a significant amount of revenue from a concentrated number of retailers,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distributors or manufacturers. Any negative change involving these retailers, distributors or manufacturers, including industry consolidation, store closings, reduction in purchasing levels or bankruptcies, could negatively impact the sales of these businesses and may have a material adverse effect on the results of operations, financial condition and cash flows of these businesses.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businesses do not have and may not have long-term contracts with their customers and clients and the loss of customers and clients could materially adversely affect their financial condition, business and results of operations.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and may be, based primarily upon individual orders and sales with their customers and clients. Our businesses historically have not entered into long-term supply contracts with their customers and clients. As such, their customers and clients could cease using their services or buying their products from them at any time and for any reason. The fact that they do not enter into long-term contracts with their customers and clients means that they have no recourse in the event a customer or client no longer wants to use their services or purchase products from them. If a significant number of their customers or clients elect not to use their services or purchase their products, it could materially adversely affect their financial condition, business and results of operations.</w:t>
      </w:r>
    </w:p>
    <w:p>
      <w:pPr>
        <w:spacing w:after="0" w:line="76"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Changes to U.S. tariff and import/export regulations may have a negative effect on economic activity, financial conditions and results of our businesses.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has recently enacted and proposed to enact significant new tariffs. Additionally further evaluation of key aspects of U.S. trade policy is occurring, along with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significantly affect global trade and, in particular, trade between the impacted nations and the U.S. Any of these factors could depress economic activity and restrict our businesses' access to suppliers or customers and have a material adverse effect on their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Trust is subject to U.S. corporate income taxes which reduces the earnings and cash available for distributions to holders of Trust common shares in respect of such investments and could adversely affect the value of Trust common shareholders’ investment.</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September 1, 2021, the Trust elected to be treated as a corporation for U.S. federal income tax purposes (the “Election”). The Trust now incurs entity level U.S. federal corporate income taxes and applicable state and local taxes that it would not otherwise incur if it were still treated as a partnership for U.S. tax purposes. In addition, before the Election, income from the Trust was passed through to holders of its preferred shares, which resulted in less income being passed through from the Trust to holders of its common shares and effectively reduced each common shareholder’s allocable share of the Trust’s income; however, after the Election, no income will pass through to any shareholders, but the Trust will not be able to claim a tax deduction for distributions in respect of the preferred shares. Therefore, the amount of cash available for distributions to holders of Trust common shares could be reduced and their investment could be adversely affected.</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Following the Election, determinations, declarations, and payments of distributions to holders of Trust common shares will continue to be at the sole discretion of the Company’s Board. Our distribution policy may be changed at any time at the discretion of the Company’s Board.</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E2236"/>
        </w:rPr>
        <w:t>Future changes to tax laws are uncertain and may result in the Trust paying corporate income tax at rates higher than expected or result in the Trust failing to realize the anticipated benefits of the Election.</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changes to tax laws are uncertain, but any such changes could cause the Trust to fail to realize the anticipated benefits of the Election. If corporate income tax rates are raised, the anticipated advantages of being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1" w:name="page62"/>
    <w:bookmarkEnd w:id="61"/>
    <w:p>
      <w:pPr>
        <w:jc w:val="both"/>
        <w:ind w:right="20"/>
        <w:spacing w:after="0" w:line="287" w:lineRule="auto"/>
        <w:rPr>
          <w:sz w:val="20"/>
          <w:szCs w:val="20"/>
          <w:color w:val="auto"/>
        </w:rPr>
      </w:pPr>
      <w:r>
        <w:rPr>
          <w:rFonts w:ascii="Arial" w:cs="Arial" w:eastAsia="Arial" w:hAnsi="Arial"/>
          <w:sz w:val="18"/>
          <w:szCs w:val="18"/>
          <w:color w:val="auto"/>
        </w:rPr>
        <w:t>treated as a corporation for U.S. tax purposes would be diminished. In addition, any general changes to tax laws, such as changes to limitations on the deductibility of interest, could result in the Trust or its shareholders paying tax at rates higher than anticipated.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Preferred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on the Series A Preferred Shares are discretionary and non-cumulative.</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Distributions on the Series A Preferred Shares are discretionary and non-cumulative. Holders of the Series A Preferred Shares will only receive distributions of the Series A Preferred Shares when, as and if declared by the Board of the Company. Consequently, if the Board of the Company does not authorize and declare a distribution for a distribution period, holders of the Series A Preferred Shares would not be entitled to receive any distribution for such distribution period, and such unpaid distribution will not be payable in such distribution period or in later distribution periods. We will have no obligation to pay distributions for a distribution period if the Board of the Company does not declare such distribution before the scheduled record date for such period, whether or not distributions are declared or paid for any subsequent distribution period with respect to the Series A Preferred Shares, or any other preferred shares we may issue or our common shares. This may result in holders of the Series A Preferred Shares not receiving the full amount of distributions that they expect to receive, or any distributions, and may make it more difficult to resell Series A Preferred Shares or to do so at a price that the holder finds attractive.</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of the Company may, in its sole discretion, determine to suspend distributions on the Series A Preferred Shares, which may have a material adverse effect on the market price of the Series A Preferred Shares. Our operations may not generate sufficient cash flows to enable us to pay distributions on the Series A Preferred Shares. Our financial and operating performance is subject to prevailing economic and industry conditions and to financial, business and other factors, some of which are beyond our control.</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Series A, Series B and Series C Preferred Shares are equity securities and are subordinated to our existing and future indebtedness.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A, Series B and Series C Preferred Shares are our equity interests and do not constitute indebtedness. This means that the Series A, Series B and Series C Preferred Shares rank junior to all of our indebtedness and to other non-equity claims on us and our assets available to satisfy claims on us, including claims in the event of our liquidation. In addition, the rights allocated to the Company’s allocation interests may reduce the amount available for distribution by the Trust upon its liquidation, dissolution or winding up. Further, the Series A, Series B and Series C Preferred Shares place no restrictions on our business or operations or on our ability to incur indebtedness or engage in any transactions, subject only to the limited voting rights.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Manager</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Chief Executive Officer, directors, Manager and management team may allocate some of their time to other businesses, thereby causing conflicts of interest in their determination as to how much time to devote to our affairs, which may materially adversely affect our operations.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Only our Chief Financial Officer, Mr. Stephen Keller, devotes substantially all of his time to our affairs. Our Chief Executive Officer, directors, Manager and members of our management team may engage in other business activities. This may result in a conflict of interest in allocating their time between our operations and our management and operations of other businesses. Conflicts of interest that arise over the allocation of time may not always be resolved in our favor and may materially adversely affect our operations. See Part III, Item 13. "</w:t>
      </w:r>
      <w:r>
        <w:rPr>
          <w:rFonts w:ascii="Arial" w:cs="Arial" w:eastAsia="Arial" w:hAnsi="Arial"/>
          <w:sz w:val="18"/>
          <w:szCs w:val="18"/>
          <w:u w:val="single" w:color="auto"/>
          <w:color w:val="0000FF"/>
        </w:rPr>
        <w:t>Certain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Relationships and Related Transactions, and Director Independence</w:t>
      </w:r>
      <w:r>
        <w:rPr>
          <w:rFonts w:ascii="Arial" w:cs="Arial" w:eastAsia="Arial" w:hAnsi="Arial"/>
          <w:sz w:val="18"/>
          <w:szCs w:val="18"/>
          <w:color w:val="000000"/>
        </w:rPr>
        <w:t>" for the potential conflicts of interest of which you should be aware.</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Manager and its affiliates, including members of our management team, may engage in activities that compete with us or our businesses.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Neither our management team nor our Manager is expressly prohibited from investing in or managing other entities, including those that are in the same or similar line of business as our businesses. In this regard, the Management Services Agreement and the obligation to provide management services will not create a mutually exclusive relationship between our Manager and its affiliates, on the one hand, and the Company, on the other.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2" w:name="page63"/>
    <w:bookmarkEnd w:id="62"/>
    <w:p>
      <w:pPr>
        <w:jc w:val="both"/>
        <w:spacing w:after="0" w:line="294" w:lineRule="auto"/>
        <w:rPr>
          <w:sz w:val="20"/>
          <w:szCs w:val="20"/>
          <w:color w:val="auto"/>
        </w:rPr>
      </w:pPr>
      <w:r>
        <w:rPr>
          <w:rFonts w:ascii="Arial" w:cs="Arial" w:eastAsia="Arial" w:hAnsi="Arial"/>
          <w:sz w:val="18"/>
          <w:szCs w:val="18"/>
          <w:b w:val="1"/>
          <w:bCs w:val="1"/>
          <w:i w:val="1"/>
          <w:iCs w:val="1"/>
          <w:color w:val="auto"/>
        </w:rPr>
        <w:t>Our Manager need not present an acquisition or disposition opportunity to us if our Manager determines on its own that such acquisition or disposition opportunity does not meet the Company’s acquisition or disposition criteria.</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Manager will review any acquisition or disposition opportunity presented to the Manager to determine if it satisfies the Company’s acquisition or disposition criteria, as established by the Company’s Board from time to time. If our Manager determines, in its sole discretion, that an opportunity fits our criteria, our Manager will refer the opportunity to the Company’s Board for its authorization and approval prior to the consummation thereof; opportunities that our Manager determines do not fit our criteria do not need to be presented to the Company’s Board for consideration. If such an opportunity is ultimately profitable, we will have not participated in such opportunity. Upon a determination by the Company’s Board not to promptly pursue an opportunity presented to it by our Manager in whole or in part, our Manager will be unrestricted in its ability to pursue such opportunity, or any part that we do not promptly pursue, on its own or refer such opportunity to other entities, including its affiliates.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cannot remove our Manager solely for poor performance, which could limit our ability to improve our performance and could materially adversely affect the market price of our shares.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terms of the Management Services Agreement, our Manager cannot be removed as a result of under-performance. Instead, the Company’s Board can only remove our Manager in certain limited circumstances or upon a vote by the majority of the Company’s Board and the majority of our shareholders to terminate the Management Services Agreement. This limitation could materially adversely affect the market price of our shares.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Manager can resign on 180 days’ notice and we may not be able to find a suitable replacement within that time, resulting in a disruption in our operations that could materially adversely affect our financial condition, business and results of operations as well as the market price of our shares.</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Manager has the right, under the Management Services Agreement, to resign at any time on 180 days’ written notice, whether we have found a replacement or not. If our Manager resigns, we may not be able to contract with a new manager or hire internal management with similar expertise and ability to provide the same or equivalent services on acceptable terms within 90 days, or at all, in which case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acquisition activities and supervision of our businesses is likely to suffer if we are unable to identify and reach an agreement with a single institution or group of executives having the expertise possessed by our Manager and its affiliates. Even if we are able to retain comparable management, whether internal or external, the integration of such management and their lack of familiarity with our businesses may result in additional costs and time delays that could materially adversely affect our financial condition, business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pay our Manager the base management fee regardless of our performance.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Manager is entitled to receive a management fee that is based on our adjusted consolidated net assets, as defined in the management services agreement, regardless of the performance of our businesses. The calculation of the management fee is unrelated to the Company’s net income. As a result, the management fee may incentivize our Manager to increase the amount of our assets. For example, the acquisition of additional assets or the incurrence of third party debt could be prioritized rather than increasing the performance of our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determine the amount of the management fee that will be paid over time with any certainty.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fee paid to CGM for the year ended December 31, 2024 was $ 74.8 million. Going forward, the management fee will consist of a base management fee and, if specified performance measure is met under certain circumstances, an incentive management fee. Both the base management fee and the incentive management fee are calculated by reference to the Company’s adjusted net assets, which will be impacted by the acquisition or disposition of businesses, which can be significantly influenced by our Manager, as well as the performance of our businesses and other businesses we may acquire in the future. Changes in adjusted net assets and in the resulting management fees could be significant, resulting in a material adverse effect on the Company’s results of operations. In addition, if the performance of the Company declines, assuming adjusted net assets remains the same, management fees will increase as a percentage of the Company’s net income.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We cannot determine the amount of profit allocation that will be paid over time with any certainty.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determine the amount of profit allocation that will be paid over time with any certainty. Such determination would be dependent on the potential sale proceeds received for any of our businesses and the performance of the Company and its businesses over a multi-year period of time, among other factors that cannot be predicted with certainty at this time. Such factors may have a significant impact on the amount of any profit allocation to be paid. Likewise, such determination would be dependent on whether certain hurdles were surpassed giving rise to a payment of profit allocation. Any amounts paid in respect of the profit allocation are unrelated to the management fee earned for performance of services under the Management Services Agreement.</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fees to be paid to our Manager pursuant to the Management Services Agreement, and the offsetting management services agreements and the profit allocation to be paid to certain persons who are employees and partners of our Manager, as holders of the Allocation Interests, pursuant to the LLC Agreement may significantly reduce the amount of earnings and cash available for distribution to our shareholders.</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Management Services Agreement, the Company will be obligated to pay management fees to and, subject to certain conditions, reimburse the costs and out-of-pocket expenses of our Manager incurred on behalf of the Company in connection with the provision of services to the Company. Similarly, our businesses will be obligated to pay fees to and reimburse the costs and expenses of our Manager pursuant to any offsetting management services agreements entered into between our Manager and one of our businesses. In addition, Sostratus LLC, as holder of the Allocation Interests, will be entitled to receive profit allocations. While it is difficult to quantify with any certainty the actual amount of any such payments in the future, we do expect that such amounts could be substantial. See the section entitled Part 3, Item 13. “</w:t>
      </w:r>
      <w:r>
        <w:rPr>
          <w:rFonts w:ascii="Arial" w:cs="Arial" w:eastAsia="Arial" w:hAnsi="Arial"/>
          <w:sz w:val="18"/>
          <w:szCs w:val="18"/>
          <w:u w:val="single" w:color="auto"/>
          <w:color w:val="0000FF"/>
        </w:rPr>
        <w:t>Certain Relationships and Related Transactions, and Director Independence</w:t>
      </w:r>
      <w:r>
        <w:rPr>
          <w:rFonts w:ascii="Arial" w:cs="Arial" w:eastAsia="Arial" w:hAnsi="Arial"/>
          <w:sz w:val="18"/>
          <w:szCs w:val="18"/>
          <w:color w:val="auto"/>
        </w:rPr>
        <w:t>” for more information about these payment obligations of the Company. The management fees and profit allocation will be payment obligations of the Company and, as a result, will be paid, along with other Company obligations, prior to the payment of distributions to shareholders. As a result, the payment of these amounts may significantly reduce the amount of earnings and cash available for distribution to our shareholders.</w:t>
      </w:r>
    </w:p>
    <w:p>
      <w:pPr>
        <w:spacing w:after="0" w:line="13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Manager’s influence on conducting our operations, including on our conducting of transactions, gives it the ability to increase its fees, which may reduce the amount of earnings and cash available for distribution to our shareholders.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Management Services Agreement, the Company will pay our Manager a base management fee and, if specified performance measure is met under certain circumstances, an incentive management fee. The base management fee is calculated as a percentage (which varies based on our size) of the Company’s adjusted net assets for certain items and is unrelated to net income or any other performance base or measure. Our Manager controls and may advise us to consummate transactions, incur third party debt or conduct our operations in a manner that, in our Manager’s reasonable discretion, are necessary to the future growth of our businesses and are in the best interests of our shareholders. These transactions, however, may increase the amount of fees paid to our Manager. Our Manager’s ability to increase its fees, through the influence it has over our operations, may increase the compensation paid by our Manager. Our Manager’s ability to influence the management fee paid to it by us could reduce the amount of earnings and cash available for distribution to our shareholders.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 allocation may induce our Manager to make suboptimal decisions regarding our operations.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Sostratus LLC, as holder of our Allocation Interests, will receive a profit allocation based on ongoing cash flows and capital gains in excess of a hurdle rate. Certain persons who are employees and partners of our Manager are owners of Sostratus LLC. In this respect, a calculation and payment of profit allocation may be triggered upon the sale of one of our businesses. As a result, our Manager may be incentivized to recommend the sale of one or more of our businesses to the Company’s Board at a time that may not be optimal for our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obligations to pay management fees and profit allocation may cause the Company to liquidate assets or incur debt.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we do not have sufficient liquid assets to pay the management fees and profit allocation when such payments are due, we may be required to liquidate assets or incur debt in order to make such payments. This circumstance could materially adversely affect our liquidity and ability to make distributions to our shareholders.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64" w:name="page65"/>
    <w:bookmarkEnd w:id="64"/>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Specific to Our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Arnold</w:t>
      </w:r>
    </w:p>
    <w:p>
      <w:pPr>
        <w:spacing w:after="0" w:line="171"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Arnold's operations and the prior operations of predecessor companies expose it to the risk of material environmental liabilities, which could have a negative effect on its financial condition or results of operations.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Arnold may be subject to potential liabilities related to the remediation of environmental hazards and to claims of personal injuries or property damages that may be caused by hazardous substance releases and exposures, mainly because of past operations and the operations of predecessor companies. Arnold continues to incur remedial response and voluntary clean-up costs for site contamination, for which we may not be fully indemnified, and are a party to lawsuits and claims associated with environmental and safety matters, including past production of products containing hazardous materials. Arnold also may become party to various legal proceedings relating to alleged impacts from pollutants released into the environment. Various federal, state, local and foreign governments regulate the discharge of materials into the environment and can impose substantial fines and criminal sanctions for violations. In addition, changes in laws, regulations and enforcement of policies, the discovery of previously unknown contamination or information related to individual sites, the establishment of stricter state or federal toxicity standards with respect to certain contaminants, or the imposition of new clean-up requirements or remedial techniques could require Arnold to incur additional costs in the future that would have a negative effect on its financial condition or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Sterno</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Sterno's products operate at high temperatures and use flammable fuels, each of which could subject our business to product liability claims, which could adversely affect its reputation and reduce customer demand.</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Sterno's products expose it to potential product liability claims typical of fuel based heating products. The fuels Sterno uses in its products are flammable and may be toxic if ingested. Accidents involving Sterno's products may have an adverse effect on its reputation and reduce demand for its products. In addition, Sterno may be held responsible for damages beyond its insurance coverage and we may not be able to procure adequate insurance coverage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Velocity Outdoor</w:t>
      </w:r>
    </w:p>
    <w:p>
      <w:pPr>
        <w:spacing w:after="0" w:line="17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Velocity’s products are subject to product safety and liability lawsuits, which could materially adversely affect its financial condition, business and results of operations.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manufacturer of archery products, Velocity is involved in various litigation matters that occur in the ordinary course of business. Not all users of its products will observe all proper safety practices. Failure to observe proper safety practices may result in injuries that give rise to product liability and personal injury claims and lawsuits, as well as claims for breach of contract, loss of profits and consequential damages.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unresolved lawsuits or claims are determined adversely, they could have a material adverse effect on Velocity, its financial condition, business and results of operations. As more of Velocity’s products are sold to and used by its consumers, the likelihood of product liability claims being made against it increases. In addition, the running of statutes of limitations in the U.S. for personal injuries to minor children may be suspended during the child’s legal minority. Therefore, it is possible that accidents resulting in injuries to minors may not give rise to lawsuits until a number of years later.</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Velocity's product liability insurance may not be sufficient to cover all liabilities incurred in connection with such claims and the financial consequences of these claims and lawsuits will have a material adverse effect on its business, financial condition, liquidity and results of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negatively impacted by cybersecurity attacks.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and our businesses, use a variety of information technology systems in the ordinary course of business, which are potentially vulnerable to cybersecurity attacks, including cybersecurity attacks to our information technology infrastructure and attempts by others to gain access to our proprietary or sensitive information. Cybersecurity threats continue to increase in frequency and sophistication; a successful cybersecurity attack could interrupt or disrupt our information technology systems, or those of our third-party service providers, and may cause us to incur excessive costs or suffer reputational harm. Cybersecurity attacks are being conducted by sophisticated and organized groups and individuals with a wide range of motives and expertise, especially given increased vulnerability of corporate information technology systems as distributed work environments have become prevalent.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The procedures and controls we use to monitor these threats and mitigate our exposure may not be sufficient to prevent cybersecurity incidents. The results of these incidents could include misstated financial data, theft of trade secrets or other intellectual property, liability for disclosure of confidential customer, supplier or employee information, increased costs arising from the implementation of additional security protective measures, litigation and reputational damage, which could materially adversely affect our financial condition, business and results of operations. Any remedial costs or other liabilities related to cybersecurity incidents may not be fully insured or indemnified by other means.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cybersecurity has become a top priority for global lawmakers and regulators, and some jurisdictions have enacted laws requiring companies to notify regulators and individuals of security breaches. If we fail to comply with the relevant and increasingly complex laws and regulations, we could suffer financial losses, a disruption of our business, liability to investors, regulatory intervention or reputational damage.</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Impairment of our goodwill, indefinite-lived intangible assets or other long-lived assets could result in significant charges that would adversely impact our future operating results.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long-term assets are comprised of intangible assets, including goodwill and indefinite lived intangible assets recorded as a result of past acquisitions. We assess the potential impairment of goodwill and indefinite lived intangible assets on an annual basis, as well as whenever events or changes in circumstances indicate that the carrying value may not be recoverable. If our analysis indicates that an individual asset’s carrying value exceeds its fair market value, we will record a loss equal to the excess of the individual asset’s carrying value over its fair value. The impairment testing steps require significant amounts of judgment and subjectivity.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Factors that could trigger impairment include the following:</w:t>
      </w:r>
    </w:p>
    <w:p>
      <w:pPr>
        <w:spacing w:after="0" w:line="5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changes in the manner of or use of the acquired assets or the strategy for our overall business;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w:t>
      </w:r>
    </w:p>
    <w:p>
      <w:pPr>
        <w:spacing w:after="0" w:line="36"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our organization or management reporting structure could result in additional reporting units, which may require alternative methods of estimating fair values or greater desegregation or aggregation in our analysis by reporting unit;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decline in our market capitalization below net book value.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we had identified indefinite lived intangible assets with a carrying value in our financial statements of $30.8 million, and goodwill of $982.3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businesses are subject to unplanned business interruptions which may adversely affect our performance.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Operational interruptions and unplanned events at one or more of our production facilities, such as explosions, fires, inclement weather, natural disasters, accidents, transportation interruptions and supply could cause substantial losses in our production capacity. Furthermore, because customers may be dependent on planned deliveries from us, customers that have to reschedule their own operations due to our delivery delays may be able to pursue financial claims against us, and we may incur costs to correct such problems in addition to any liability resulting from</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6" w:name="page67"/>
    <w:bookmarkEnd w:id="66"/>
    <w:p>
      <w:pPr>
        <w:jc w:val="both"/>
        <w:spacing w:after="0" w:line="268" w:lineRule="auto"/>
        <w:rPr>
          <w:sz w:val="20"/>
          <w:szCs w:val="20"/>
          <w:color w:val="auto"/>
        </w:rPr>
      </w:pPr>
      <w:r>
        <w:rPr>
          <w:rFonts w:ascii="Arial" w:cs="Arial" w:eastAsia="Arial" w:hAnsi="Arial"/>
          <w:sz w:val="18"/>
          <w:szCs w:val="18"/>
          <w:color w:val="auto"/>
        </w:rPr>
        <w:t>such claims. Such interruptions may also harm our reputation among actual and potential customers, potentially resulting in a loss of business. To the extent these losses are not covered by insurance, our financial position, results of operations and cash flows may be adversely affected by such events.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businesses could experience fluctuations in the costs and availability of raw materials, components or whole goods which could result in significant disruptions to supply chains, production disruptions and increased costs for our businesses.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businesses require access to various raw materials, components and whole goods to manufacture and distribute products. Changes in the availability and price of raw materials, components and whole goods, which can fluctuate significantly as a result of economic volatility, regulatory instability or change in import tariffs or trade agreements, can significantly increase the costs of production and distribution, which could have a material negative effect on the profitability of the businesses.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could be adversely affected if we experience shortages of components from our suppliers or if disruptions in the supply chain lead to parts shortages for our customers.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our annual cost of sales is driven by the purchase of goods. We select our suppliers based on total value (including price, delivery and quality), taking into consideration their production capacities and financial condition, and we expect that they will be able to support our needs. There is no assurance that adverse financial conditions, including bankruptcies of our suppliers, reduced levels of production, natural disasters, staffing shortages, supply chain issues or other problems experienced by our suppliers will not result in shortages or delays in their supply of components to us. Any significant production disruption could have a material impact on our operations,</w:t>
      </w:r>
    </w:p>
    <w:p>
      <w:pPr>
        <w:spacing w:after="0" w:line="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results and financial condition. If we were to experience a significant or prolonged shortage of critical components from our suppliers, we may be unable to meet our production schedules for some of our key products and to ship such products to our customers in a timely fashion, which would adversely affect our sales, profitability and customer relations.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businesses rely and may rely on their intellectual property and licenses to use others’ intellectual property, for competitive advantage. If our businesses are unable to protect their intellectual property, are unable to obtain or retain licenses to use other’s intellectual property, or if they infringe upon or are alleged to have infringed upon others’ intellectual property, it could have a material adverse effect on their financial condition, business and results of operations.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business's success depends in part on their, or licenses to use others’, brand names, proprietary technology and manufacturing techniques. These businesses rely on a combination of patents, trademarks, copyrights, trade secrets, confidentiality procedures and contractual provisions to protect their intellectual property rights. The steps they have taken to protect their intellectual property rights may not prevent third parties from using their intellectual property and other proprietary information without their authorization or independently developing intellectual property and other proprietary information that is similar. In addition, the laws of foreign countries may not protect our businesses’ intellectual property rights effectively or to the same extent as the laws of the United States.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Stopping unauthorized use of their proprietary information and intellectual property and defending claims that they have made unauthorized use of others’ proprietary information or intellectual property, may be difficult, time-consuming and costly. The use of their intellectual property and other proprietary information by others, and the use by others of their intellectual property and proprietary information, could reduce or eliminate any competitive advantage they have developed, cause them to lose sales or otherwise harm their business.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may become involved in legal proceedings and claims in the future either to protect their intellectual property or to defend allegations that they have infringed upon others’ intellectual property rights. These claims and any resulting litigation could subject them to significant liability for damages and invalidate their property rights. In addition, these lawsuits, regardless of their merits, could be time consuming and expensive to resolve and could divert management’s time and attention. The costs associated with any of these actions could be substantial and could have a material adverse effect on their financial condition, business and results of operations.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businesses are and may be subject to federal, state and foreign environmental laws and regulations that expose them to potential financial liability. Complying with applicable environmental laws requires significant resources, and if our businesses fail to comply, they could be subject to substantial liability.</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Some of the facilities and operations of our businesses are and may be subject to a variety of federal, state and foreign environmental laws and regulations including laws and regulations pertaining to the handling, storage and transportation of raw materials, products and wastes, which require and will continue to require significant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7" w:name="page68"/>
    <w:bookmarkEnd w:id="67"/>
    <w:p>
      <w:pPr>
        <w:jc w:val="both"/>
        <w:spacing w:after="0" w:line="255" w:lineRule="auto"/>
        <w:rPr>
          <w:sz w:val="20"/>
          <w:szCs w:val="20"/>
          <w:color w:val="auto"/>
        </w:rPr>
      </w:pPr>
      <w:r>
        <w:rPr>
          <w:rFonts w:ascii="Arial" w:cs="Arial" w:eastAsia="Arial" w:hAnsi="Arial"/>
          <w:sz w:val="18"/>
          <w:szCs w:val="18"/>
          <w:color w:val="auto"/>
        </w:rPr>
        <w:t>expenditures to remain in compliance with such laws and regulations currently in place and in the future. Compliance with current and future environmental laws is a major consideration for our businesses as any material violations of these laws can lead to substantial liability, revocations of discharge permits, fines or penalties. Because some of our businesses use hazardous materials and generate hazardous wastes in their operations, they may be subject to potential financial liability for costs associated with the investigation and remediation of their own sites, or sites at which they have arranged for the disposal of hazardous wastes, if such sites become contaminated. Even if they fully comply with applicable environmental laws and are not directly at fault for the contamination, our businesses may still be liable. Our businesses may also be held liable for damages caused by environmental and other conditions that existed prior to our acquisition the assets, business or operations involved, whether or not such damages are subject to indemnification from a prior owner. Costs associated with these risks could have a material adverse effect on our financial condition, business and results of operations.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Certain of our businesses are subject to increased product regulations which may cause an increase to our expenses or result in increased litigation in the event of non-compliance.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of our businesses are subject to increasingly stringent and complex domestic and foreign product labeling, performance, environmental and safety standards, laws and other regulations, including those pertaining to per-and polyfluoroalkyl substances ("PFAS") a group of chemicals used to make fluoropolymer coatings and products that resist heat, oil, stains, grease, and water. These requirements could result in greater expense associated with compliance efforts, and failure to comply with these regulations could result in a delay, non-delivery, recall, or destruction of inventory shipments during key seasons, a loss of advance orders from wholesale customers or in other financial penalties. Significant or continuing noncompliance with these standards and laws could disrupt our business and harm our reputation.</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Defects in the products provided by our companies could result in financial or other damages to their customers, which could result in reduced demand for our companies’ products and/or liability claims against our companies.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manufacturers and distributors of consumer products, certain of our companies are subject to various laws, rules and regulations, which may empower governmental agencies and authorities to exclude from the market products that are found to be unsafe or hazardous. Under certain circumstances, a governmental authority could require our companies to repurchase or recall one or more of their products. Additionally, laws regulating certain consumer products exist in some cities and states, as well as in other countries in which they sell their products, where more restrictive laws and regulations exist or may be adopted in the future. Any repurchase or recall of such products could be costly and could damage the reputation of our companies. If any of our companies were required to remove, or voluntarily remove, their products from the market, their reputation may be tarnished and they may have large quantities of finished products that they cannot sell. Additionally, our companies may be subject to regulatory actions that could harm their reputations, adversely impact the values of their brands and/or increase the cost of production.</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companies also face exposure to product liability claims in the event that one of their products is alleged to have resulted in property damage, bodily injury or other adverse effects. Defects in products could result in customer dissatisfaction or a reduction in, or cancellation of, future purchases or liability claims against our companies. If these defects occur frequently, our reputation may be impaired permanently. Defects in products could also result in financial or other damages to customers, for which our companies may be asked or required to compensate their customers, in the form of substantial monetary judgments or otherwise. There can be no assurance that rapidly changing safety standards will not render unsaleable products that complied with previously-applicable safety standards. As a result, these types of claims could have a material adverse effect on our businesses, results of operations and financial condition.</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businesses are subject to certain risks associated with their foreign operations or business they conduct in foreign jurisdictions.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businesses have and may have operations or conduct business outside the United States. Certain risks are inherent in operating or conducting business in foreign jurisdictions, including exposure to local economic conditions; difficulties in enforcing agreements and collecting receivables through certain foreign legal systems; longer payment cycles for foreign customers; adverse currency exchange controls; exposure to risks associated with changes in foreign exchange rates; potential adverse changes in political environments; actual or threatened geopolitical conflict; withholding taxes and restrictions on the withdrawal of foreign investments and earnings; export and import restrictions; difficulties in enforcing intellectual property rights; and required compliance with a variety of</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8" w:name="page69"/>
    <w:bookmarkEnd w:id="68"/>
    <w:p>
      <w:pPr>
        <w:jc w:val="both"/>
        <w:spacing w:after="0" w:line="287" w:lineRule="auto"/>
        <w:rPr>
          <w:sz w:val="20"/>
          <w:szCs w:val="20"/>
          <w:color w:val="auto"/>
        </w:rPr>
      </w:pPr>
      <w:r>
        <w:rPr>
          <w:rFonts w:ascii="Arial" w:cs="Arial" w:eastAsia="Arial" w:hAnsi="Arial"/>
          <w:sz w:val="18"/>
          <w:szCs w:val="18"/>
          <w:color w:val="auto"/>
        </w:rPr>
        <w:t>foreign laws and regulations. These risks individually and collectively have the potential to negatively impact our financial condition, business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branded consumer businesses depends on our ability to maintain the value and reputation of the brand.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name of our branded consumer businesses is integral to those businesses. Maintaining, promoting, and positioning our branded consumer businesses will depend, in part, on the success of marketing and merchandising efforts and the ability to provide a consistent, high quality products and services. Our branded consumer businesses rely on social media, as one of their marketing strategies, to have a positive impact on both brand value and reputation. The brand and reputation of our branded consumer businesses could be adversely affected if those subsidiaries fail to achieve their objectives, if their public image was to be tarnished by negative publicity, which could be amplified by social media, or if they fail to deliver innovative and high quality products. The reputation of our branded consumer businesses could also be impacted by adverse publicity, whether or not valid, regarding allegations that we or our subsidiaries, or persons associated with us or our subsidiaries or formerly associated with us or our subsidiaries, have violated applicable laws or regulations, including but not limited to those related to safety, employment, discrimination, harassment, whistle -blowing, privacy, corporate citizenship or improper business practices. Additionally, while our branded consumer businesses devote effort and resources to protecting their intellectual property, if these efforts are not successful the value of those brands may be harmed. Any harm to the brand or reputation of our subsidiaries could have a material adverse effect on our financial condition.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ITEM 1C. CYBERSECURITY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Strategy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Cybersecurity risk management and strategy is overseen both as a critical component of our overall risk management program and as a standalone program. We have implemented a risk-based,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 Our cybersecurity program is designed to leverage people, processes, and technology to identify and respond to cybersecurity threats. We also engage external service providers, where appropriate, to assess, test or otherwise assist with aspects of our security processes. We assess, identify, and manage risks from cybersecurity threats through various mechanisms, which may include risk assessments using applicable industry specific cybersecurity frameworks, control gap analyses, penetration testing, vulnerability scanning, cyber insurance that aligns with our subsidiaries' risk profiles and internal or third-party assessments.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committed to protecting the security and integrity of our systems, networks, databases and applications. We routinely invest to develop and implement cybersecurity programs and processes, including risk management and assessment programs, security and event monitoring capabilities, and prevention and protection capabilities. Our employees undergo annual security awareness training to enhance their understanding of cybersecurity threats and their ability to identify and escalate potential cybersecurity events. We regularly assess cybersecurity risks to identify and enumerate threats to us and vulnerabilities these threats can exploit to adversely impact our business operations.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apply a risk-based approach to mitigate cybersecurity risks associated with our use of third-party service providers, including those in our supply chain that have access to our customer and employee data or our systems. Third-party risks are included within our enterprise risk process. In addition, cybersecurity considerations affect the selection and oversight of our third-party service providers.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Board considers cybersecurity risk as part of its risk oversight function and has delegated oversight of cybersecurity risks to the Audit Committee. The Audit Committee has oversight responsibility for risks and incidents relating to cybersecurity threats, including compliance with disclosure requirements and related effects on financial and other risks, and it reports any findings and recommendations, as</w:t>
      </w:r>
    </w:p>
    <w:p>
      <w:pPr>
        <w:jc w:val="both"/>
        <w:ind w:right="20"/>
        <w:spacing w:after="0" w:line="287" w:lineRule="auto"/>
        <w:rPr>
          <w:sz w:val="20"/>
          <w:szCs w:val="20"/>
          <w:color w:val="auto"/>
        </w:rPr>
      </w:pPr>
      <w:r>
        <w:rPr>
          <w:rFonts w:ascii="Arial" w:cs="Arial" w:eastAsia="Arial" w:hAnsi="Arial"/>
          <w:sz w:val="18"/>
          <w:szCs w:val="18"/>
          <w:color w:val="auto"/>
        </w:rPr>
        <w:t>appropriate, to the full Board for consideration. Senior management regularly discusses cyber risks and trends and, if they should arise, will discuss any material incidents with the Audit Committee.</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Both the Board and the Audit Committee periodically review the measures we have implemented to identify and mitigate cybersecurity risks. As part of such reviews, our Board and Audit Committee receive periodic reports and presentations from members of the team responsible for overseeing cybersecurity risk management. These periodic reviews address various topics including evolving regulatory standards, recent developments, vulnerability assessments, third-party reviews, and other information security topics that senior management deems necessary. We have also established protocols by which certain cybersecurity incidents that meet established reporting thresholds are escalated internally and, where appropriate, reported to the Audit Committee or the Board in a timely manner.</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6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is a summary as of December 31, 2024 of the physical properties owned or leased by our businesses that we consider materially important to those businesses.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5.11</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5.11 is headquartered in Costa Mesa, California and leases offices and warehouse space in locations worldwide. The summary below outlines 5.11's primary leased offices and warehouse space.</w:t>
      </w:r>
    </w:p>
    <w:p>
      <w:pPr>
        <w:spacing w:after="0" w:line="179" w:lineRule="exact"/>
        <w:rPr>
          <w:sz w:val="20"/>
          <w:szCs w:val="20"/>
          <w:color w:val="auto"/>
        </w:rPr>
      </w:pPr>
    </w:p>
    <w:tbl>
      <w:tblPr>
        <w:tblLayout w:type="fixed"/>
        <w:tblInd w:w="1480" w:type="dxa"/>
        <w:tblCellMar>
          <w:top w:w="0" w:type="dxa"/>
          <w:left w:w="0" w:type="dxa"/>
          <w:bottom w:w="0" w:type="dxa"/>
          <w:right w:w="0" w:type="dxa"/>
        </w:tblCellMar>
      </w:tblPr>
      <w:tr>
        <w:trPr>
          <w:trHeight w:val="208"/>
        </w:trPr>
        <w:tc>
          <w:tcPr>
            <w:tcW w:w="3480" w:type="dxa"/>
            <w:vAlign w:val="bottom"/>
            <w:gridSpan w:val="2"/>
          </w:tcPr>
          <w:p>
            <w:pPr>
              <w:ind w:left="1300"/>
              <w:spacing w:after="0"/>
              <w:rPr>
                <w:sz w:val="20"/>
                <w:szCs w:val="20"/>
                <w:color w:val="auto"/>
              </w:rPr>
            </w:pPr>
            <w:r>
              <w:rPr>
                <w:rFonts w:ascii="Arial" w:cs="Arial" w:eastAsia="Arial" w:hAnsi="Arial"/>
                <w:sz w:val="15"/>
                <w:szCs w:val="15"/>
                <w:b w:val="1"/>
                <w:bCs w:val="1"/>
                <w:color w:val="auto"/>
              </w:rPr>
              <w:t>Location</w:t>
            </w:r>
          </w:p>
        </w:tc>
        <w:tc>
          <w:tcPr>
            <w:tcW w:w="1980" w:type="dxa"/>
            <w:vAlign w:val="bottom"/>
            <w:gridSpan w:val="2"/>
          </w:tcPr>
          <w:p>
            <w:pPr>
              <w:ind w:left="420"/>
              <w:spacing w:after="0"/>
              <w:rPr>
                <w:sz w:val="20"/>
                <w:szCs w:val="20"/>
                <w:color w:val="auto"/>
              </w:rPr>
            </w:pPr>
            <w:r>
              <w:rPr>
                <w:rFonts w:ascii="Arial" w:cs="Arial" w:eastAsia="Arial" w:hAnsi="Arial"/>
                <w:sz w:val="15"/>
                <w:szCs w:val="15"/>
                <w:b w:val="1"/>
                <w:bCs w:val="1"/>
                <w:color w:val="auto"/>
              </w:rPr>
              <w:t>Square Feet</w:t>
            </w:r>
          </w:p>
        </w:tc>
        <w:tc>
          <w:tcPr>
            <w:tcW w:w="2840" w:type="dxa"/>
            <w:vAlign w:val="bottom"/>
          </w:tcPr>
          <w:p>
            <w:pPr>
              <w:ind w:left="1280"/>
              <w:spacing w:after="0"/>
              <w:rPr>
                <w:sz w:val="20"/>
                <w:szCs w:val="20"/>
                <w:color w:val="auto"/>
              </w:rPr>
            </w:pPr>
            <w:r>
              <w:rPr>
                <w:rFonts w:ascii="Arial" w:cs="Arial" w:eastAsia="Arial" w:hAnsi="Arial"/>
                <w:sz w:val="15"/>
                <w:szCs w:val="15"/>
                <w:b w:val="1"/>
                <w:bCs w:val="1"/>
                <w:color w:val="auto"/>
              </w:rPr>
              <w:t>Use</w:t>
            </w:r>
          </w:p>
        </w:tc>
      </w:tr>
      <w:tr>
        <w:trPr>
          <w:trHeight w:val="210"/>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Costa Mesa, CA</w:t>
            </w:r>
          </w:p>
        </w:tc>
        <w:tc>
          <w:tcPr>
            <w:tcW w:w="2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39,650</w:t>
            </w:r>
          </w:p>
        </w:tc>
        <w:tc>
          <w:tcPr>
            <w:tcW w:w="26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Office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Manteca, CA</w:t>
            </w:r>
          </w:p>
        </w:tc>
        <w:tc>
          <w:tcPr>
            <w:tcW w:w="1720" w:type="dxa"/>
            <w:vAlign w:val="bottom"/>
          </w:tcPr>
          <w:p>
            <w:pPr>
              <w:jc w:val="right"/>
              <w:spacing w:after="0"/>
              <w:rPr>
                <w:sz w:val="20"/>
                <w:szCs w:val="20"/>
                <w:color w:val="auto"/>
              </w:rPr>
            </w:pPr>
            <w:r>
              <w:rPr>
                <w:rFonts w:ascii="Arial" w:cs="Arial" w:eastAsia="Arial" w:hAnsi="Arial"/>
                <w:sz w:val="16"/>
                <w:szCs w:val="16"/>
                <w:color w:val="auto"/>
              </w:rPr>
              <w:t>400,000</w:t>
            </w:r>
          </w:p>
        </w:tc>
        <w:tc>
          <w:tcPr>
            <w:tcW w:w="26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Bankstown, Australia</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10,387</w:t>
            </w:r>
          </w:p>
        </w:tc>
        <w:tc>
          <w:tcPr>
            <w:tcW w:w="26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Malmo, Sweden</w:t>
            </w:r>
          </w:p>
        </w:tc>
        <w:tc>
          <w:tcPr>
            <w:tcW w:w="1720" w:type="dxa"/>
            <w:vAlign w:val="bottom"/>
          </w:tcPr>
          <w:p>
            <w:pPr>
              <w:jc w:val="right"/>
              <w:spacing w:after="0"/>
              <w:rPr>
                <w:sz w:val="20"/>
                <w:szCs w:val="20"/>
                <w:color w:val="auto"/>
              </w:rPr>
            </w:pPr>
            <w:r>
              <w:rPr>
                <w:rFonts w:ascii="Arial" w:cs="Arial" w:eastAsia="Arial" w:hAnsi="Arial"/>
                <w:sz w:val="16"/>
                <w:szCs w:val="16"/>
                <w:color w:val="auto"/>
              </w:rPr>
              <w:t>8,751</w:t>
            </w:r>
          </w:p>
        </w:tc>
        <w:tc>
          <w:tcPr>
            <w:tcW w:w="26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Office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Kowloon Bay, Hong Kong, China</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17,759</w:t>
            </w:r>
          </w:p>
        </w:tc>
        <w:tc>
          <w:tcPr>
            <w:tcW w:w="26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w:t>
            </w:r>
          </w:p>
        </w:tc>
      </w:tr>
    </w:tbl>
    <w:p>
      <w:pPr>
        <w:spacing w:after="0" w:line="22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addition, at December 31, 2024, 5.11 leased space for 122 retail stores, ranging in size from 3,250 square feet to 10,000 square feet, with an average square footage of 5,000 square feet.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BOA is headquartered in Denver, Colorado and leases offices and warehouse space in locations worldwide. The summary below outlines BOA's primary leased offices and warehouse space.</w:t>
      </w:r>
    </w:p>
    <w:p>
      <w:pPr>
        <w:spacing w:after="0" w:line="198" w:lineRule="exact"/>
        <w:rPr>
          <w:sz w:val="20"/>
          <w:szCs w:val="20"/>
          <w:color w:val="auto"/>
        </w:rPr>
      </w:pPr>
    </w:p>
    <w:tbl>
      <w:tblPr>
        <w:tblLayout w:type="fixed"/>
        <w:tblInd w:w="1460" w:type="dxa"/>
        <w:tblCellMar>
          <w:top w:w="0" w:type="dxa"/>
          <w:left w:w="0" w:type="dxa"/>
          <w:bottom w:w="0" w:type="dxa"/>
          <w:right w:w="0" w:type="dxa"/>
        </w:tblCellMar>
      </w:tblPr>
      <w:tr>
        <w:trPr>
          <w:trHeight w:val="217"/>
        </w:trPr>
        <w:tc>
          <w:tcPr>
            <w:tcW w:w="3480" w:type="dxa"/>
            <w:vAlign w:val="bottom"/>
            <w:gridSpan w:val="2"/>
          </w:tcPr>
          <w:p>
            <w:pPr>
              <w:ind w:left="1280"/>
              <w:spacing w:after="0"/>
              <w:rPr>
                <w:sz w:val="20"/>
                <w:szCs w:val="20"/>
                <w:color w:val="auto"/>
              </w:rPr>
            </w:pPr>
            <w:r>
              <w:rPr>
                <w:rFonts w:ascii="Arial" w:cs="Arial" w:eastAsia="Arial" w:hAnsi="Arial"/>
                <w:sz w:val="16"/>
                <w:szCs w:val="16"/>
                <w:b w:val="1"/>
                <w:bCs w:val="1"/>
                <w:color w:val="auto"/>
              </w:rPr>
              <w:t>Location</w:t>
            </w:r>
          </w:p>
        </w:tc>
        <w:tc>
          <w:tcPr>
            <w:tcW w:w="2000" w:type="dxa"/>
            <w:vAlign w:val="bottom"/>
            <w:gridSpan w:val="2"/>
          </w:tcPr>
          <w:p>
            <w:pPr>
              <w:ind w:left="400"/>
              <w:spacing w:after="0"/>
              <w:rPr>
                <w:sz w:val="20"/>
                <w:szCs w:val="20"/>
                <w:color w:val="auto"/>
              </w:rPr>
            </w:pPr>
            <w:r>
              <w:rPr>
                <w:rFonts w:ascii="Arial" w:cs="Arial" w:eastAsia="Arial" w:hAnsi="Arial"/>
                <w:sz w:val="16"/>
                <w:szCs w:val="16"/>
                <w:b w:val="1"/>
                <w:bCs w:val="1"/>
                <w:color w:val="auto"/>
              </w:rPr>
              <w:t>Square Feet</w:t>
            </w:r>
          </w:p>
        </w:tc>
        <w:tc>
          <w:tcPr>
            <w:tcW w:w="2860" w:type="dxa"/>
            <w:vAlign w:val="bottom"/>
          </w:tcPr>
          <w:p>
            <w:pPr>
              <w:ind w:left="1260"/>
              <w:spacing w:after="0"/>
              <w:rPr>
                <w:sz w:val="20"/>
                <w:szCs w:val="20"/>
                <w:color w:val="auto"/>
              </w:rPr>
            </w:pPr>
            <w:r>
              <w:rPr>
                <w:rFonts w:ascii="Arial" w:cs="Arial" w:eastAsia="Arial" w:hAnsi="Arial"/>
                <w:sz w:val="16"/>
                <w:szCs w:val="16"/>
                <w:b w:val="1"/>
                <w:bCs w:val="1"/>
                <w:color w:val="auto"/>
              </w:rPr>
              <w:t>Use</w:t>
            </w:r>
          </w:p>
        </w:tc>
      </w:tr>
      <w:tr>
        <w:trPr>
          <w:trHeight w:val="210"/>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Denver, CO</w:t>
            </w:r>
          </w:p>
        </w:tc>
        <w:tc>
          <w:tcPr>
            <w:tcW w:w="2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88,000</w:t>
            </w:r>
          </w:p>
        </w:tc>
        <w:tc>
          <w:tcPr>
            <w:tcW w:w="2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Office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Mondsee, Austria</w:t>
            </w:r>
          </w:p>
        </w:tc>
        <w:tc>
          <w:tcPr>
            <w:tcW w:w="1720" w:type="dxa"/>
            <w:vAlign w:val="bottom"/>
          </w:tcPr>
          <w:p>
            <w:pPr>
              <w:jc w:val="right"/>
              <w:spacing w:after="0"/>
              <w:rPr>
                <w:sz w:val="20"/>
                <w:szCs w:val="20"/>
                <w:color w:val="auto"/>
              </w:rPr>
            </w:pPr>
            <w:r>
              <w:rPr>
                <w:rFonts w:ascii="Arial" w:cs="Arial" w:eastAsia="Arial" w:hAnsi="Arial"/>
                <w:sz w:val="16"/>
                <w:szCs w:val="16"/>
                <w:color w:val="auto"/>
              </w:rPr>
              <w:t>15,714</w:t>
            </w:r>
          </w:p>
        </w:tc>
        <w:tc>
          <w:tcPr>
            <w:tcW w:w="28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Office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Hong Kong, China</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Office/Warehouse</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Lugano</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Lugano is headquartered in Newport Beach, California. The summary below outlines Lugano's primary leased office space and retail locations.</w:t>
      </w:r>
    </w:p>
    <w:p>
      <w:pPr>
        <w:spacing w:after="0" w:line="90" w:lineRule="exact"/>
        <w:rPr>
          <w:sz w:val="20"/>
          <w:szCs w:val="20"/>
          <w:color w:val="auto"/>
        </w:rPr>
      </w:pPr>
    </w:p>
    <w:tbl>
      <w:tblPr>
        <w:tblLayout w:type="fixed"/>
        <w:tblInd w:w="1460" w:type="dxa"/>
        <w:tblCellMar>
          <w:top w:w="0" w:type="dxa"/>
          <w:left w:w="0" w:type="dxa"/>
          <w:bottom w:w="0" w:type="dxa"/>
          <w:right w:w="0" w:type="dxa"/>
        </w:tblCellMar>
      </w:tblPr>
      <w:tr>
        <w:trPr>
          <w:trHeight w:val="217"/>
        </w:trPr>
        <w:tc>
          <w:tcPr>
            <w:tcW w:w="3480" w:type="dxa"/>
            <w:vAlign w:val="bottom"/>
            <w:gridSpan w:val="2"/>
          </w:tcPr>
          <w:p>
            <w:pPr>
              <w:ind w:left="1280"/>
              <w:spacing w:after="0"/>
              <w:rPr>
                <w:sz w:val="20"/>
                <w:szCs w:val="20"/>
                <w:color w:val="auto"/>
              </w:rPr>
            </w:pPr>
            <w:r>
              <w:rPr>
                <w:rFonts w:ascii="Arial" w:cs="Arial" w:eastAsia="Arial" w:hAnsi="Arial"/>
                <w:sz w:val="16"/>
                <w:szCs w:val="16"/>
                <w:b w:val="1"/>
                <w:bCs w:val="1"/>
                <w:color w:val="auto"/>
              </w:rPr>
              <w:t>Location</w:t>
            </w:r>
          </w:p>
        </w:tc>
        <w:tc>
          <w:tcPr>
            <w:tcW w:w="2000" w:type="dxa"/>
            <w:vAlign w:val="bottom"/>
            <w:gridSpan w:val="2"/>
          </w:tcPr>
          <w:p>
            <w:pPr>
              <w:ind w:left="420"/>
              <w:spacing w:after="0"/>
              <w:rPr>
                <w:sz w:val="20"/>
                <w:szCs w:val="20"/>
                <w:color w:val="auto"/>
              </w:rPr>
            </w:pPr>
            <w:r>
              <w:rPr>
                <w:rFonts w:ascii="Arial" w:cs="Arial" w:eastAsia="Arial" w:hAnsi="Arial"/>
                <w:sz w:val="16"/>
                <w:szCs w:val="16"/>
                <w:b w:val="1"/>
                <w:bCs w:val="1"/>
                <w:color w:val="auto"/>
              </w:rPr>
              <w:t>Square Feet</w:t>
            </w:r>
          </w:p>
        </w:tc>
        <w:tc>
          <w:tcPr>
            <w:tcW w:w="2860" w:type="dxa"/>
            <w:vAlign w:val="bottom"/>
          </w:tcPr>
          <w:p>
            <w:pPr>
              <w:ind w:left="1280"/>
              <w:spacing w:after="0"/>
              <w:rPr>
                <w:sz w:val="20"/>
                <w:szCs w:val="20"/>
                <w:color w:val="auto"/>
              </w:rPr>
            </w:pPr>
            <w:r>
              <w:rPr>
                <w:rFonts w:ascii="Arial" w:cs="Arial" w:eastAsia="Arial" w:hAnsi="Arial"/>
                <w:sz w:val="16"/>
                <w:szCs w:val="16"/>
                <w:b w:val="1"/>
                <w:bCs w:val="1"/>
                <w:color w:val="auto"/>
              </w:rPr>
              <w:t>Use</w:t>
            </w:r>
          </w:p>
        </w:tc>
      </w:tr>
      <w:tr>
        <w:trPr>
          <w:trHeight w:val="209"/>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Newport Beach, CA</w:t>
            </w:r>
          </w:p>
        </w:tc>
        <w:tc>
          <w:tcPr>
            <w:tcW w:w="2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46,170</w:t>
            </w:r>
          </w:p>
        </w:tc>
        <w:tc>
          <w:tcPr>
            <w:tcW w:w="2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office and Retail salon</w:t>
            </w:r>
          </w:p>
        </w:tc>
      </w:tr>
      <w:tr>
        <w:trPr>
          <w:trHeight w:val="215"/>
        </w:trPr>
        <w:tc>
          <w:tcPr>
            <w:tcW w:w="3480" w:type="dxa"/>
            <w:vAlign w:val="bottom"/>
            <w:gridSpan w:val="2"/>
          </w:tcPr>
          <w:p>
            <w:pPr>
              <w:spacing w:after="0"/>
              <w:rPr>
                <w:sz w:val="20"/>
                <w:szCs w:val="20"/>
                <w:color w:val="auto"/>
              </w:rPr>
            </w:pPr>
            <w:r>
              <w:rPr>
                <w:rFonts w:ascii="Arial" w:cs="Arial" w:eastAsia="Arial" w:hAnsi="Arial"/>
                <w:sz w:val="16"/>
                <w:szCs w:val="16"/>
                <w:color w:val="auto"/>
              </w:rPr>
              <w:t>Chicago, IL</w:t>
            </w:r>
          </w:p>
        </w:tc>
        <w:tc>
          <w:tcPr>
            <w:tcW w:w="1760" w:type="dxa"/>
            <w:vAlign w:val="bottom"/>
          </w:tcPr>
          <w:p>
            <w:pPr>
              <w:jc w:val="right"/>
              <w:spacing w:after="0"/>
              <w:rPr>
                <w:sz w:val="20"/>
                <w:szCs w:val="20"/>
                <w:color w:val="auto"/>
              </w:rPr>
            </w:pPr>
            <w:r>
              <w:rPr>
                <w:rFonts w:ascii="Arial" w:cs="Arial" w:eastAsia="Arial" w:hAnsi="Arial"/>
                <w:sz w:val="16"/>
                <w:szCs w:val="16"/>
                <w:color w:val="auto"/>
              </w:rPr>
              <w:t>15,769</w:t>
            </w:r>
          </w:p>
        </w:tc>
        <w:tc>
          <w:tcPr>
            <w:tcW w:w="24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6"/>
                <w:szCs w:val="16"/>
                <w:color w:val="auto"/>
              </w:rPr>
              <w:t>Retail salon</w:t>
            </w:r>
          </w:p>
        </w:tc>
      </w:tr>
      <w:tr>
        <w:trPr>
          <w:trHeight w:val="217"/>
        </w:trPr>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London, UK</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240" w:type="dxa"/>
            <w:vAlign w:val="bottom"/>
            <w:shd w:val="clear" w:color="auto" w:fill="CCEEFF"/>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and Retail salon</w:t>
            </w:r>
          </w:p>
        </w:tc>
      </w:tr>
      <w:tr>
        <w:trPr>
          <w:trHeight w:val="215"/>
        </w:trPr>
        <w:tc>
          <w:tcPr>
            <w:tcW w:w="3480" w:type="dxa"/>
            <w:vAlign w:val="bottom"/>
            <w:gridSpan w:val="2"/>
          </w:tcPr>
          <w:p>
            <w:pPr>
              <w:spacing w:after="0"/>
              <w:rPr>
                <w:sz w:val="20"/>
                <w:szCs w:val="20"/>
                <w:color w:val="auto"/>
              </w:rPr>
            </w:pPr>
            <w:r>
              <w:rPr>
                <w:rFonts w:ascii="Arial" w:cs="Arial" w:eastAsia="Arial" w:hAnsi="Arial"/>
                <w:sz w:val="16"/>
                <w:szCs w:val="16"/>
                <w:color w:val="auto"/>
              </w:rPr>
              <w:t>Palm Beach, FL</w:t>
            </w:r>
          </w:p>
        </w:tc>
        <w:tc>
          <w:tcPr>
            <w:tcW w:w="1760" w:type="dxa"/>
            <w:vAlign w:val="bottom"/>
          </w:tcPr>
          <w:p>
            <w:pPr>
              <w:jc w:val="right"/>
              <w:spacing w:after="0"/>
              <w:rPr>
                <w:sz w:val="20"/>
                <w:szCs w:val="20"/>
                <w:color w:val="auto"/>
              </w:rPr>
            </w:pPr>
            <w:r>
              <w:rPr>
                <w:rFonts w:ascii="Arial" w:cs="Arial" w:eastAsia="Arial" w:hAnsi="Arial"/>
                <w:sz w:val="16"/>
                <w:szCs w:val="16"/>
                <w:color w:val="auto"/>
              </w:rPr>
              <w:t>4,528</w:t>
            </w:r>
          </w:p>
        </w:tc>
        <w:tc>
          <w:tcPr>
            <w:tcW w:w="24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6"/>
                <w:szCs w:val="16"/>
                <w:color w:val="auto"/>
              </w:rPr>
              <w:t>Retail salon</w:t>
            </w:r>
          </w:p>
        </w:tc>
      </w:tr>
      <w:tr>
        <w:trPr>
          <w:trHeight w:val="217"/>
        </w:trPr>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Greenwich, CT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w:t>
            </w:r>
          </w:p>
        </w:tc>
        <w:tc>
          <w:tcPr>
            <w:tcW w:w="240" w:type="dxa"/>
            <w:vAlign w:val="bottom"/>
            <w:shd w:val="clear" w:color="auto" w:fill="CCEEFF"/>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salon</w:t>
            </w:r>
          </w:p>
        </w:tc>
      </w:tr>
      <w:tr>
        <w:trPr>
          <w:trHeight w:val="215"/>
        </w:trPr>
        <w:tc>
          <w:tcPr>
            <w:tcW w:w="3480" w:type="dxa"/>
            <w:vAlign w:val="bottom"/>
            <w:gridSpan w:val="2"/>
          </w:tcPr>
          <w:p>
            <w:pPr>
              <w:spacing w:after="0"/>
              <w:rPr>
                <w:sz w:val="20"/>
                <w:szCs w:val="20"/>
                <w:color w:val="auto"/>
              </w:rPr>
            </w:pPr>
            <w:r>
              <w:rPr>
                <w:rFonts w:ascii="Arial" w:cs="Arial" w:eastAsia="Arial" w:hAnsi="Arial"/>
                <w:sz w:val="16"/>
                <w:szCs w:val="16"/>
                <w:color w:val="auto"/>
              </w:rPr>
              <w:t>Aspen, CO</w:t>
            </w:r>
          </w:p>
        </w:tc>
        <w:tc>
          <w:tcPr>
            <w:tcW w:w="1760" w:type="dxa"/>
            <w:vAlign w:val="bottom"/>
          </w:tcPr>
          <w:p>
            <w:pPr>
              <w:jc w:val="right"/>
              <w:spacing w:after="0"/>
              <w:rPr>
                <w:sz w:val="20"/>
                <w:szCs w:val="20"/>
                <w:color w:val="auto"/>
              </w:rPr>
            </w:pPr>
            <w:r>
              <w:rPr>
                <w:rFonts w:ascii="Arial" w:cs="Arial" w:eastAsia="Arial" w:hAnsi="Arial"/>
                <w:sz w:val="16"/>
                <w:szCs w:val="16"/>
                <w:color w:val="auto"/>
              </w:rPr>
              <w:t>1,463</w:t>
            </w:r>
          </w:p>
        </w:tc>
        <w:tc>
          <w:tcPr>
            <w:tcW w:w="24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6"/>
                <w:szCs w:val="16"/>
                <w:color w:val="auto"/>
              </w:rPr>
              <w:t>Retail salon</w:t>
            </w:r>
          </w:p>
        </w:tc>
      </w:tr>
      <w:tr>
        <w:trPr>
          <w:trHeight w:val="217"/>
        </w:trPr>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Ocala, FL</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240" w:type="dxa"/>
            <w:vAlign w:val="bottom"/>
            <w:shd w:val="clear" w:color="auto" w:fill="CCEEFF"/>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salon</w:t>
            </w:r>
          </w:p>
        </w:tc>
      </w:tr>
      <w:tr>
        <w:trPr>
          <w:trHeight w:val="215"/>
        </w:trPr>
        <w:tc>
          <w:tcPr>
            <w:tcW w:w="3480" w:type="dxa"/>
            <w:vAlign w:val="bottom"/>
            <w:gridSpan w:val="2"/>
          </w:tcPr>
          <w:p>
            <w:pPr>
              <w:spacing w:after="0"/>
              <w:rPr>
                <w:sz w:val="20"/>
                <w:szCs w:val="20"/>
                <w:color w:val="auto"/>
              </w:rPr>
            </w:pPr>
            <w:r>
              <w:rPr>
                <w:rFonts w:ascii="Arial" w:cs="Arial" w:eastAsia="Arial" w:hAnsi="Arial"/>
                <w:sz w:val="16"/>
                <w:szCs w:val="16"/>
                <w:color w:val="auto"/>
              </w:rPr>
              <w:t>Houston, TX</w:t>
            </w:r>
          </w:p>
        </w:tc>
        <w:tc>
          <w:tcPr>
            <w:tcW w:w="1760" w:type="dxa"/>
            <w:vAlign w:val="bottom"/>
          </w:tcPr>
          <w:p>
            <w:pPr>
              <w:jc w:val="right"/>
              <w:spacing w:after="0"/>
              <w:rPr>
                <w:sz w:val="20"/>
                <w:szCs w:val="20"/>
                <w:color w:val="auto"/>
              </w:rPr>
            </w:pPr>
            <w:r>
              <w:rPr>
                <w:rFonts w:ascii="Arial" w:cs="Arial" w:eastAsia="Arial" w:hAnsi="Arial"/>
                <w:sz w:val="16"/>
                <w:szCs w:val="16"/>
                <w:color w:val="auto"/>
              </w:rPr>
              <w:t>1,069</w:t>
            </w:r>
          </w:p>
        </w:tc>
        <w:tc>
          <w:tcPr>
            <w:tcW w:w="24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6"/>
                <w:szCs w:val="16"/>
                <w:color w:val="auto"/>
              </w:rPr>
              <w:t>Retail salon</w:t>
            </w:r>
          </w:p>
        </w:tc>
      </w:tr>
      <w:tr>
        <w:trPr>
          <w:trHeight w:val="217"/>
        </w:trPr>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Washington, DC</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w:t>
            </w:r>
          </w:p>
        </w:tc>
        <w:tc>
          <w:tcPr>
            <w:tcW w:w="240" w:type="dxa"/>
            <w:vAlign w:val="bottom"/>
            <w:shd w:val="clear" w:color="auto" w:fill="CCEEFF"/>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salon</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PrimaLoft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PrimaLoft is headquartered in Latham, New York. The summary below outlines PrimaLoft's primary leased office space.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60" w:type="dxa"/>
            <w:vAlign w:val="bottom"/>
          </w:tcPr>
          <w:p>
            <w:pPr>
              <w:spacing w:after="0"/>
              <w:rPr>
                <w:sz w:val="18"/>
                <w:szCs w:val="18"/>
                <w:color w:val="auto"/>
              </w:rPr>
            </w:pPr>
          </w:p>
        </w:tc>
        <w:tc>
          <w:tcPr>
            <w:tcW w:w="3480" w:type="dxa"/>
            <w:vAlign w:val="bottom"/>
            <w:gridSpan w:val="2"/>
          </w:tcPr>
          <w:p>
            <w:pPr>
              <w:ind w:left="1280"/>
              <w:spacing w:after="0"/>
              <w:rPr>
                <w:sz w:val="20"/>
                <w:szCs w:val="20"/>
                <w:color w:val="auto"/>
              </w:rPr>
            </w:pPr>
            <w:r>
              <w:rPr>
                <w:rFonts w:ascii="Arial" w:cs="Arial" w:eastAsia="Arial" w:hAnsi="Arial"/>
                <w:sz w:val="16"/>
                <w:szCs w:val="16"/>
                <w:b w:val="1"/>
                <w:bCs w:val="1"/>
                <w:color w:val="auto"/>
              </w:rPr>
              <w:t>Location</w:t>
            </w:r>
          </w:p>
        </w:tc>
        <w:tc>
          <w:tcPr>
            <w:tcW w:w="2040" w:type="dxa"/>
            <w:vAlign w:val="bottom"/>
            <w:gridSpan w:val="2"/>
          </w:tcPr>
          <w:p>
            <w:pPr>
              <w:ind w:left="420"/>
              <w:spacing w:after="0"/>
              <w:rPr>
                <w:sz w:val="20"/>
                <w:szCs w:val="20"/>
                <w:color w:val="auto"/>
              </w:rPr>
            </w:pPr>
            <w:r>
              <w:rPr>
                <w:rFonts w:ascii="Arial" w:cs="Arial" w:eastAsia="Arial" w:hAnsi="Arial"/>
                <w:sz w:val="16"/>
                <w:szCs w:val="16"/>
                <w:b w:val="1"/>
                <w:bCs w:val="1"/>
                <w:color w:val="auto"/>
              </w:rPr>
              <w:t>Square Feet</w:t>
            </w:r>
          </w:p>
        </w:tc>
        <w:tc>
          <w:tcPr>
            <w:tcW w:w="4260" w:type="dxa"/>
            <w:vAlign w:val="bottom"/>
            <w:gridSpan w:val="2"/>
          </w:tcPr>
          <w:p>
            <w:pPr>
              <w:ind w:left="1260"/>
              <w:spacing w:after="0"/>
              <w:rPr>
                <w:sz w:val="20"/>
                <w:szCs w:val="20"/>
                <w:color w:val="auto"/>
              </w:rPr>
            </w:pPr>
            <w:r>
              <w:rPr>
                <w:rFonts w:ascii="Arial" w:cs="Arial" w:eastAsia="Arial" w:hAnsi="Arial"/>
                <w:sz w:val="16"/>
                <w:szCs w:val="16"/>
                <w:b w:val="1"/>
                <w:bCs w:val="1"/>
                <w:color w:val="auto"/>
              </w:rPr>
              <w:t>Use</w:t>
            </w:r>
          </w:p>
        </w:tc>
      </w:tr>
      <w:tr>
        <w:trPr>
          <w:trHeight w:val="210"/>
        </w:trPr>
        <w:tc>
          <w:tcPr>
            <w:tcW w:w="146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Latham, NY</w:t>
            </w:r>
          </w:p>
        </w:tc>
        <w:tc>
          <w:tcPr>
            <w:tcW w:w="2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13,321</w:t>
            </w:r>
          </w:p>
        </w:tc>
        <w:tc>
          <w:tcPr>
            <w:tcW w:w="28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Corporate Office</w:t>
            </w:r>
          </w:p>
        </w:tc>
        <w:tc>
          <w:tcPr>
            <w:tcW w:w="1440" w:type="dxa"/>
            <w:vAlign w:val="bottom"/>
          </w:tcPr>
          <w:p>
            <w:pPr>
              <w:spacing w:after="0"/>
              <w:rPr>
                <w:sz w:val="18"/>
                <w:szCs w:val="18"/>
                <w:color w:val="auto"/>
              </w:rPr>
            </w:pPr>
          </w:p>
        </w:tc>
      </w:tr>
      <w:tr>
        <w:trPr>
          <w:trHeight w:val="215"/>
        </w:trPr>
        <w:tc>
          <w:tcPr>
            <w:tcW w:w="146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Xiamen, China</w:t>
            </w:r>
          </w:p>
        </w:tc>
        <w:tc>
          <w:tcPr>
            <w:tcW w:w="1760" w:type="dxa"/>
            <w:vAlign w:val="bottom"/>
          </w:tcPr>
          <w:p>
            <w:pPr>
              <w:jc w:val="right"/>
              <w:spacing w:after="0"/>
              <w:rPr>
                <w:sz w:val="20"/>
                <w:szCs w:val="20"/>
                <w:color w:val="auto"/>
              </w:rPr>
            </w:pPr>
            <w:r>
              <w:rPr>
                <w:rFonts w:ascii="Arial" w:cs="Arial" w:eastAsia="Arial" w:hAnsi="Arial"/>
                <w:sz w:val="16"/>
                <w:szCs w:val="16"/>
                <w:color w:val="auto"/>
              </w:rPr>
              <w:t>6,347</w:t>
            </w:r>
          </w:p>
        </w:tc>
        <w:tc>
          <w:tcPr>
            <w:tcW w:w="2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Office</w:t>
            </w:r>
          </w:p>
        </w:tc>
        <w:tc>
          <w:tcPr>
            <w:tcW w:w="1440" w:type="dxa"/>
            <w:vAlign w:val="bottom"/>
          </w:tcPr>
          <w:p>
            <w:pPr>
              <w:spacing w:after="0"/>
              <w:rPr>
                <w:sz w:val="18"/>
                <w:szCs w:val="18"/>
                <w:color w:val="auto"/>
              </w:rPr>
            </w:pPr>
          </w:p>
        </w:tc>
      </w:tr>
      <w:tr>
        <w:trPr>
          <w:trHeight w:val="904"/>
        </w:trPr>
        <w:tc>
          <w:tcPr>
            <w:tcW w:w="1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ind w:right="899"/>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4"/>
        </w:trPr>
        <w:tc>
          <w:tcPr>
            <w:tcW w:w="146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The Honey Pot Co.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Honey Pot Co. is headquartered in Atlanta, Georgia and leases office space of approximately 10,000 square feet.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Velocity Outdoor</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Velocity's Ravin subsidiary leases an 85,000 square foot manufacturing facility in Superior, Wisconsin. Its King's Camo subsidiary leases a 14,000 square foot manufacturing facility in Lindon, Utah.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Altor Solutions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Altor is headquartered in St. Louis, Missouri and operates 23 molding and fabricating facilities across North America. Altor owns the New Albany, IN, Bloomsburg, PA and El Dorado Springs, MO locations. All other locations are leased. The summary below outlines Altor's primary property locations.</w:t>
      </w:r>
    </w:p>
    <w:p>
      <w:pPr>
        <w:spacing w:after="0" w:line="54" w:lineRule="exact"/>
        <w:rPr>
          <w:sz w:val="20"/>
          <w:szCs w:val="20"/>
          <w:color w:val="auto"/>
        </w:rPr>
      </w:pPr>
    </w:p>
    <w:tbl>
      <w:tblPr>
        <w:tblLayout w:type="fixed"/>
        <w:tblInd w:w="1460" w:type="dxa"/>
        <w:tblCellMar>
          <w:top w:w="0" w:type="dxa"/>
          <w:left w:w="0" w:type="dxa"/>
          <w:bottom w:w="0" w:type="dxa"/>
          <w:right w:w="0" w:type="dxa"/>
        </w:tblCellMar>
      </w:tblPr>
      <w:tr>
        <w:trPr>
          <w:trHeight w:val="217"/>
        </w:trPr>
        <w:tc>
          <w:tcPr>
            <w:tcW w:w="348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w:t>
            </w:r>
          </w:p>
        </w:tc>
        <w:tc>
          <w:tcPr>
            <w:tcW w:w="2000" w:type="dxa"/>
            <w:vAlign w:val="bottom"/>
            <w:gridSpan w:val="2"/>
          </w:tcPr>
          <w:p>
            <w:pPr>
              <w:ind w:left="420"/>
              <w:spacing w:after="0"/>
              <w:rPr>
                <w:sz w:val="20"/>
                <w:szCs w:val="20"/>
                <w:color w:val="auto"/>
              </w:rPr>
            </w:pPr>
            <w:r>
              <w:rPr>
                <w:rFonts w:ascii="Arial" w:cs="Arial" w:eastAsia="Arial" w:hAnsi="Arial"/>
                <w:sz w:val="16"/>
                <w:szCs w:val="16"/>
                <w:b w:val="1"/>
                <w:bCs w:val="1"/>
                <w:color w:val="auto"/>
              </w:rPr>
              <w:t>Square Feet</w:t>
            </w:r>
          </w:p>
        </w:tc>
        <w:tc>
          <w:tcPr>
            <w:tcW w:w="2840" w:type="dxa"/>
            <w:vAlign w:val="bottom"/>
          </w:tcPr>
          <w:p>
            <w:pPr>
              <w:ind w:left="1280"/>
              <w:spacing w:after="0"/>
              <w:rPr>
                <w:sz w:val="20"/>
                <w:szCs w:val="20"/>
                <w:color w:val="auto"/>
              </w:rPr>
            </w:pPr>
            <w:r>
              <w:rPr>
                <w:rFonts w:ascii="Arial" w:cs="Arial" w:eastAsia="Arial" w:hAnsi="Arial"/>
                <w:sz w:val="16"/>
                <w:szCs w:val="16"/>
                <w:b w:val="1"/>
                <w:bCs w:val="1"/>
                <w:color w:val="auto"/>
              </w:rPr>
              <w:t>Use</w:t>
            </w:r>
          </w:p>
        </w:tc>
      </w:tr>
      <w:tr>
        <w:trPr>
          <w:trHeight w:val="209"/>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Anderson, South Carolina</w:t>
            </w:r>
          </w:p>
        </w:tc>
        <w:tc>
          <w:tcPr>
            <w:tcW w:w="2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133,250</w:t>
            </w:r>
          </w:p>
        </w:tc>
        <w:tc>
          <w:tcPr>
            <w:tcW w:w="2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Belcamp, Maryland</w:t>
            </w:r>
          </w:p>
        </w:tc>
        <w:tc>
          <w:tcPr>
            <w:tcW w:w="1760" w:type="dxa"/>
            <w:vAlign w:val="bottom"/>
          </w:tcPr>
          <w:p>
            <w:pPr>
              <w:jc w:val="right"/>
              <w:spacing w:after="0"/>
              <w:rPr>
                <w:sz w:val="20"/>
                <w:szCs w:val="20"/>
                <w:color w:val="auto"/>
              </w:rPr>
            </w:pPr>
            <w:r>
              <w:rPr>
                <w:rFonts w:ascii="Arial" w:cs="Arial" w:eastAsia="Arial" w:hAnsi="Arial"/>
                <w:sz w:val="16"/>
                <w:szCs w:val="16"/>
                <w:color w:val="auto"/>
              </w:rPr>
              <w:t>337,865</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Bloomsburg, Pennsylvania</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54,000</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Compton, California</w:t>
            </w:r>
          </w:p>
        </w:tc>
        <w:tc>
          <w:tcPr>
            <w:tcW w:w="1760" w:type="dxa"/>
            <w:vAlign w:val="bottom"/>
          </w:tcPr>
          <w:p>
            <w:pPr>
              <w:jc w:val="right"/>
              <w:spacing w:after="0"/>
              <w:rPr>
                <w:sz w:val="20"/>
                <w:szCs w:val="20"/>
                <w:color w:val="auto"/>
              </w:rPr>
            </w:pPr>
            <w:r>
              <w:rPr>
                <w:rFonts w:ascii="Arial" w:cs="Arial" w:eastAsia="Arial" w:hAnsi="Arial"/>
                <w:sz w:val="16"/>
                <w:szCs w:val="16"/>
                <w:color w:val="auto"/>
              </w:rPr>
              <w:t>44,000</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 Dorado Springs, Missouri</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Fort Madison, Iowa</w:t>
            </w:r>
          </w:p>
        </w:tc>
        <w:tc>
          <w:tcPr>
            <w:tcW w:w="1760" w:type="dxa"/>
            <w:vAlign w:val="bottom"/>
          </w:tcPr>
          <w:p>
            <w:pPr>
              <w:jc w:val="right"/>
              <w:spacing w:after="0"/>
              <w:rPr>
                <w:sz w:val="20"/>
                <w:szCs w:val="20"/>
                <w:color w:val="auto"/>
              </w:rPr>
            </w:pPr>
            <w:r>
              <w:rPr>
                <w:rFonts w:ascii="Arial" w:cs="Arial" w:eastAsia="Arial" w:hAnsi="Arial"/>
                <w:sz w:val="16"/>
                <w:szCs w:val="16"/>
                <w:color w:val="auto"/>
              </w:rPr>
              <w:t>114,000</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Gnadenhutten, Ohio</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98,200</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Huntington Beach, California</w:t>
            </w:r>
          </w:p>
        </w:tc>
        <w:tc>
          <w:tcPr>
            <w:tcW w:w="176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Jackson, Tennessee</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Jefferson, Georgia</w:t>
            </w:r>
          </w:p>
        </w:tc>
        <w:tc>
          <w:tcPr>
            <w:tcW w:w="1760" w:type="dxa"/>
            <w:vAlign w:val="bottom"/>
          </w:tcPr>
          <w:p>
            <w:pPr>
              <w:jc w:val="right"/>
              <w:spacing w:after="0"/>
              <w:rPr>
                <w:sz w:val="20"/>
                <w:szCs w:val="20"/>
                <w:color w:val="auto"/>
              </w:rPr>
            </w:pPr>
            <w:r>
              <w:rPr>
                <w:rFonts w:ascii="Arial" w:cs="Arial" w:eastAsia="Arial" w:hAnsi="Arial"/>
                <w:sz w:val="16"/>
                <w:szCs w:val="16"/>
                <w:color w:val="auto"/>
              </w:rPr>
              <w:t>60,000</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Keller, Texas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131,073</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Modesto, California</w:t>
            </w:r>
          </w:p>
        </w:tc>
        <w:tc>
          <w:tcPr>
            <w:tcW w:w="1760" w:type="dxa"/>
            <w:vAlign w:val="bottom"/>
          </w:tcPr>
          <w:p>
            <w:pPr>
              <w:jc w:val="right"/>
              <w:spacing w:after="0"/>
              <w:rPr>
                <w:sz w:val="20"/>
                <w:szCs w:val="20"/>
                <w:color w:val="auto"/>
              </w:rPr>
            </w:pPr>
            <w:r>
              <w:rPr>
                <w:rFonts w:ascii="Arial" w:cs="Arial" w:eastAsia="Arial" w:hAnsi="Arial"/>
                <w:sz w:val="16"/>
                <w:szCs w:val="16"/>
                <w:color w:val="auto"/>
              </w:rPr>
              <w:t>53,022</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New Albany, Indiana</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North Andover, Massachusetts</w:t>
            </w:r>
          </w:p>
        </w:tc>
        <w:tc>
          <w:tcPr>
            <w:tcW w:w="1760" w:type="dxa"/>
            <w:vAlign w:val="bottom"/>
          </w:tcPr>
          <w:p>
            <w:pPr>
              <w:jc w:val="right"/>
              <w:spacing w:after="0"/>
              <w:rPr>
                <w:sz w:val="20"/>
                <w:szCs w:val="20"/>
                <w:color w:val="auto"/>
              </w:rPr>
            </w:pPr>
            <w:r>
              <w:rPr>
                <w:rFonts w:ascii="Arial" w:cs="Arial" w:eastAsia="Arial" w:hAnsi="Arial"/>
                <w:sz w:val="16"/>
                <w:szCs w:val="16"/>
                <w:color w:val="auto"/>
              </w:rPr>
              <w:t>248,500</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Northbridge, Massachusetts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380,000</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Plymouth, Wisconsin</w:t>
            </w:r>
          </w:p>
        </w:tc>
        <w:tc>
          <w:tcPr>
            <w:tcW w:w="1760" w:type="dxa"/>
            <w:vAlign w:val="bottom"/>
          </w:tcPr>
          <w:p>
            <w:pPr>
              <w:jc w:val="right"/>
              <w:spacing w:after="0"/>
              <w:rPr>
                <w:sz w:val="20"/>
                <w:szCs w:val="20"/>
                <w:color w:val="auto"/>
              </w:rPr>
            </w:pPr>
            <w:r>
              <w:rPr>
                <w:rFonts w:ascii="Arial" w:cs="Arial" w:eastAsia="Arial" w:hAnsi="Arial"/>
                <w:sz w:val="16"/>
                <w:szCs w:val="16"/>
                <w:color w:val="auto"/>
              </w:rPr>
              <w:t>248,000</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Rome, Georgia</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170,884</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Springfield, Tennessee</w:t>
            </w:r>
          </w:p>
        </w:tc>
        <w:tc>
          <w:tcPr>
            <w:tcW w:w="1760" w:type="dxa"/>
            <w:vAlign w:val="bottom"/>
          </w:tcPr>
          <w:p>
            <w:pPr>
              <w:jc w:val="right"/>
              <w:spacing w:after="0"/>
              <w:rPr>
                <w:sz w:val="20"/>
                <w:szCs w:val="20"/>
                <w:color w:val="auto"/>
              </w:rPr>
            </w:pPr>
            <w:r>
              <w:rPr>
                <w:rFonts w:ascii="Arial" w:cs="Arial" w:eastAsia="Arial" w:hAnsi="Arial"/>
                <w:sz w:val="16"/>
                <w:szCs w:val="16"/>
                <w:color w:val="auto"/>
              </w:rPr>
              <w:t>34,895</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 Petersburg, Florida</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79,503</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Vernon, California</w:t>
            </w:r>
          </w:p>
        </w:tc>
        <w:tc>
          <w:tcPr>
            <w:tcW w:w="1760" w:type="dxa"/>
            <w:vAlign w:val="bottom"/>
          </w:tcPr>
          <w:p>
            <w:pPr>
              <w:jc w:val="right"/>
              <w:spacing w:after="0"/>
              <w:rPr>
                <w:sz w:val="20"/>
                <w:szCs w:val="20"/>
                <w:color w:val="auto"/>
              </w:rPr>
            </w:pPr>
            <w:r>
              <w:rPr>
                <w:rFonts w:ascii="Arial" w:cs="Arial" w:eastAsia="Arial" w:hAnsi="Arial"/>
                <w:sz w:val="16"/>
                <w:szCs w:val="16"/>
                <w:color w:val="auto"/>
              </w:rPr>
              <w:t>100,545</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Waxahachie, Texas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198,450</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15"/>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Rosa Jaurequi, Mexico</w:t>
            </w:r>
          </w:p>
        </w:tc>
        <w:tc>
          <w:tcPr>
            <w:tcW w:w="176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Tijuana, Mexico</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Arnold</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Arnold is headquartered in Rochester, New York and has eleven manufacturing facilities. Arnold owns the Ogallala, NE and the Greenville, OH locations. All other locations are leased. The summary below outlines Arnold's primary property locations.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60" w:type="dxa"/>
            <w:vAlign w:val="bottom"/>
          </w:tcPr>
          <w:p>
            <w:pPr>
              <w:spacing w:after="0"/>
              <w:rPr>
                <w:sz w:val="18"/>
                <w:szCs w:val="18"/>
                <w:color w:val="auto"/>
              </w:rPr>
            </w:pPr>
          </w:p>
        </w:tc>
        <w:tc>
          <w:tcPr>
            <w:tcW w:w="348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w:t>
            </w:r>
          </w:p>
        </w:tc>
        <w:tc>
          <w:tcPr>
            <w:tcW w:w="2000" w:type="dxa"/>
            <w:vAlign w:val="bottom"/>
            <w:gridSpan w:val="2"/>
          </w:tcPr>
          <w:p>
            <w:pPr>
              <w:ind w:left="420"/>
              <w:spacing w:after="0"/>
              <w:rPr>
                <w:sz w:val="20"/>
                <w:szCs w:val="20"/>
                <w:color w:val="auto"/>
              </w:rPr>
            </w:pPr>
            <w:r>
              <w:rPr>
                <w:rFonts w:ascii="Arial" w:cs="Arial" w:eastAsia="Arial" w:hAnsi="Arial"/>
                <w:sz w:val="16"/>
                <w:szCs w:val="16"/>
                <w:b w:val="1"/>
                <w:bCs w:val="1"/>
                <w:color w:val="auto"/>
              </w:rPr>
              <w:t>Square Feet</w:t>
            </w:r>
          </w:p>
        </w:tc>
        <w:tc>
          <w:tcPr>
            <w:tcW w:w="4300" w:type="dxa"/>
            <w:vAlign w:val="bottom"/>
            <w:gridSpan w:val="2"/>
          </w:tcPr>
          <w:p>
            <w:pPr>
              <w:ind w:left="20"/>
              <w:spacing w:after="0"/>
              <w:rPr>
                <w:sz w:val="20"/>
                <w:szCs w:val="20"/>
                <w:color w:val="auto"/>
              </w:rPr>
            </w:pPr>
            <w:r>
              <w:rPr>
                <w:rFonts w:ascii="Arial" w:cs="Arial" w:eastAsia="Arial" w:hAnsi="Arial"/>
                <w:sz w:val="16"/>
                <w:szCs w:val="16"/>
                <w:b w:val="1"/>
                <w:bCs w:val="1"/>
                <w:color w:val="auto"/>
              </w:rPr>
              <w:t>Use</w:t>
            </w:r>
          </w:p>
        </w:tc>
      </w:tr>
      <w:tr>
        <w:trPr>
          <w:trHeight w:val="210"/>
        </w:trPr>
        <w:tc>
          <w:tcPr>
            <w:tcW w:w="146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Marietta, OH</w:t>
            </w:r>
          </w:p>
        </w:tc>
        <w:tc>
          <w:tcPr>
            <w:tcW w:w="2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81,000</w:t>
            </w:r>
          </w:p>
        </w:tc>
        <w:tc>
          <w:tcPr>
            <w:tcW w:w="2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Office/Warehouse</w:t>
            </w:r>
          </w:p>
        </w:tc>
        <w:tc>
          <w:tcPr>
            <w:tcW w:w="1460" w:type="dxa"/>
            <w:vAlign w:val="bottom"/>
          </w:tcPr>
          <w:p>
            <w:pPr>
              <w:spacing w:after="0"/>
              <w:rPr>
                <w:sz w:val="18"/>
                <w:szCs w:val="18"/>
                <w:color w:val="auto"/>
              </w:rPr>
            </w:pPr>
          </w:p>
        </w:tc>
      </w:tr>
      <w:tr>
        <w:trPr>
          <w:trHeight w:val="215"/>
        </w:trPr>
        <w:tc>
          <w:tcPr>
            <w:tcW w:w="1460" w:type="dxa"/>
            <w:vAlign w:val="bottom"/>
          </w:tcPr>
          <w:p>
            <w:pPr>
              <w:spacing w:after="0"/>
              <w:rPr>
                <w:sz w:val="18"/>
                <w:szCs w:val="18"/>
                <w:color w:val="auto"/>
              </w:rPr>
            </w:pPr>
          </w:p>
        </w:tc>
        <w:tc>
          <w:tcPr>
            <w:tcW w:w="3480" w:type="dxa"/>
            <w:vAlign w:val="bottom"/>
            <w:gridSpan w:val="2"/>
          </w:tcPr>
          <w:p>
            <w:pPr>
              <w:ind w:left="20"/>
              <w:spacing w:after="0"/>
              <w:rPr>
                <w:sz w:val="20"/>
                <w:szCs w:val="20"/>
                <w:color w:val="auto"/>
              </w:rPr>
            </w:pPr>
            <w:r>
              <w:rPr>
                <w:rFonts w:ascii="Arial" w:cs="Arial" w:eastAsia="Arial" w:hAnsi="Arial"/>
                <w:sz w:val="16"/>
                <w:szCs w:val="16"/>
                <w:color w:val="auto"/>
              </w:rPr>
              <w:t>Norfolk, NE</w:t>
            </w:r>
          </w:p>
        </w:tc>
        <w:tc>
          <w:tcPr>
            <w:tcW w:w="1760" w:type="dxa"/>
            <w:vAlign w:val="bottom"/>
          </w:tcPr>
          <w:p>
            <w:pPr>
              <w:jc w:val="right"/>
              <w:spacing w:after="0"/>
              <w:rPr>
                <w:sz w:val="20"/>
                <w:szCs w:val="20"/>
                <w:color w:val="auto"/>
              </w:rPr>
            </w:pPr>
            <w:r>
              <w:rPr>
                <w:rFonts w:ascii="Arial" w:cs="Arial" w:eastAsia="Arial" w:hAnsi="Arial"/>
                <w:sz w:val="16"/>
                <w:szCs w:val="16"/>
                <w:color w:val="auto"/>
              </w:rPr>
              <w:t>109,000</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Office/Warehouse</w:t>
            </w:r>
          </w:p>
        </w:tc>
        <w:tc>
          <w:tcPr>
            <w:tcW w:w="1460" w:type="dxa"/>
            <w:vAlign w:val="bottom"/>
          </w:tcPr>
          <w:p>
            <w:pPr>
              <w:spacing w:after="0"/>
              <w:rPr>
                <w:sz w:val="18"/>
                <w:szCs w:val="18"/>
                <w:color w:val="auto"/>
              </w:rPr>
            </w:pPr>
          </w:p>
        </w:tc>
      </w:tr>
      <w:tr>
        <w:trPr>
          <w:trHeight w:val="217"/>
        </w:trPr>
        <w:tc>
          <w:tcPr>
            <w:tcW w:w="1460" w:type="dxa"/>
            <w:vAlign w:val="bottom"/>
          </w:tcPr>
          <w:p>
            <w:pPr>
              <w:spacing w:after="0"/>
              <w:rPr>
                <w:sz w:val="18"/>
                <w:szCs w:val="18"/>
                <w:color w:val="auto"/>
              </w:rPr>
            </w:pP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Rochester, NY</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Office/Warehouse</w:t>
            </w:r>
          </w:p>
        </w:tc>
        <w:tc>
          <w:tcPr>
            <w:tcW w:w="1460" w:type="dxa"/>
            <w:vAlign w:val="bottom"/>
          </w:tcPr>
          <w:p>
            <w:pPr>
              <w:spacing w:after="0"/>
              <w:rPr>
                <w:sz w:val="18"/>
                <w:szCs w:val="18"/>
                <w:color w:val="auto"/>
              </w:rPr>
            </w:pPr>
          </w:p>
        </w:tc>
      </w:tr>
      <w:tr>
        <w:trPr>
          <w:trHeight w:val="215"/>
        </w:trPr>
        <w:tc>
          <w:tcPr>
            <w:tcW w:w="1460" w:type="dxa"/>
            <w:vAlign w:val="bottom"/>
          </w:tcPr>
          <w:p>
            <w:pPr>
              <w:spacing w:after="0"/>
              <w:rPr>
                <w:sz w:val="18"/>
                <w:szCs w:val="18"/>
                <w:color w:val="auto"/>
              </w:rPr>
            </w:pPr>
          </w:p>
        </w:tc>
        <w:tc>
          <w:tcPr>
            <w:tcW w:w="3480" w:type="dxa"/>
            <w:vAlign w:val="bottom"/>
            <w:gridSpan w:val="2"/>
          </w:tcPr>
          <w:p>
            <w:pPr>
              <w:ind w:left="20"/>
              <w:spacing w:after="0"/>
              <w:rPr>
                <w:sz w:val="20"/>
                <w:szCs w:val="20"/>
                <w:color w:val="auto"/>
              </w:rPr>
            </w:pPr>
            <w:r>
              <w:rPr>
                <w:rFonts w:ascii="Arial" w:cs="Arial" w:eastAsia="Arial" w:hAnsi="Arial"/>
                <w:sz w:val="16"/>
                <w:szCs w:val="16"/>
                <w:color w:val="auto"/>
              </w:rPr>
              <w:t>Ogallala, NE</w:t>
            </w:r>
          </w:p>
        </w:tc>
        <w:tc>
          <w:tcPr>
            <w:tcW w:w="1760" w:type="dxa"/>
            <w:vAlign w:val="bottom"/>
          </w:tcPr>
          <w:p>
            <w:pPr>
              <w:jc w:val="right"/>
              <w:spacing w:after="0"/>
              <w:rPr>
                <w:sz w:val="20"/>
                <w:szCs w:val="20"/>
                <w:color w:val="auto"/>
              </w:rPr>
            </w:pPr>
            <w:r>
              <w:rPr>
                <w:rFonts w:ascii="Arial" w:cs="Arial" w:eastAsia="Arial" w:hAnsi="Arial"/>
                <w:sz w:val="16"/>
                <w:szCs w:val="16"/>
                <w:color w:val="auto"/>
              </w:rPr>
              <w:t>25,000</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Office/Warehouse</w:t>
            </w:r>
          </w:p>
        </w:tc>
        <w:tc>
          <w:tcPr>
            <w:tcW w:w="1460" w:type="dxa"/>
            <w:vAlign w:val="bottom"/>
          </w:tcPr>
          <w:p>
            <w:pPr>
              <w:spacing w:after="0"/>
              <w:rPr>
                <w:sz w:val="18"/>
                <w:szCs w:val="18"/>
                <w:color w:val="auto"/>
              </w:rPr>
            </w:pPr>
          </w:p>
        </w:tc>
      </w:tr>
      <w:tr>
        <w:trPr>
          <w:trHeight w:val="217"/>
        </w:trPr>
        <w:tc>
          <w:tcPr>
            <w:tcW w:w="1460" w:type="dxa"/>
            <w:vAlign w:val="bottom"/>
          </w:tcPr>
          <w:p>
            <w:pPr>
              <w:spacing w:after="0"/>
              <w:rPr>
                <w:sz w:val="18"/>
                <w:szCs w:val="18"/>
                <w:color w:val="auto"/>
              </w:rPr>
            </w:pP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Greenville, OH</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70,908</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Office/Warehouse</w:t>
            </w:r>
          </w:p>
        </w:tc>
        <w:tc>
          <w:tcPr>
            <w:tcW w:w="1460" w:type="dxa"/>
            <w:vAlign w:val="bottom"/>
          </w:tcPr>
          <w:p>
            <w:pPr>
              <w:spacing w:after="0"/>
              <w:rPr>
                <w:sz w:val="18"/>
                <w:szCs w:val="18"/>
                <w:color w:val="auto"/>
              </w:rPr>
            </w:pPr>
          </w:p>
        </w:tc>
      </w:tr>
      <w:tr>
        <w:trPr>
          <w:trHeight w:val="215"/>
        </w:trPr>
        <w:tc>
          <w:tcPr>
            <w:tcW w:w="1460" w:type="dxa"/>
            <w:vAlign w:val="bottom"/>
          </w:tcPr>
          <w:p>
            <w:pPr>
              <w:spacing w:after="0"/>
              <w:rPr>
                <w:sz w:val="18"/>
                <w:szCs w:val="18"/>
                <w:color w:val="auto"/>
              </w:rPr>
            </w:pPr>
          </w:p>
        </w:tc>
        <w:tc>
          <w:tcPr>
            <w:tcW w:w="3480" w:type="dxa"/>
            <w:vAlign w:val="bottom"/>
            <w:gridSpan w:val="2"/>
          </w:tcPr>
          <w:p>
            <w:pPr>
              <w:ind w:left="20"/>
              <w:spacing w:after="0"/>
              <w:rPr>
                <w:sz w:val="20"/>
                <w:szCs w:val="20"/>
                <w:color w:val="auto"/>
              </w:rPr>
            </w:pPr>
            <w:r>
              <w:rPr>
                <w:rFonts w:ascii="Arial" w:cs="Arial" w:eastAsia="Arial" w:hAnsi="Arial"/>
                <w:sz w:val="16"/>
                <w:szCs w:val="16"/>
                <w:color w:val="auto"/>
              </w:rPr>
              <w:t>Woodstock, IL</w:t>
            </w:r>
          </w:p>
        </w:tc>
        <w:tc>
          <w:tcPr>
            <w:tcW w:w="1760" w:type="dxa"/>
            <w:vAlign w:val="bottom"/>
          </w:tcPr>
          <w:p>
            <w:pPr>
              <w:jc w:val="right"/>
              <w:spacing w:after="0"/>
              <w:rPr>
                <w:sz w:val="20"/>
                <w:szCs w:val="20"/>
                <w:color w:val="auto"/>
              </w:rPr>
            </w:pPr>
            <w:r>
              <w:rPr>
                <w:rFonts w:ascii="Arial" w:cs="Arial" w:eastAsia="Arial" w:hAnsi="Arial"/>
                <w:sz w:val="16"/>
                <w:szCs w:val="16"/>
                <w:color w:val="auto"/>
              </w:rPr>
              <w:t>124,995</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Office/Warehouse</w:t>
            </w:r>
          </w:p>
        </w:tc>
        <w:tc>
          <w:tcPr>
            <w:tcW w:w="1460" w:type="dxa"/>
            <w:vAlign w:val="bottom"/>
          </w:tcPr>
          <w:p>
            <w:pPr>
              <w:spacing w:after="0"/>
              <w:rPr>
                <w:sz w:val="18"/>
                <w:szCs w:val="18"/>
                <w:color w:val="auto"/>
              </w:rPr>
            </w:pPr>
          </w:p>
        </w:tc>
      </w:tr>
      <w:tr>
        <w:trPr>
          <w:trHeight w:val="917"/>
        </w:trPr>
        <w:tc>
          <w:tcPr>
            <w:tcW w:w="1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ind w:right="899"/>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3"/>
        </w:trPr>
        <w:tc>
          <w:tcPr>
            <w:tcW w:w="146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2" w:name="page73"/>
    <w:bookmarkEnd w:id="72"/>
    <w:tbl>
      <w:tblPr>
        <w:tblLayout w:type="fixed"/>
        <w:tblInd w:w="1460" w:type="dxa"/>
        <w:tblCellMar>
          <w:top w:w="0" w:type="dxa"/>
          <w:left w:w="0" w:type="dxa"/>
          <w:bottom w:w="0" w:type="dxa"/>
          <w:right w:w="0" w:type="dxa"/>
        </w:tblCellMar>
      </w:tblP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Middleton, WI</w:t>
            </w:r>
          </w:p>
        </w:tc>
        <w:tc>
          <w:tcPr>
            <w:tcW w:w="2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10,616</w:t>
            </w:r>
          </w:p>
        </w:tc>
        <w:tc>
          <w:tcPr>
            <w:tcW w:w="2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Office/Warehouse</w:t>
            </w: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Sheffield, England</w:t>
            </w:r>
          </w:p>
        </w:tc>
        <w:tc>
          <w:tcPr>
            <w:tcW w:w="2020" w:type="dxa"/>
            <w:vAlign w:val="bottom"/>
          </w:tcPr>
          <w:p>
            <w:pPr>
              <w:jc w:val="right"/>
              <w:ind w:right="79"/>
              <w:spacing w:after="0"/>
              <w:rPr>
                <w:sz w:val="20"/>
                <w:szCs w:val="20"/>
                <w:color w:val="auto"/>
              </w:rPr>
            </w:pPr>
            <w:r>
              <w:rPr>
                <w:rFonts w:ascii="Arial" w:cs="Arial" w:eastAsia="Arial" w:hAnsi="Arial"/>
                <w:sz w:val="16"/>
                <w:szCs w:val="16"/>
                <w:color w:val="auto"/>
              </w:rPr>
              <w:t>25,000</w:t>
            </w:r>
          </w:p>
        </w:tc>
        <w:tc>
          <w:tcPr>
            <w:tcW w:w="2980" w:type="dxa"/>
            <w:vAlign w:val="bottom"/>
          </w:tcPr>
          <w:p>
            <w:pPr>
              <w:ind w:left="160"/>
              <w:spacing w:after="0"/>
              <w:rPr>
                <w:sz w:val="20"/>
                <w:szCs w:val="20"/>
                <w:color w:val="auto"/>
              </w:rPr>
            </w:pPr>
            <w:r>
              <w:rPr>
                <w:rFonts w:ascii="Arial" w:cs="Arial" w:eastAsia="Arial" w:hAnsi="Arial"/>
                <w:sz w:val="16"/>
                <w:szCs w:val="16"/>
                <w:color w:val="auto"/>
              </w:rPr>
              <w:t>Office/Warehouse</w:t>
            </w: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Lupfig, Switzerland</w:t>
            </w:r>
          </w:p>
        </w:tc>
        <w:tc>
          <w:tcPr>
            <w:tcW w:w="2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52,937</w:t>
            </w:r>
          </w:p>
        </w:tc>
        <w:tc>
          <w:tcPr>
            <w:tcW w:w="2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Office/Warehouse</w:t>
            </w: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Guangdong Province, China</w:t>
            </w:r>
          </w:p>
        </w:tc>
        <w:tc>
          <w:tcPr>
            <w:tcW w:w="2020" w:type="dxa"/>
            <w:vAlign w:val="bottom"/>
          </w:tcPr>
          <w:p>
            <w:pPr>
              <w:jc w:val="right"/>
              <w:ind w:right="79"/>
              <w:spacing w:after="0"/>
              <w:rPr>
                <w:sz w:val="20"/>
                <w:szCs w:val="20"/>
                <w:color w:val="auto"/>
              </w:rPr>
            </w:pPr>
            <w:r>
              <w:rPr>
                <w:rFonts w:ascii="Arial" w:cs="Arial" w:eastAsia="Arial" w:hAnsi="Arial"/>
                <w:sz w:val="16"/>
                <w:szCs w:val="16"/>
                <w:color w:val="auto"/>
              </w:rPr>
              <w:t>113,302</w:t>
            </w:r>
          </w:p>
        </w:tc>
        <w:tc>
          <w:tcPr>
            <w:tcW w:w="2980" w:type="dxa"/>
            <w:vAlign w:val="bottom"/>
          </w:tcPr>
          <w:p>
            <w:pPr>
              <w:ind w:left="160"/>
              <w:spacing w:after="0"/>
              <w:rPr>
                <w:sz w:val="20"/>
                <w:szCs w:val="20"/>
                <w:color w:val="auto"/>
              </w:rPr>
            </w:pPr>
            <w:r>
              <w:rPr>
                <w:rFonts w:ascii="Arial" w:cs="Arial" w:eastAsia="Arial" w:hAnsi="Arial"/>
                <w:sz w:val="16"/>
                <w:szCs w:val="16"/>
                <w:color w:val="auto"/>
              </w:rPr>
              <w:t>Office/Warehouse</w:t>
            </w: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ChonBuri, Thailand</w:t>
            </w:r>
          </w:p>
        </w:tc>
        <w:tc>
          <w:tcPr>
            <w:tcW w:w="2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37,673</w:t>
            </w:r>
          </w:p>
        </w:tc>
        <w:tc>
          <w:tcPr>
            <w:tcW w:w="2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Office/Warehouse</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Sterno</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Sterno is headquartered in Plano, Texas. Sterno owns manufacturing and production facilities in Memphis, Tennessee and Texarkana, Texas.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All other properties are leased. The summary below outlines Sterno's primary property locations.</w:t>
      </w:r>
    </w:p>
    <w:p>
      <w:pPr>
        <w:spacing w:after="0" w:line="293" w:lineRule="exact"/>
        <w:rPr>
          <w:sz w:val="20"/>
          <w:szCs w:val="20"/>
          <w:color w:val="auto"/>
        </w:rPr>
      </w:pPr>
    </w:p>
    <w:tbl>
      <w:tblPr>
        <w:tblLayout w:type="fixed"/>
        <w:tblInd w:w="1480" w:type="dxa"/>
        <w:tblCellMar>
          <w:top w:w="0" w:type="dxa"/>
          <w:left w:w="0" w:type="dxa"/>
          <w:bottom w:w="0" w:type="dxa"/>
          <w:right w:w="0" w:type="dxa"/>
        </w:tblCellMar>
      </w:tblPr>
      <w:tr>
        <w:trPr>
          <w:trHeight w:val="217"/>
        </w:trPr>
        <w:tc>
          <w:tcPr>
            <w:tcW w:w="3460" w:type="dxa"/>
            <w:vAlign w:val="bottom"/>
            <w:gridSpan w:val="2"/>
          </w:tcPr>
          <w:p>
            <w:pPr>
              <w:ind w:left="1260"/>
              <w:spacing w:after="0"/>
              <w:rPr>
                <w:sz w:val="20"/>
                <w:szCs w:val="20"/>
                <w:color w:val="auto"/>
              </w:rPr>
            </w:pPr>
            <w:r>
              <w:rPr>
                <w:rFonts w:ascii="Arial" w:cs="Arial" w:eastAsia="Arial" w:hAnsi="Arial"/>
                <w:sz w:val="16"/>
                <w:szCs w:val="16"/>
                <w:b w:val="1"/>
                <w:bCs w:val="1"/>
                <w:color w:val="auto"/>
              </w:rPr>
              <w:t>Location</w:t>
            </w:r>
          </w:p>
        </w:tc>
        <w:tc>
          <w:tcPr>
            <w:tcW w:w="2000" w:type="dxa"/>
            <w:vAlign w:val="bottom"/>
            <w:gridSpan w:val="2"/>
          </w:tcPr>
          <w:p>
            <w:pPr>
              <w:ind w:left="420"/>
              <w:spacing w:after="0"/>
              <w:rPr>
                <w:sz w:val="20"/>
                <w:szCs w:val="20"/>
                <w:color w:val="auto"/>
              </w:rPr>
            </w:pPr>
            <w:r>
              <w:rPr>
                <w:rFonts w:ascii="Arial" w:cs="Arial" w:eastAsia="Arial" w:hAnsi="Arial"/>
                <w:sz w:val="16"/>
                <w:szCs w:val="16"/>
                <w:b w:val="1"/>
                <w:bCs w:val="1"/>
                <w:color w:val="auto"/>
              </w:rPr>
              <w:t>Square Feet</w:t>
            </w:r>
          </w:p>
        </w:tc>
        <w:tc>
          <w:tcPr>
            <w:tcW w:w="2840" w:type="dxa"/>
            <w:vAlign w:val="bottom"/>
          </w:tcPr>
          <w:p>
            <w:pPr>
              <w:ind w:left="1260"/>
              <w:spacing w:after="0"/>
              <w:rPr>
                <w:sz w:val="20"/>
                <w:szCs w:val="20"/>
                <w:color w:val="auto"/>
              </w:rPr>
            </w:pPr>
            <w:r>
              <w:rPr>
                <w:rFonts w:ascii="Arial" w:cs="Arial" w:eastAsia="Arial" w:hAnsi="Arial"/>
                <w:sz w:val="16"/>
                <w:szCs w:val="16"/>
                <w:b w:val="1"/>
                <w:bCs w:val="1"/>
                <w:color w:val="auto"/>
              </w:rPr>
              <w:t>Use</w:t>
            </w:r>
          </w:p>
        </w:tc>
      </w:tr>
      <w:tr>
        <w:trPr>
          <w:trHeight w:val="209"/>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Plano, TX</w:t>
            </w:r>
          </w:p>
        </w:tc>
        <w:tc>
          <w:tcPr>
            <w:tcW w:w="2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4,356</w:t>
            </w:r>
          </w:p>
        </w:tc>
        <w:tc>
          <w:tcPr>
            <w:tcW w:w="2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Office</w:t>
            </w:r>
          </w:p>
        </w:tc>
      </w:tr>
      <w:tr>
        <w:trPr>
          <w:trHeight w:val="215"/>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Memphis, TN</w:t>
            </w:r>
          </w:p>
        </w:tc>
        <w:tc>
          <w:tcPr>
            <w:tcW w:w="1760" w:type="dxa"/>
            <w:vAlign w:val="bottom"/>
          </w:tcPr>
          <w:p>
            <w:pPr>
              <w:jc w:val="right"/>
              <w:spacing w:after="0"/>
              <w:rPr>
                <w:sz w:val="20"/>
                <w:szCs w:val="20"/>
                <w:color w:val="auto"/>
              </w:rPr>
            </w:pPr>
            <w:r>
              <w:rPr>
                <w:rFonts w:ascii="Arial" w:cs="Arial" w:eastAsia="Arial" w:hAnsi="Arial"/>
                <w:sz w:val="16"/>
                <w:szCs w:val="16"/>
                <w:color w:val="auto"/>
              </w:rPr>
              <w:t>196,200</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Manufacturing</w:t>
            </w:r>
          </w:p>
        </w:tc>
      </w:tr>
      <w:tr>
        <w:trPr>
          <w:trHeight w:val="21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Texarkana, TX</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337,700</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t>
            </w:r>
          </w:p>
        </w:tc>
      </w:tr>
      <w:tr>
        <w:trPr>
          <w:trHeight w:val="215"/>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La Porte, IN</w:t>
            </w:r>
          </w:p>
        </w:tc>
        <w:tc>
          <w:tcPr>
            <w:tcW w:w="1760" w:type="dxa"/>
            <w:vAlign w:val="bottom"/>
          </w:tcPr>
          <w:p>
            <w:pPr>
              <w:jc w:val="right"/>
              <w:spacing w:after="0"/>
              <w:rPr>
                <w:sz w:val="20"/>
                <w:szCs w:val="20"/>
                <w:color w:val="auto"/>
              </w:rPr>
            </w:pPr>
            <w:r>
              <w:rPr>
                <w:rFonts w:ascii="Arial" w:cs="Arial" w:eastAsia="Arial" w:hAnsi="Arial"/>
                <w:sz w:val="16"/>
                <w:szCs w:val="16"/>
                <w:color w:val="auto"/>
              </w:rPr>
              <w:t>20,000</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Office/ Manufacturing</w:t>
            </w:r>
          </w:p>
        </w:tc>
      </w:tr>
      <w:tr>
        <w:trPr>
          <w:trHeight w:val="21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Provo, UT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171,361</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Office/Warehouse</w:t>
            </w:r>
          </w:p>
        </w:tc>
      </w:tr>
      <w:tr>
        <w:trPr>
          <w:trHeight w:val="215"/>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Spanish Fork, UT</w:t>
            </w:r>
          </w:p>
        </w:tc>
        <w:tc>
          <w:tcPr>
            <w:tcW w:w="1760" w:type="dxa"/>
            <w:vAlign w:val="bottom"/>
          </w:tcPr>
          <w:p>
            <w:pPr>
              <w:jc w:val="right"/>
              <w:spacing w:after="0"/>
              <w:rPr>
                <w:sz w:val="20"/>
                <w:szCs w:val="20"/>
                <w:color w:val="auto"/>
              </w:rPr>
            </w:pPr>
            <w:r>
              <w:rPr>
                <w:rFonts w:ascii="Arial" w:cs="Arial" w:eastAsia="Arial" w:hAnsi="Arial"/>
                <w:sz w:val="16"/>
                <w:szCs w:val="16"/>
                <w:color w:val="auto"/>
              </w:rPr>
              <w:t>585,904</w:t>
            </w:r>
          </w:p>
        </w:tc>
        <w:tc>
          <w:tcPr>
            <w:tcW w:w="2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Warehouse</w:t>
            </w:r>
          </w:p>
        </w:tc>
      </w:tr>
      <w:tr>
        <w:trPr>
          <w:trHeight w:val="21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Bentonville, AR</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2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corporate offices are located in Westport, Connecticut and Costa Mesa, California, where we utilize space provided by our Manager. We reimburse our Manager for a portion of the facilities cost based on the space used by staff who dedicate their time to the Company.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our properties and the terms of their leases at each of our businesses are sufficient to meet our present needs and we do not anticipate any difficulty in securing additional space, as needed, on acceptable terms.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normal course of business, we are involved in various claims and legal proceedings. While the ultimate resolution of these matters has yet to be determined, we do not believe that their outcome will have a material adverse effect on our financial position or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Arnold</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Arnold subsidiary was named as co-defendant, together with 300 West LLC (“300 West”), in a suit filed in the Twenty-Second Judicial Circuit, McHenry County, Illinois, Chancery Division (Case No. 13CH1046) on June 14, 2013 by the State of Illinois (the “Marengo Litigation”). Arnold leases a site in Marengo, McHenry County, Illinois (the “Site”) from 300 West. Since 2008, Arnold and 300 West have been a part of the Illinois Remediation Program with respect to the Site. In the Marengo Litigation, the State of Illinois claimed that 300 West and Arnold discharged Chlorinated volatile organic compounds into the groundwater on-Site, which has since migrated off-Site into private drinking wells. The State of Illinois sought injunctive relief and civil penalties. In June of 2016, the parties entered into a consent order (as amended and restated up and through the date hereof, the “Consent Order”). 300 West, at its expense, connected residents whose drinking water was impacted by the alleged release to the City of Marengo’s public water supply, as required by the Consent Order. The Consent Order also requires Arnold and 300 West to submit to the Illinois Environmental Protection Agency ("IEPA") a comprehensive plan detailing steps to be taken by 300 West and Arnold to remediate on- and off-site soil and groundwater contamination. Discussions between Arnold and 300 West and the IEPA regarding the remediation plan are ongoing. The Consent Order also requires the ultimate settlement of any stipulated and civil penalties related to the Marengo Litigation. In May of 2021, the McHenry County State’s Attorney joined the Marengo Litigation as a plaintiff. In June 2024, Arnold issued a notice to 300 West to terminate its lease for the Marengo site and subsequently moved to a new location in Woodstock, Illinois. Arnold and 300 West are still in discussion regarding maintenance and repair to the Marengo property. The Marengo lease ended on December 31, 2024.</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73" w:name="page74"/>
    <w:bookmarkEnd w:id="73"/>
    <w:p>
      <w:pPr>
        <w:jc w:val="both"/>
        <w:spacing w:after="0" w:line="257" w:lineRule="auto"/>
        <w:rPr>
          <w:sz w:val="20"/>
          <w:szCs w:val="20"/>
          <w:color w:val="auto"/>
        </w:rPr>
      </w:pPr>
      <w:r>
        <w:rPr>
          <w:rFonts w:ascii="Arial" w:cs="Arial" w:eastAsia="Arial" w:hAnsi="Arial"/>
          <w:sz w:val="18"/>
          <w:szCs w:val="18"/>
          <w:color w:val="auto"/>
        </w:rPr>
        <w:t>Certain damages incurred by Arnold in connection with the Marengo Litigation are subject to indemnification pursuant to the Stock Purchase Agreement, among SPS Technologies, LLC (“SPS”), SPS Technologies Limited (“SPS Ltd.”), Precision Castparts Corp. (collectively with SPS and SPS Ltd., the “SPS Entities”), Arnold and Audax Private Equity Fund, L.P., dated December 20, 2004, and prior consents to indemnification given by the SPS Entities. Arnold has cooperated with the governmental agencies in the Marengo Litigation investigations and proceedings, as well as the obligations agreed to pursuant to the Consent Order. We do not believe that the outcome of the Marengo Litigation will have a material adverse effect on its financial position or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0"/>
          <w:szCs w:val="20"/>
          <w:b w:val="1"/>
          <w:bCs w:val="1"/>
          <w:u w:val="single" w:color="auto"/>
          <w:color w:val="auto"/>
        </w:rPr>
        <w:t>PART II</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shares of Trust stock has traded on the New York Stock Exchange (the “NYSE”) under the symbol “CODI”.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Holders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December 31, 2024 there were 15 shareholders of record of our common stock. The number of shareholders of record includes banks and brokers who act as nominees, each of whom may represent more than one shareholder.</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PERFORMANCE OF SHARES OF TRUST COMMON STOCK</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performance graph shown below compares the change in cumulative total shareholder return on common shares of Trust stock with the NYSE Composite Index and the NYSE Financial Sector Index for the previous five years, through the year ended December 31, 2024. The graph sets the beginning value of common shares of Trust stock and the indices at $100, and assumes that all quarterly dividends were reinvested at the time of payment. This graph does not forecast future performance of common shares of Trust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140970</wp:posOffset>
            </wp:positionV>
            <wp:extent cx="5143500" cy="3429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b w:val="1"/>
                <w:bCs w:val="1"/>
                <w:color w:val="auto"/>
                <w:w w:val="98"/>
              </w:rPr>
              <w:t>Data</w:t>
            </w:r>
          </w:p>
        </w:tc>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08"/>
              <w:spacing w:after="0" w:line="157"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08"/>
              <w:spacing w:after="0" w:line="157"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08"/>
              <w:spacing w:after="0" w:line="157"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88"/>
              <w:spacing w:after="0" w:line="157"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08"/>
              <w:spacing w:after="0" w:line="157"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08"/>
              <w:spacing w:after="0" w:line="157"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gridSpan w:val="2"/>
            <w:vMerge w:val="restart"/>
          </w:tcPr>
          <w:p>
            <w:pPr>
              <w:spacing w:after="0"/>
              <w:rPr>
                <w:sz w:val="20"/>
                <w:szCs w:val="20"/>
                <w:color w:val="auto"/>
              </w:rPr>
            </w:pPr>
            <w:r>
              <w:rPr>
                <w:rFonts w:ascii="Arial" w:cs="Arial" w:eastAsia="Arial" w:hAnsi="Arial"/>
                <w:sz w:val="14"/>
                <w:szCs w:val="14"/>
                <w:color w:val="auto"/>
              </w:rPr>
              <w:t>Compass Diversified Holdings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84.50</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145.03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90.35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116.99</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125.79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NYSE Composite Index</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00" w:type="dxa"/>
            <w:vAlign w:val="bottom"/>
            <w:gridSpan w:val="2"/>
          </w:tcPr>
          <w:p>
            <w:pPr>
              <w:spacing w:after="0"/>
              <w:rPr>
                <w:sz w:val="20"/>
                <w:szCs w:val="20"/>
                <w:color w:val="auto"/>
              </w:rPr>
            </w:pPr>
            <w:r>
              <w:rPr>
                <w:rFonts w:ascii="Arial" w:cs="Arial" w:eastAsia="Arial" w:hAnsi="Arial"/>
                <w:sz w:val="14"/>
                <w:szCs w:val="14"/>
                <w:color w:val="auto"/>
              </w:rPr>
              <w:t>NYSE Financial Sector Index</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97.82</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122.65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107.05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125.46</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186.97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Distributions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each of the years ended December 31, 2024, December 31, 2023 and December 31, 2022, we declared and paid cash distributions of $1.00 to our common shareholders. The common cash distributions should generally constitute “qualified dividends” for U.S. federal income tax purposes to the extent paid from “earnings and profits” (as determined under U.S. federal income tax principles), provided that the requisite holding period is met. To the extent that the amount of the cash distributions exceeds earnings and profits, such distribution will first be treated as a non-taxable return of capital to the extent of the holder’s adjusted tax basis in the shares, and thereafter be treated as capital gain from the sale or exchange of such shares. The Company expects cash distributions will exceed earnings and profits in the 2024 taxable year.</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plans to continue to declare and pay quarterly cash distributions on all outstanding shares through fiscal 2025, however, the Board has full authority and discretion to determine whether or not a distribution by the Company should be declared and paid to the Trust and in turn to our shareholders, as well as the amount and timing of any distribution. The Board may, based on their review of our financial condition and results of operations and any future changes to our tax structure, determine to modify future distributions.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the total number of shares of common stock purchased during the quarter ended December 31, 2024, the average price paid per share, the number of shares that were purchased as part of a publicly announced repurchase program, if any, and the approximate dollar value of the maximum number of shares that may yet be purchased under the share repurchase program:</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Total Number of Shares</w:t>
            </w:r>
          </w:p>
        </w:tc>
        <w:tc>
          <w:tcPr>
            <w:tcW w:w="220" w:type="dxa"/>
            <w:vAlign w:val="bottom"/>
          </w:tcPr>
          <w:p>
            <w:pPr>
              <w:spacing w:after="0"/>
              <w:rPr>
                <w:sz w:val="16"/>
                <w:szCs w:val="16"/>
                <w:color w:val="auto"/>
              </w:rPr>
            </w:pPr>
          </w:p>
        </w:tc>
        <w:tc>
          <w:tcPr>
            <w:tcW w:w="2180" w:type="dxa"/>
            <w:vAlign w:val="bottom"/>
          </w:tcPr>
          <w:p>
            <w:pPr>
              <w:jc w:val="center"/>
              <w:ind w:right="121"/>
              <w:spacing w:after="0"/>
              <w:rPr>
                <w:sz w:val="20"/>
                <w:szCs w:val="20"/>
                <w:color w:val="auto"/>
              </w:rPr>
            </w:pPr>
            <w:r>
              <w:rPr>
                <w:rFonts w:ascii="Arial" w:cs="Arial" w:eastAsia="Arial" w:hAnsi="Arial"/>
                <w:sz w:val="16"/>
                <w:szCs w:val="16"/>
                <w:b w:val="1"/>
                <w:bCs w:val="1"/>
                <w:color w:val="auto"/>
              </w:rPr>
              <w:t>Maximum Number (or</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4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Total Number of</w:t>
            </w:r>
          </w:p>
        </w:tc>
        <w:tc>
          <w:tcPr>
            <w:tcW w:w="16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Average Price Paid</w:t>
            </w:r>
          </w:p>
        </w:tc>
        <w:tc>
          <w:tcPr>
            <w:tcW w:w="2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Purchased as Part of</w:t>
            </w:r>
          </w:p>
        </w:tc>
        <w:tc>
          <w:tcPr>
            <w:tcW w:w="220" w:type="dxa"/>
            <w:vAlign w:val="bottom"/>
          </w:tcPr>
          <w:p>
            <w:pPr>
              <w:spacing w:after="0"/>
              <w:rPr>
                <w:sz w:val="18"/>
                <w:szCs w:val="18"/>
                <w:color w:val="auto"/>
              </w:rPr>
            </w:pPr>
          </w:p>
        </w:tc>
        <w:tc>
          <w:tcPr>
            <w:tcW w:w="2180" w:type="dxa"/>
            <w:vAlign w:val="bottom"/>
          </w:tcPr>
          <w:p>
            <w:pPr>
              <w:jc w:val="center"/>
              <w:ind w:right="121"/>
              <w:spacing w:after="0"/>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ind w:left="1340"/>
              <w:spacing w:after="0"/>
              <w:rPr>
                <w:sz w:val="20"/>
                <w:szCs w:val="20"/>
                <w:color w:val="auto"/>
              </w:rPr>
            </w:pPr>
            <w:r>
              <w:rPr>
                <w:rFonts w:ascii="Arial" w:cs="Arial" w:eastAsia="Arial" w:hAnsi="Arial"/>
                <w:sz w:val="16"/>
                <w:szCs w:val="16"/>
                <w:b w:val="1"/>
                <w:bCs w:val="1"/>
                <w:color w:val="auto"/>
              </w:rPr>
              <w:t>Period</w:t>
            </w:r>
          </w:p>
        </w:tc>
        <w:tc>
          <w:tcPr>
            <w:tcW w:w="16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Shares Purchased</w:t>
            </w:r>
          </w:p>
        </w:tc>
        <w:tc>
          <w:tcPr>
            <w:tcW w:w="1660" w:type="dxa"/>
            <w:vAlign w:val="bottom"/>
            <w:gridSpan w:val="3"/>
            <w:vMerge w:val="continue"/>
          </w:tcPr>
          <w:p>
            <w:pPr>
              <w:spacing w:after="0"/>
              <w:rPr>
                <w:sz w:val="14"/>
                <w:szCs w:val="14"/>
                <w:color w:val="auto"/>
              </w:rPr>
            </w:pPr>
          </w:p>
        </w:tc>
        <w:tc>
          <w:tcPr>
            <w:tcW w:w="21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Publicly Announced Plans</w:t>
            </w:r>
          </w:p>
        </w:tc>
        <w:tc>
          <w:tcPr>
            <w:tcW w:w="24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Under the Plans or</w:t>
            </w:r>
          </w:p>
        </w:tc>
        <w:tc>
          <w:tcPr>
            <w:tcW w:w="0" w:type="dxa"/>
            <w:vAlign w:val="bottom"/>
          </w:tcPr>
          <w:p>
            <w:pPr>
              <w:spacing w:after="0"/>
              <w:rPr>
                <w:sz w:val="1"/>
                <w:szCs w:val="1"/>
                <w:color w:val="auto"/>
              </w:rPr>
            </w:pPr>
          </w:p>
        </w:tc>
      </w:tr>
      <w:tr>
        <w:trPr>
          <w:trHeight w:val="162"/>
        </w:trPr>
        <w:tc>
          <w:tcPr>
            <w:tcW w:w="3280" w:type="dxa"/>
            <w:vAlign w:val="bottom"/>
            <w:gridSpan w:val="2"/>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per Share</w:t>
            </w:r>
          </w:p>
        </w:tc>
        <w:tc>
          <w:tcPr>
            <w:tcW w:w="2180" w:type="dxa"/>
            <w:vAlign w:val="bottom"/>
            <w:gridSpan w:val="2"/>
          </w:tcPr>
          <w:p>
            <w:pPr>
              <w:jc w:val="center"/>
              <w:ind w:right="80"/>
              <w:spacing w:after="0" w:line="162" w:lineRule="exact"/>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18"/>
                <w:szCs w:val="18"/>
                <w:b w:val="1"/>
                <w:bCs w:val="1"/>
                <w:color w:val="auto"/>
                <w:vertAlign w:val="superscript"/>
              </w:rPr>
              <w:t>(2)</w:t>
            </w:r>
          </w:p>
        </w:tc>
        <w:tc>
          <w:tcPr>
            <w:tcW w:w="220" w:type="dxa"/>
            <w:vAlign w:val="bottom"/>
          </w:tcPr>
          <w:p>
            <w:pPr>
              <w:spacing w:after="0"/>
              <w:rPr>
                <w:sz w:val="14"/>
                <w:szCs w:val="14"/>
                <w:color w:val="auto"/>
              </w:rPr>
            </w:pPr>
          </w:p>
        </w:tc>
        <w:tc>
          <w:tcPr>
            <w:tcW w:w="2180" w:type="dxa"/>
            <w:vAlign w:val="bottom"/>
          </w:tcPr>
          <w:p>
            <w:pPr>
              <w:jc w:val="center"/>
              <w:ind w:right="141"/>
              <w:spacing w:after="0" w:line="162" w:lineRule="exact"/>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October 1 - October 31, 2024</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5"/>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November 1 - November 30, 2024</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234,290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22.99</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234,290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180" w:type="dxa"/>
            <w:vAlign w:val="bottom"/>
          </w:tcPr>
          <w:p>
            <w:pPr>
              <w:jc w:val="right"/>
              <w:spacing w:after="0"/>
              <w:rPr>
                <w:sz w:val="20"/>
                <w:szCs w:val="20"/>
                <w:color w:val="auto"/>
              </w:rPr>
            </w:pPr>
            <w:r>
              <w:rPr>
                <w:rFonts w:ascii="Arial" w:cs="Arial" w:eastAsia="Arial" w:hAnsi="Arial"/>
                <w:sz w:val="16"/>
                <w:szCs w:val="16"/>
                <w:color w:val="auto"/>
              </w:rPr>
              <w:t>94,600,000</w:t>
            </w:r>
          </w:p>
        </w:tc>
        <w:tc>
          <w:tcPr>
            <w:tcW w:w="0" w:type="dxa"/>
            <w:vAlign w:val="bottom"/>
          </w:tcPr>
          <w:p>
            <w:pPr>
              <w:spacing w:after="0"/>
              <w:rPr>
                <w:sz w:val="1"/>
                <w:szCs w:val="1"/>
                <w:color w:val="auto"/>
              </w:rPr>
            </w:pPr>
          </w:p>
        </w:tc>
      </w:tr>
      <w:tr>
        <w:trPr>
          <w:trHeight w:val="217"/>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1 - December 31, 2024</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182,030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10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182,030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90,300,000</w:t>
            </w:r>
          </w:p>
        </w:tc>
        <w:tc>
          <w:tcPr>
            <w:tcW w:w="0" w:type="dxa"/>
            <w:vAlign w:val="bottom"/>
          </w:tcPr>
          <w:p>
            <w:pPr>
              <w:spacing w:after="0"/>
              <w:rPr>
                <w:sz w:val="1"/>
                <w:szCs w:val="1"/>
                <w:color w:val="auto"/>
              </w:rPr>
            </w:pPr>
          </w:p>
        </w:tc>
      </w:tr>
      <w:tr>
        <w:trPr>
          <w:trHeight w:val="215"/>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416,320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23.19</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416,320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180" w:type="dxa"/>
            <w:vAlign w:val="bottom"/>
          </w:tcPr>
          <w:p>
            <w:pPr>
              <w:jc w:val="right"/>
              <w:spacing w:after="0"/>
              <w:rPr>
                <w:sz w:val="20"/>
                <w:szCs w:val="20"/>
                <w:color w:val="auto"/>
              </w:rPr>
            </w:pPr>
            <w:r>
              <w:rPr>
                <w:rFonts w:ascii="Arial" w:cs="Arial" w:eastAsia="Arial" w:hAnsi="Arial"/>
                <w:sz w:val="16"/>
                <w:szCs w:val="16"/>
                <w:color w:val="auto"/>
              </w:rPr>
              <w:t>90,300,000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both"/>
        <w:ind w:firstLine="8"/>
        <w:spacing w:after="0" w:line="266" w:lineRule="auto"/>
        <w:tabs>
          <w:tab w:leader="none" w:pos="234" w:val="left"/>
        </w:tabs>
        <w:numPr>
          <w:ilvl w:val="0"/>
          <w:numId w:val="45"/>
        </w:numPr>
        <w:rPr>
          <w:rFonts w:ascii="Arial" w:cs="Arial" w:eastAsia="Arial" w:hAnsi="Arial"/>
          <w:sz w:val="14"/>
          <w:szCs w:val="14"/>
          <w:b w:val="1"/>
          <w:bCs w:val="1"/>
          <w:color w:val="auto"/>
        </w:rPr>
      </w:pPr>
      <w:r>
        <w:rPr>
          <w:rFonts w:ascii="Arial" w:cs="Arial" w:eastAsia="Arial" w:hAnsi="Arial"/>
          <w:sz w:val="16"/>
          <w:szCs w:val="16"/>
          <w:color w:val="auto"/>
        </w:rPr>
        <w:t>In October 2024, the Board approved a share repurchase program authorizing the Company to repurchase, through December 31, 2024, up to $100 million of outstanding common shares of the Trust. All common shares repurchased during the fourth quarter of 2024 were repurchased pursuant to this publicly-announced share repurchase program.</w:t>
      </w:r>
    </w:p>
    <w:p>
      <w:pPr>
        <w:spacing w:after="0" w:line="130" w:lineRule="exact"/>
        <w:rPr>
          <w:rFonts w:ascii="Arial" w:cs="Arial" w:eastAsia="Arial" w:hAnsi="Arial"/>
          <w:sz w:val="14"/>
          <w:szCs w:val="14"/>
          <w:b w:val="1"/>
          <w:bCs w:val="1"/>
          <w:color w:val="auto"/>
        </w:rPr>
      </w:pPr>
    </w:p>
    <w:p>
      <w:pPr>
        <w:ind w:left="220" w:hanging="212"/>
        <w:spacing w:after="0"/>
        <w:tabs>
          <w:tab w:leader="none" w:pos="220" w:val="left"/>
        </w:tabs>
        <w:numPr>
          <w:ilvl w:val="0"/>
          <w:numId w:val="45"/>
        </w:numPr>
        <w:rPr>
          <w:rFonts w:ascii="Arial" w:cs="Arial" w:eastAsia="Arial" w:hAnsi="Arial"/>
          <w:sz w:val="14"/>
          <w:szCs w:val="14"/>
          <w:b w:val="1"/>
          <w:bCs w:val="1"/>
          <w:color w:val="auto"/>
        </w:rPr>
      </w:pPr>
      <w:r>
        <w:rPr>
          <w:rFonts w:ascii="Arial" w:cs="Arial" w:eastAsia="Arial" w:hAnsi="Arial"/>
          <w:sz w:val="16"/>
          <w:szCs w:val="16"/>
          <w:color w:val="auto"/>
        </w:rPr>
        <w:t>As of December 31, 2024, the publicly-announced share repurchase program expired.</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6" w:name="page77"/>
    <w:bookmarkEnd w:id="76"/>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This Item 7 contains forward-looking statements. Forward-looking statements in this Annual Report on Form 10-K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sections entitled “Forward-Looking Statements” and “Risk Factors” included elsewhere in this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Compass Diversified Holdings, a Delaware statutory trust, was incorporated in Delaware on November 18, 2005. Compass Group Diversified Holdings LLC, a Delaware limited liability company, was also formed on November 18, 2005. In accordance with the Trust Agreement, the Trust is sole owner of 100% of the Trust Interests (as defined in the LLC Agreement of the Company and, pursuant to the LLC Agreement, the Company has outstanding the identical number of Trust Interests as the number of outstanding shares of the Trust. Sostratus LLC owns all of our Allocation Interests. The Company is the operating entity with a board of directors and other corporate governance responsibilities, similar to that of a Delaware corporation.</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Trust and the Company were formed to acquire and manage a group of small and middle-market businesses headquartered in North America. We characterize small and middle market businesses as those that generate annual cash flows of up to $100 million. We focus on companies of this size because we believe that these companies are more able to achieve growth rates above those of their relevant industries and are also frequently more amenable to efforts to improve earnings and cash flow.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 pursuing new acquisitions, we seek businesses with the following characteristics:</w:t>
      </w:r>
    </w:p>
    <w:p>
      <w:pPr>
        <w:spacing w:after="0" w:line="63"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North American base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stable and growing earnings and cash flow;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maintains a significant market share in defensible industry niche (i.e., has a “reason to exist”);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solid and proven management team with meaningful incentives;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 technological and/or product obsolescence risk;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diversified customer and supplier 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team’s strategy for our subsidiaries involves:</w:t>
      </w:r>
    </w:p>
    <w:p>
      <w:pPr>
        <w:spacing w:after="0" w:line="63" w:lineRule="exact"/>
        <w:rPr>
          <w:sz w:val="20"/>
          <w:szCs w:val="20"/>
          <w:color w:val="auto"/>
        </w:rPr>
      </w:pPr>
    </w:p>
    <w:p>
      <w:pPr>
        <w:ind w:left="660" w:hanging="328"/>
        <w:spacing w:after="0" w:line="281" w:lineRule="auto"/>
        <w:tabs>
          <w:tab w:leader="none" w:pos="6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utilizing structured incentive compensation programs tailored to each business in order to attract, recruit and retain talented managers to operate our businesses;</w:t>
      </w:r>
    </w:p>
    <w:p>
      <w:pPr>
        <w:spacing w:after="0" w:line="1" w:lineRule="exact"/>
        <w:rPr>
          <w:rFonts w:ascii="Arial" w:cs="Arial" w:eastAsia="Arial" w:hAnsi="Arial"/>
          <w:sz w:val="18"/>
          <w:szCs w:val="18"/>
          <w:color w:val="auto"/>
        </w:rPr>
      </w:pPr>
    </w:p>
    <w:p>
      <w:pPr>
        <w:ind w:left="660" w:hanging="328"/>
        <w:spacing w:after="0" w:line="281" w:lineRule="auto"/>
        <w:tabs>
          <w:tab w:leader="none" w:pos="6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regularly monitoring financial and operational performance, instilling consistent financial discipline, and supporting management in the development and implementation of information systems to effectively achieve these goals;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assisting management in their analysis and pursuit of prudent organic cash flow growth strategies (both revenue and cost related);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identifying and working with management to execute attractive external growth and acquisition opportunities; and</w:t>
      </w:r>
    </w:p>
    <w:p>
      <w:pPr>
        <w:spacing w:after="0" w:line="63" w:lineRule="exact"/>
        <w:rPr>
          <w:rFonts w:ascii="Arial" w:cs="Arial" w:eastAsia="Arial" w:hAnsi="Arial"/>
          <w:sz w:val="18"/>
          <w:szCs w:val="18"/>
          <w:color w:val="auto"/>
        </w:rPr>
      </w:pPr>
    </w:p>
    <w:p>
      <w:pPr>
        <w:ind w:left="660" w:right="20" w:hanging="328"/>
        <w:spacing w:after="0" w:line="287" w:lineRule="auto"/>
        <w:tabs>
          <w:tab w:leader="none" w:pos="6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forming strong subsidiary level boards of directors, including independent directors, to supplement management in their development and implementation of strategic goals and objectives.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the experience of our management team and its ability to identify and negotiate acquisitions, we believe we are well positioned to acquire additional attractive businesses. Our management team has a large network of deal intermediaries to whom it actively markets and who we expect to expose us to potential acquisitions. Through this network, as well as our management team’s active proprietary transaction sourcing efforts, we typically have a substantial pipeline of potential acquisition targets. In consummating transactions, our management team has, in the past, been able to successfully navigate complex situations surrounding acquisitions, including corporate spin-offs, transitions of family-owned businesses, management buy-outs and reorganizations. We believe the flexibility, creativity, experience and expertise of our management team in structuring transactions provides us with a strategic</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advantage by allowing us to consider non-traditional and complex transactions tailored to fit a specific acquisition target.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because we intend to fund acquisitions through the utilization of our 2022 Revolving Credit Facility, we do not expect to be subject to delays in or conditions by closing acquisitions that would be typically associated with transaction specific financing, as is typically the case in such acquisitions. We believe this advantage is a powerful one and is highly unusual in the marketplace for acquisitions in which we operate.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Company formation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16, 2006, we completed our initial public offering of 13,500,000 shares of the Trust (the “IPO”). Subsequent to the IPO the Board engaged our Manager to externally manage the day-to-day operations and affairs of the Company, oversee the management and operations of the businesses and to perform those services customarily performed by executive officers of a public company.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May 16, 2006 through December 31, 2024, we purchased twenty-four businesses (each of our businesses is treated as a separate operating segment) and disposed of fourteen businesses. The tables below reflect summarized information relating to our acquisitions and dispositions from the date of our IPO through December 31, 2024 (in thousands):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76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gridSpan w:val="2"/>
          </w:tcPr>
          <w:p>
            <w:pPr>
              <w:jc w:val="center"/>
              <w:spacing w:after="0" w:line="162" w:lineRule="exact"/>
              <w:rPr>
                <w:sz w:val="20"/>
                <w:szCs w:val="20"/>
                <w:color w:val="auto"/>
              </w:rPr>
            </w:pPr>
            <w:r>
              <w:rPr>
                <w:rFonts w:ascii="Arial" w:cs="Arial" w:eastAsia="Arial" w:hAnsi="Arial"/>
                <w:sz w:val="15"/>
                <w:szCs w:val="15"/>
                <w:b w:val="1"/>
                <w:bCs w:val="1"/>
                <w:color w:val="auto"/>
              </w:rPr>
              <w:t>Ownership Interest - December 31,</w:t>
            </w:r>
          </w:p>
        </w:tc>
      </w:tr>
      <w:tr>
        <w:trPr>
          <w:trHeight w:val="210"/>
        </w:trPr>
        <w:tc>
          <w:tcPr>
            <w:tcW w:w="2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099"/>
              <w:spacing w:after="0"/>
              <w:rPr>
                <w:sz w:val="20"/>
                <w:szCs w:val="20"/>
                <w:color w:val="auto"/>
              </w:rPr>
            </w:pPr>
            <w:r>
              <w:rPr>
                <w:rFonts w:ascii="Arial" w:cs="Arial" w:eastAsia="Arial" w:hAnsi="Arial"/>
                <w:sz w:val="15"/>
                <w:szCs w:val="15"/>
                <w:b w:val="1"/>
                <w:bCs w:val="1"/>
                <w:color w:val="auto"/>
              </w:rPr>
              <w:t>2024</w:t>
            </w:r>
          </w:p>
        </w:tc>
      </w:tr>
      <w:tr>
        <w:trPr>
          <w:trHeight w:val="202"/>
        </w:trPr>
        <w:tc>
          <w:tcPr>
            <w:tcW w:w="2760" w:type="dxa"/>
            <w:vAlign w:val="bottom"/>
            <w:tcBorders>
              <w:bottom w:val="single" w:sz="8" w:color="auto"/>
            </w:tcBorders>
          </w:tcPr>
          <w:p>
            <w:pPr>
              <w:ind w:left="1100"/>
              <w:spacing w:after="0"/>
              <w:rPr>
                <w:sz w:val="20"/>
                <w:szCs w:val="20"/>
                <w:color w:val="auto"/>
              </w:rPr>
            </w:pPr>
            <w:r>
              <w:rPr>
                <w:rFonts w:ascii="Arial" w:cs="Arial" w:eastAsia="Arial" w:hAnsi="Arial"/>
                <w:sz w:val="15"/>
                <w:szCs w:val="15"/>
                <w:b w:val="1"/>
                <w:bCs w:val="1"/>
                <w:color w:val="auto"/>
              </w:rPr>
              <w:t>Business</w:t>
            </w:r>
          </w:p>
        </w:tc>
        <w:tc>
          <w:tcPr>
            <w:tcW w:w="2440" w:type="dxa"/>
            <w:vAlign w:val="bottom"/>
            <w:tcBorders>
              <w:bottom w:val="single" w:sz="8" w:color="auto"/>
            </w:tcBorders>
          </w:tcPr>
          <w:p>
            <w:pPr>
              <w:jc w:val="right"/>
              <w:ind w:right="439"/>
              <w:spacing w:after="0"/>
              <w:rPr>
                <w:sz w:val="20"/>
                <w:szCs w:val="20"/>
                <w:color w:val="auto"/>
              </w:rPr>
            </w:pPr>
            <w:r>
              <w:rPr>
                <w:rFonts w:ascii="Arial" w:cs="Arial" w:eastAsia="Arial" w:hAnsi="Arial"/>
                <w:sz w:val="15"/>
                <w:szCs w:val="15"/>
                <w:b w:val="1"/>
                <w:bCs w:val="1"/>
                <w:color w:val="auto"/>
              </w:rPr>
              <w:t>Acquisition Date</w:t>
            </w:r>
          </w:p>
        </w:tc>
        <w:tc>
          <w:tcPr>
            <w:tcW w:w="18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5"/>
                <w:szCs w:val="15"/>
                <w:b w:val="1"/>
                <w:bCs w:val="1"/>
                <w:color w:val="auto"/>
              </w:rPr>
              <w:t>CODI Purchase Price</w:t>
            </w:r>
          </w:p>
        </w:tc>
        <w:tc>
          <w:tcPr>
            <w:tcW w:w="1040" w:type="dxa"/>
            <w:vAlign w:val="bottom"/>
            <w:tcBorders>
              <w:bottom w:val="single" w:sz="8" w:color="auto"/>
            </w:tcBorders>
          </w:tcPr>
          <w:p>
            <w:pPr>
              <w:jc w:val="center"/>
              <w:ind w:left="159"/>
              <w:spacing w:after="0"/>
              <w:rPr>
                <w:sz w:val="20"/>
                <w:szCs w:val="20"/>
                <w:color w:val="auto"/>
              </w:rPr>
            </w:pPr>
            <w:r>
              <w:rPr>
                <w:rFonts w:ascii="Arial" w:cs="Arial" w:eastAsia="Arial" w:hAnsi="Arial"/>
                <w:sz w:val="15"/>
                <w:szCs w:val="15"/>
                <w:b w:val="1"/>
                <w:bCs w:val="1"/>
                <w:color w:val="auto"/>
              </w:rPr>
              <w:t>Primary</w:t>
            </w:r>
          </w:p>
        </w:tc>
        <w:tc>
          <w:tcPr>
            <w:tcW w:w="1660" w:type="dxa"/>
            <w:vAlign w:val="bottom"/>
            <w:tcBorders>
              <w:bottom w:val="single" w:sz="8" w:color="auto"/>
            </w:tcBorders>
          </w:tcPr>
          <w:p>
            <w:pPr>
              <w:jc w:val="center"/>
              <w:ind w:left="259"/>
              <w:spacing w:after="0"/>
              <w:rPr>
                <w:sz w:val="20"/>
                <w:szCs w:val="20"/>
                <w:color w:val="auto"/>
              </w:rPr>
            </w:pPr>
            <w:r>
              <w:rPr>
                <w:rFonts w:ascii="Arial" w:cs="Arial" w:eastAsia="Arial" w:hAnsi="Arial"/>
                <w:sz w:val="15"/>
                <w:szCs w:val="15"/>
                <w:b w:val="1"/>
                <w:bCs w:val="1"/>
                <w:color w:val="auto"/>
              </w:rPr>
              <w:t>Diluted</w:t>
            </w:r>
          </w:p>
        </w:tc>
      </w:tr>
      <w:tr>
        <w:trPr>
          <w:trHeight w:val="209"/>
        </w:trPr>
        <w:tc>
          <w:tcPr>
            <w:tcW w:w="27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CBS Holdings (Staffmark) </w:t>
            </w:r>
            <w:r>
              <w:rPr>
                <w:rFonts w:ascii="Arial" w:cs="Arial" w:eastAsia="Arial" w:hAnsi="Arial"/>
                <w:sz w:val="21"/>
                <w:szCs w:val="21"/>
                <w:b w:val="1"/>
                <w:bCs w:val="1"/>
                <w:color w:val="auto"/>
                <w:vertAlign w:val="superscript"/>
              </w:rPr>
              <w:t>(1)</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16, 2006</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183,200</w:t>
            </w:r>
          </w:p>
        </w:tc>
        <w:tc>
          <w:tcPr>
            <w:tcW w:w="1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6"/>
        </w:trPr>
        <w:tc>
          <w:tcPr>
            <w:tcW w:w="27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Crosman </w:t>
            </w:r>
            <w:r>
              <w:rPr>
                <w:rFonts w:ascii="Arial" w:cs="Arial" w:eastAsia="Arial" w:hAnsi="Arial"/>
                <w:sz w:val="21"/>
                <w:szCs w:val="21"/>
                <w:b w:val="1"/>
                <w:bCs w:val="1"/>
                <w:color w:val="auto"/>
                <w:vertAlign w:val="superscript"/>
              </w:rPr>
              <w:t>(2)</w:t>
            </w:r>
          </w:p>
        </w:tc>
        <w:tc>
          <w:tcPr>
            <w:tcW w:w="2440" w:type="dxa"/>
            <w:vAlign w:val="bottom"/>
          </w:tcPr>
          <w:p>
            <w:pPr>
              <w:jc w:val="right"/>
              <w:spacing w:after="0"/>
              <w:rPr>
                <w:sz w:val="20"/>
                <w:szCs w:val="20"/>
                <w:color w:val="auto"/>
              </w:rPr>
            </w:pPr>
            <w:r>
              <w:rPr>
                <w:rFonts w:ascii="Arial" w:cs="Arial" w:eastAsia="Arial" w:hAnsi="Arial"/>
                <w:sz w:val="16"/>
                <w:szCs w:val="16"/>
                <w:color w:val="auto"/>
              </w:rPr>
              <w:t>May 16, 2006</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72,600</w:t>
            </w:r>
          </w:p>
        </w:tc>
        <w:tc>
          <w:tcPr>
            <w:tcW w:w="1040" w:type="dxa"/>
            <w:vAlign w:val="bottom"/>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6"/>
        </w:trPr>
        <w:tc>
          <w:tcPr>
            <w:tcW w:w="27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Advanced Circuits </w:t>
            </w:r>
            <w:r>
              <w:rPr>
                <w:rFonts w:ascii="Arial" w:cs="Arial" w:eastAsia="Arial" w:hAnsi="Arial"/>
                <w:sz w:val="21"/>
                <w:szCs w:val="21"/>
                <w:b w:val="1"/>
                <w:bCs w:val="1"/>
                <w:color w:val="auto"/>
                <w:vertAlign w:val="superscript"/>
              </w:rPr>
              <w:t>(3)</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16, 2006</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81,000</w:t>
            </w:r>
          </w:p>
        </w:tc>
        <w:tc>
          <w:tcPr>
            <w:tcW w:w="1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Silvue</w:t>
            </w:r>
          </w:p>
        </w:tc>
        <w:tc>
          <w:tcPr>
            <w:tcW w:w="2440" w:type="dxa"/>
            <w:vAlign w:val="bottom"/>
          </w:tcPr>
          <w:p>
            <w:pPr>
              <w:jc w:val="right"/>
              <w:spacing w:after="0"/>
              <w:rPr>
                <w:sz w:val="20"/>
                <w:szCs w:val="20"/>
                <w:color w:val="auto"/>
              </w:rPr>
            </w:pPr>
            <w:r>
              <w:rPr>
                <w:rFonts w:ascii="Arial" w:cs="Arial" w:eastAsia="Arial" w:hAnsi="Arial"/>
                <w:sz w:val="16"/>
                <w:szCs w:val="16"/>
                <w:color w:val="auto"/>
              </w:rPr>
              <w:t>May 16, 2006</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36,000</w:t>
            </w:r>
          </w:p>
        </w:tc>
        <w:tc>
          <w:tcPr>
            <w:tcW w:w="1040" w:type="dxa"/>
            <w:vAlign w:val="bottom"/>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7"/>
        </w:trPr>
        <w:tc>
          <w:tcPr>
            <w:tcW w:w="27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Tridien </w:t>
            </w:r>
            <w:r>
              <w:rPr>
                <w:rFonts w:ascii="Arial" w:cs="Arial" w:eastAsia="Arial" w:hAnsi="Arial"/>
                <w:sz w:val="21"/>
                <w:szCs w:val="21"/>
                <w:b w:val="1"/>
                <w:bCs w:val="1"/>
                <w:color w:val="auto"/>
                <w:vertAlign w:val="superscript"/>
              </w:rPr>
              <w:t>(3)</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2006</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31,000</w:t>
            </w:r>
          </w:p>
        </w:tc>
        <w:tc>
          <w:tcPr>
            <w:tcW w:w="1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Aeroglide</w:t>
            </w:r>
          </w:p>
        </w:tc>
        <w:tc>
          <w:tcPr>
            <w:tcW w:w="2440" w:type="dxa"/>
            <w:vAlign w:val="bottom"/>
          </w:tcPr>
          <w:p>
            <w:pPr>
              <w:jc w:val="right"/>
              <w:spacing w:after="0"/>
              <w:rPr>
                <w:sz w:val="20"/>
                <w:szCs w:val="20"/>
                <w:color w:val="auto"/>
              </w:rPr>
            </w:pPr>
            <w:r>
              <w:rPr>
                <w:rFonts w:ascii="Arial" w:cs="Arial" w:eastAsia="Arial" w:hAnsi="Arial"/>
                <w:sz w:val="16"/>
                <w:szCs w:val="16"/>
                <w:color w:val="auto"/>
              </w:rPr>
              <w:t>February 28, 2007</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58,200</w:t>
            </w:r>
          </w:p>
        </w:tc>
        <w:tc>
          <w:tcPr>
            <w:tcW w:w="1040" w:type="dxa"/>
            <w:vAlign w:val="bottom"/>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7"/>
        </w:trPr>
        <w:tc>
          <w:tcPr>
            <w:tcW w:w="27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Halo </w:t>
            </w:r>
            <w:r>
              <w:rPr>
                <w:rFonts w:ascii="Arial" w:cs="Arial" w:eastAsia="Arial" w:hAnsi="Arial"/>
                <w:sz w:val="21"/>
                <w:szCs w:val="21"/>
                <w:b w:val="1"/>
                <w:bCs w:val="1"/>
                <w:color w:val="auto"/>
                <w:vertAlign w:val="superscript"/>
              </w:rPr>
              <w:t>(3)</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28, 2007</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62,300</w:t>
            </w:r>
          </w:p>
        </w:tc>
        <w:tc>
          <w:tcPr>
            <w:tcW w:w="1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American Furniture</w:t>
            </w:r>
          </w:p>
        </w:tc>
        <w:tc>
          <w:tcPr>
            <w:tcW w:w="2440" w:type="dxa"/>
            <w:vAlign w:val="bottom"/>
          </w:tcPr>
          <w:p>
            <w:pPr>
              <w:jc w:val="right"/>
              <w:spacing w:after="0"/>
              <w:rPr>
                <w:sz w:val="20"/>
                <w:szCs w:val="20"/>
                <w:color w:val="auto"/>
              </w:rPr>
            </w:pPr>
            <w:r>
              <w:rPr>
                <w:rFonts w:ascii="Arial" w:cs="Arial" w:eastAsia="Arial" w:hAnsi="Arial"/>
                <w:sz w:val="16"/>
                <w:szCs w:val="16"/>
                <w:color w:val="auto"/>
              </w:rPr>
              <w:t>August 31, 2007</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97,000</w:t>
            </w:r>
          </w:p>
        </w:tc>
        <w:tc>
          <w:tcPr>
            <w:tcW w:w="1040" w:type="dxa"/>
            <w:vAlign w:val="bottom"/>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7"/>
        </w:trPr>
        <w:tc>
          <w:tcPr>
            <w:tcW w:w="27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FOX </w:t>
            </w:r>
            <w:r>
              <w:rPr>
                <w:rFonts w:ascii="Arial" w:cs="Arial" w:eastAsia="Arial" w:hAnsi="Arial"/>
                <w:sz w:val="21"/>
                <w:szCs w:val="21"/>
                <w:b w:val="1"/>
                <w:bCs w:val="1"/>
                <w:color w:val="auto"/>
                <w:vertAlign w:val="superscript"/>
              </w:rPr>
              <w:t>(4)</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4, 2008</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80,400</w:t>
            </w:r>
          </w:p>
        </w:tc>
        <w:tc>
          <w:tcPr>
            <w:tcW w:w="1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6"/>
        </w:trPr>
        <w:tc>
          <w:tcPr>
            <w:tcW w:w="27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Liberty Safe </w:t>
            </w:r>
            <w:r>
              <w:rPr>
                <w:rFonts w:ascii="Arial" w:cs="Arial" w:eastAsia="Arial" w:hAnsi="Arial"/>
                <w:sz w:val="21"/>
                <w:szCs w:val="21"/>
                <w:b w:val="1"/>
                <w:bCs w:val="1"/>
                <w:color w:val="auto"/>
                <w:vertAlign w:val="superscript"/>
              </w:rPr>
              <w:t>(3)</w:t>
            </w:r>
          </w:p>
        </w:tc>
        <w:tc>
          <w:tcPr>
            <w:tcW w:w="2440" w:type="dxa"/>
            <w:vAlign w:val="bottom"/>
          </w:tcPr>
          <w:p>
            <w:pPr>
              <w:jc w:val="right"/>
              <w:spacing w:after="0"/>
              <w:rPr>
                <w:sz w:val="20"/>
                <w:szCs w:val="20"/>
                <w:color w:val="auto"/>
              </w:rPr>
            </w:pPr>
            <w:r>
              <w:rPr>
                <w:rFonts w:ascii="Arial" w:cs="Arial" w:eastAsia="Arial" w:hAnsi="Arial"/>
                <w:sz w:val="16"/>
                <w:szCs w:val="16"/>
                <w:color w:val="auto"/>
              </w:rPr>
              <w:t>March 31, 2010</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70,200</w:t>
            </w:r>
          </w:p>
        </w:tc>
        <w:tc>
          <w:tcPr>
            <w:tcW w:w="1040" w:type="dxa"/>
            <w:vAlign w:val="bottom"/>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6"/>
        </w:trPr>
        <w:tc>
          <w:tcPr>
            <w:tcW w:w="27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Ergobaby </w:t>
            </w:r>
            <w:r>
              <w:rPr>
                <w:rFonts w:ascii="Arial" w:cs="Arial" w:eastAsia="Arial" w:hAnsi="Arial"/>
                <w:sz w:val="21"/>
                <w:szCs w:val="21"/>
                <w:b w:val="1"/>
                <w:bCs w:val="1"/>
                <w:color w:val="auto"/>
                <w:vertAlign w:val="superscript"/>
              </w:rPr>
              <w:t>(3)</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16, 2010</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85,200</w:t>
            </w:r>
          </w:p>
        </w:tc>
        <w:tc>
          <w:tcPr>
            <w:tcW w:w="1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CamelBak</w:t>
            </w:r>
          </w:p>
        </w:tc>
        <w:tc>
          <w:tcPr>
            <w:tcW w:w="2440" w:type="dxa"/>
            <w:vAlign w:val="bottom"/>
          </w:tcPr>
          <w:p>
            <w:pPr>
              <w:jc w:val="right"/>
              <w:spacing w:after="0"/>
              <w:rPr>
                <w:sz w:val="20"/>
                <w:szCs w:val="20"/>
                <w:color w:val="auto"/>
              </w:rPr>
            </w:pPr>
            <w:r>
              <w:rPr>
                <w:rFonts w:ascii="Arial" w:cs="Arial" w:eastAsia="Arial" w:hAnsi="Arial"/>
                <w:sz w:val="16"/>
                <w:szCs w:val="16"/>
                <w:color w:val="auto"/>
              </w:rPr>
              <w:t>August 24, 2011</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251,400</w:t>
            </w:r>
          </w:p>
        </w:tc>
        <w:tc>
          <w:tcPr>
            <w:tcW w:w="1040" w:type="dxa"/>
            <w:vAlign w:val="bottom"/>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7"/>
        </w:trPr>
        <w:tc>
          <w:tcPr>
            <w:tcW w:w="27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Arnold Magnetics </w:t>
            </w:r>
            <w:r>
              <w:rPr>
                <w:rFonts w:ascii="Arial" w:cs="Arial" w:eastAsia="Arial" w:hAnsi="Arial"/>
                <w:sz w:val="21"/>
                <w:szCs w:val="21"/>
                <w:b w:val="1"/>
                <w:bCs w:val="1"/>
                <w:color w:val="auto"/>
                <w:vertAlign w:val="superscript"/>
              </w:rPr>
              <w:t>(3)</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5, 2012</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128,800</w:t>
            </w:r>
          </w:p>
        </w:tc>
        <w:tc>
          <w:tcPr>
            <w:tcW w:w="10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9"/>
              </w:rPr>
              <w:t>98%</w:t>
            </w:r>
          </w:p>
        </w:tc>
        <w:tc>
          <w:tcPr>
            <w:tcW w:w="166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85.8%</w:t>
            </w:r>
          </w:p>
        </w:tc>
      </w:tr>
      <w:tr>
        <w:trPr>
          <w:trHeight w:val="216"/>
        </w:trPr>
        <w:tc>
          <w:tcPr>
            <w:tcW w:w="27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Clean Earth </w:t>
            </w:r>
            <w:r>
              <w:rPr>
                <w:rFonts w:ascii="Arial" w:cs="Arial" w:eastAsia="Arial" w:hAnsi="Arial"/>
                <w:sz w:val="21"/>
                <w:szCs w:val="21"/>
                <w:b w:val="1"/>
                <w:bCs w:val="1"/>
                <w:color w:val="auto"/>
                <w:vertAlign w:val="superscript"/>
              </w:rPr>
              <w:t>(3)</w:t>
            </w:r>
          </w:p>
        </w:tc>
        <w:tc>
          <w:tcPr>
            <w:tcW w:w="2440" w:type="dxa"/>
            <w:vAlign w:val="bottom"/>
          </w:tcPr>
          <w:p>
            <w:pPr>
              <w:jc w:val="right"/>
              <w:spacing w:after="0"/>
              <w:rPr>
                <w:sz w:val="20"/>
                <w:szCs w:val="20"/>
                <w:color w:val="auto"/>
              </w:rPr>
            </w:pPr>
            <w:r>
              <w:rPr>
                <w:rFonts w:ascii="Arial" w:cs="Arial" w:eastAsia="Arial" w:hAnsi="Arial"/>
                <w:sz w:val="16"/>
                <w:szCs w:val="16"/>
                <w:color w:val="auto"/>
              </w:rPr>
              <w:t>August 7, 2014</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251,400</w:t>
            </w:r>
          </w:p>
        </w:tc>
        <w:tc>
          <w:tcPr>
            <w:tcW w:w="1040" w:type="dxa"/>
            <w:vAlign w:val="bottom"/>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6"/>
        </w:trPr>
        <w:tc>
          <w:tcPr>
            <w:tcW w:w="27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Sterno </w:t>
            </w:r>
            <w:r>
              <w:rPr>
                <w:rFonts w:ascii="Arial" w:cs="Arial" w:eastAsia="Arial" w:hAnsi="Arial"/>
                <w:sz w:val="21"/>
                <w:szCs w:val="21"/>
                <w:b w:val="1"/>
                <w:bCs w:val="1"/>
                <w:color w:val="auto"/>
                <w:vertAlign w:val="superscript"/>
              </w:rPr>
              <w:t>(3) (5)</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10, 2014</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314,400</w:t>
            </w:r>
          </w:p>
        </w:tc>
        <w:tc>
          <w:tcPr>
            <w:tcW w:w="104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98.5%</w:t>
            </w:r>
          </w:p>
        </w:tc>
        <w:tc>
          <w:tcPr>
            <w:tcW w:w="166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91.6%</w:t>
            </w:r>
          </w:p>
        </w:tc>
      </w:tr>
      <w:tr>
        <w:trPr>
          <w:trHeight w:val="216"/>
        </w:trPr>
        <w:tc>
          <w:tcPr>
            <w:tcW w:w="27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Manitoba Harvest </w:t>
            </w:r>
            <w:r>
              <w:rPr>
                <w:rFonts w:ascii="Arial" w:cs="Arial" w:eastAsia="Arial" w:hAnsi="Arial"/>
                <w:sz w:val="21"/>
                <w:szCs w:val="21"/>
                <w:b w:val="1"/>
                <w:bCs w:val="1"/>
                <w:color w:val="auto"/>
                <w:vertAlign w:val="superscript"/>
              </w:rPr>
              <w:t>(3)</w:t>
            </w:r>
          </w:p>
        </w:tc>
        <w:tc>
          <w:tcPr>
            <w:tcW w:w="2440" w:type="dxa"/>
            <w:vAlign w:val="bottom"/>
          </w:tcPr>
          <w:p>
            <w:pPr>
              <w:jc w:val="right"/>
              <w:spacing w:after="0"/>
              <w:rPr>
                <w:sz w:val="20"/>
                <w:szCs w:val="20"/>
                <w:color w:val="auto"/>
              </w:rPr>
            </w:pPr>
            <w:r>
              <w:rPr>
                <w:rFonts w:ascii="Arial" w:cs="Arial" w:eastAsia="Arial" w:hAnsi="Arial"/>
                <w:sz w:val="16"/>
                <w:szCs w:val="16"/>
                <w:color w:val="auto"/>
              </w:rPr>
              <w:t>July 10, 2015</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102,700</w:t>
            </w:r>
          </w:p>
        </w:tc>
        <w:tc>
          <w:tcPr>
            <w:tcW w:w="1040" w:type="dxa"/>
            <w:vAlign w:val="bottom"/>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31, 2016</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408,200</w:t>
            </w:r>
          </w:p>
        </w:tc>
        <w:tc>
          <w:tcPr>
            <w:tcW w:w="104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97.6%</w:t>
            </w:r>
          </w:p>
        </w:tc>
        <w:tc>
          <w:tcPr>
            <w:tcW w:w="166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86.9%</w:t>
            </w:r>
          </w:p>
        </w:tc>
      </w:tr>
      <w:tr>
        <w:trPr>
          <w:trHeight w:val="216"/>
        </w:trPr>
        <w:tc>
          <w:tcPr>
            <w:tcW w:w="27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Velocity Outdoor </w:t>
            </w:r>
            <w:r>
              <w:rPr>
                <w:rFonts w:ascii="Arial" w:cs="Arial" w:eastAsia="Arial" w:hAnsi="Arial"/>
                <w:sz w:val="21"/>
                <w:szCs w:val="21"/>
                <w:b w:val="1"/>
                <w:bCs w:val="1"/>
                <w:color w:val="auto"/>
                <w:vertAlign w:val="superscript"/>
              </w:rPr>
              <w:t>(2) (3)</w:t>
            </w:r>
          </w:p>
        </w:tc>
        <w:tc>
          <w:tcPr>
            <w:tcW w:w="2440" w:type="dxa"/>
            <w:vAlign w:val="bottom"/>
          </w:tcPr>
          <w:p>
            <w:pPr>
              <w:jc w:val="right"/>
              <w:spacing w:after="0"/>
              <w:rPr>
                <w:sz w:val="20"/>
                <w:szCs w:val="20"/>
                <w:color w:val="auto"/>
              </w:rPr>
            </w:pPr>
            <w:r>
              <w:rPr>
                <w:rFonts w:ascii="Arial" w:cs="Arial" w:eastAsia="Arial" w:hAnsi="Arial"/>
                <w:sz w:val="16"/>
                <w:szCs w:val="16"/>
                <w:color w:val="auto"/>
              </w:rPr>
              <w:t>June 2, 2017</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150,400</w:t>
            </w:r>
          </w:p>
        </w:tc>
        <w:tc>
          <w:tcPr>
            <w:tcW w:w="1040" w:type="dxa"/>
            <w:vAlign w:val="bottom"/>
          </w:tcPr>
          <w:p>
            <w:pPr>
              <w:jc w:val="center"/>
              <w:ind w:left="139"/>
              <w:spacing w:after="0"/>
              <w:rPr>
                <w:sz w:val="20"/>
                <w:szCs w:val="20"/>
                <w:color w:val="auto"/>
              </w:rPr>
            </w:pPr>
            <w:r>
              <w:rPr>
                <w:rFonts w:ascii="Arial" w:cs="Arial" w:eastAsia="Arial" w:hAnsi="Arial"/>
                <w:sz w:val="16"/>
                <w:szCs w:val="16"/>
                <w:color w:val="auto"/>
              </w:rPr>
              <w:t>99.4%</w:t>
            </w:r>
          </w:p>
        </w:tc>
        <w:tc>
          <w:tcPr>
            <w:tcW w:w="1660" w:type="dxa"/>
            <w:vAlign w:val="bottom"/>
          </w:tcPr>
          <w:p>
            <w:pPr>
              <w:jc w:val="center"/>
              <w:ind w:left="279"/>
              <w:spacing w:after="0"/>
              <w:rPr>
                <w:sz w:val="20"/>
                <w:szCs w:val="20"/>
                <w:color w:val="auto"/>
              </w:rPr>
            </w:pPr>
            <w:r>
              <w:rPr>
                <w:rFonts w:ascii="Arial" w:cs="Arial" w:eastAsia="Arial" w:hAnsi="Arial"/>
                <w:sz w:val="16"/>
                <w:szCs w:val="16"/>
                <w:color w:val="auto"/>
              </w:rPr>
              <w:t>93.3%</w:t>
            </w:r>
          </w:p>
        </w:tc>
      </w:tr>
      <w:tr>
        <w:trPr>
          <w:trHeight w:val="216"/>
        </w:trPr>
        <w:tc>
          <w:tcPr>
            <w:tcW w:w="27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Altor Solutions </w:t>
            </w:r>
            <w:r>
              <w:rPr>
                <w:rFonts w:ascii="Arial" w:cs="Arial" w:eastAsia="Arial" w:hAnsi="Arial"/>
                <w:sz w:val="21"/>
                <w:szCs w:val="21"/>
                <w:b w:val="1"/>
                <w:bCs w:val="1"/>
                <w:color w:val="auto"/>
                <w:vertAlign w:val="superscript"/>
              </w:rPr>
              <w:t>(3)</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15, 2018</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253,400</w:t>
            </w:r>
          </w:p>
        </w:tc>
        <w:tc>
          <w:tcPr>
            <w:tcW w:w="104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99.3%</w:t>
            </w:r>
          </w:p>
        </w:tc>
        <w:tc>
          <w:tcPr>
            <w:tcW w:w="166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90.2%</w:t>
            </w:r>
          </w:p>
        </w:tc>
      </w:tr>
      <w:tr>
        <w:trPr>
          <w:trHeight w:val="216"/>
        </w:trPr>
        <w:tc>
          <w:tcPr>
            <w:tcW w:w="27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Marucci Sports </w:t>
            </w:r>
            <w:r>
              <w:rPr>
                <w:rFonts w:ascii="Arial" w:cs="Arial" w:eastAsia="Arial" w:hAnsi="Arial"/>
                <w:sz w:val="21"/>
                <w:szCs w:val="21"/>
                <w:b w:val="1"/>
                <w:bCs w:val="1"/>
                <w:color w:val="auto"/>
                <w:vertAlign w:val="superscript"/>
              </w:rPr>
              <w:t>(3)</w:t>
            </w:r>
          </w:p>
        </w:tc>
        <w:tc>
          <w:tcPr>
            <w:tcW w:w="2440" w:type="dxa"/>
            <w:vAlign w:val="bottom"/>
          </w:tcPr>
          <w:p>
            <w:pPr>
              <w:jc w:val="right"/>
              <w:spacing w:after="0"/>
              <w:rPr>
                <w:sz w:val="20"/>
                <w:szCs w:val="20"/>
                <w:color w:val="auto"/>
              </w:rPr>
            </w:pPr>
            <w:r>
              <w:rPr>
                <w:rFonts w:ascii="Arial" w:cs="Arial" w:eastAsia="Arial" w:hAnsi="Arial"/>
                <w:sz w:val="16"/>
                <w:szCs w:val="16"/>
                <w:color w:val="auto"/>
              </w:rPr>
              <w:t>April 20, 2020</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201,000</w:t>
            </w:r>
          </w:p>
        </w:tc>
        <w:tc>
          <w:tcPr>
            <w:tcW w:w="1040" w:type="dxa"/>
            <w:vAlign w:val="bottom"/>
          </w:tcPr>
          <w:p>
            <w:pPr>
              <w:jc w:val="center"/>
              <w:ind w:left="159"/>
              <w:spacing w:after="0"/>
              <w:rPr>
                <w:sz w:val="20"/>
                <w:szCs w:val="20"/>
                <w:color w:val="auto"/>
              </w:rPr>
            </w:pPr>
            <w:r>
              <w:rPr>
                <w:rFonts w:ascii="Arial" w:cs="Arial" w:eastAsia="Arial" w:hAnsi="Arial"/>
                <w:sz w:val="16"/>
                <w:szCs w:val="16"/>
                <w:color w:val="auto"/>
                <w:w w:val="96"/>
              </w:rPr>
              <w:t>N/a</w:t>
            </w:r>
          </w:p>
        </w:tc>
        <w:tc>
          <w:tcPr>
            <w:tcW w:w="1660" w:type="dxa"/>
            <w:vAlign w:val="bottom"/>
          </w:tcPr>
          <w:p>
            <w:pPr>
              <w:jc w:val="center"/>
              <w:ind w:left="259"/>
              <w:spacing w:after="0"/>
              <w:rPr>
                <w:sz w:val="20"/>
                <w:szCs w:val="20"/>
                <w:color w:val="auto"/>
              </w:rPr>
            </w:pPr>
            <w:r>
              <w:rPr>
                <w:rFonts w:ascii="Arial" w:cs="Arial" w:eastAsia="Arial" w:hAnsi="Arial"/>
                <w:sz w:val="16"/>
                <w:szCs w:val="16"/>
                <w:color w:val="auto"/>
                <w:w w:val="96"/>
              </w:rPr>
              <w:t>N/a</w:t>
            </w: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BOA</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16, 2020</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456,800</w:t>
            </w:r>
          </w:p>
        </w:tc>
        <w:tc>
          <w:tcPr>
            <w:tcW w:w="104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91.7%</w:t>
            </w:r>
          </w:p>
        </w:tc>
        <w:tc>
          <w:tcPr>
            <w:tcW w:w="16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99"/>
              </w:rPr>
              <w:t>83%</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Lugano</w:t>
            </w:r>
          </w:p>
        </w:tc>
        <w:tc>
          <w:tcPr>
            <w:tcW w:w="2440" w:type="dxa"/>
            <w:vAlign w:val="bottom"/>
          </w:tcPr>
          <w:p>
            <w:pPr>
              <w:jc w:val="right"/>
              <w:spacing w:after="0"/>
              <w:rPr>
                <w:sz w:val="20"/>
                <w:szCs w:val="20"/>
                <w:color w:val="auto"/>
              </w:rPr>
            </w:pPr>
            <w:r>
              <w:rPr>
                <w:rFonts w:ascii="Arial" w:cs="Arial" w:eastAsia="Arial" w:hAnsi="Arial"/>
                <w:sz w:val="16"/>
                <w:szCs w:val="16"/>
                <w:color w:val="auto"/>
              </w:rPr>
              <w:t>September 3, 2021</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265,100</w:t>
            </w:r>
          </w:p>
        </w:tc>
        <w:tc>
          <w:tcPr>
            <w:tcW w:w="1040" w:type="dxa"/>
            <w:vAlign w:val="bottom"/>
          </w:tcPr>
          <w:p>
            <w:pPr>
              <w:jc w:val="center"/>
              <w:ind w:left="139"/>
              <w:spacing w:after="0"/>
              <w:rPr>
                <w:sz w:val="20"/>
                <w:szCs w:val="20"/>
                <w:color w:val="auto"/>
              </w:rPr>
            </w:pPr>
            <w:r>
              <w:rPr>
                <w:rFonts w:ascii="Arial" w:cs="Arial" w:eastAsia="Arial" w:hAnsi="Arial"/>
                <w:sz w:val="16"/>
                <w:szCs w:val="16"/>
                <w:color w:val="auto"/>
              </w:rPr>
              <w:t>59.9%</w:t>
            </w:r>
          </w:p>
        </w:tc>
        <w:tc>
          <w:tcPr>
            <w:tcW w:w="1660" w:type="dxa"/>
            <w:vAlign w:val="bottom"/>
          </w:tcPr>
          <w:p>
            <w:pPr>
              <w:jc w:val="center"/>
              <w:ind w:left="259"/>
              <w:spacing w:after="0"/>
              <w:rPr>
                <w:sz w:val="20"/>
                <w:szCs w:val="20"/>
                <w:color w:val="auto"/>
              </w:rPr>
            </w:pPr>
            <w:r>
              <w:rPr>
                <w:rFonts w:ascii="Arial" w:cs="Arial" w:eastAsia="Arial" w:hAnsi="Arial"/>
                <w:sz w:val="16"/>
                <w:szCs w:val="16"/>
                <w:color w:val="auto"/>
                <w:w w:val="99"/>
              </w:rPr>
              <w:t>55%</w:t>
            </w: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PrimaLoft</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12, 2022</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541,100</w:t>
            </w:r>
          </w:p>
        </w:tc>
        <w:tc>
          <w:tcPr>
            <w:tcW w:w="104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90.7%</w:t>
            </w:r>
          </w:p>
        </w:tc>
        <w:tc>
          <w:tcPr>
            <w:tcW w:w="166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84.7%</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The Honey Pot Co.</w:t>
            </w:r>
          </w:p>
        </w:tc>
        <w:tc>
          <w:tcPr>
            <w:tcW w:w="2440" w:type="dxa"/>
            <w:vAlign w:val="bottom"/>
          </w:tcPr>
          <w:p>
            <w:pPr>
              <w:jc w:val="right"/>
              <w:spacing w:after="0"/>
              <w:rPr>
                <w:sz w:val="20"/>
                <w:szCs w:val="20"/>
                <w:color w:val="auto"/>
              </w:rPr>
            </w:pPr>
            <w:r>
              <w:rPr>
                <w:rFonts w:ascii="Arial" w:cs="Arial" w:eastAsia="Arial" w:hAnsi="Arial"/>
                <w:sz w:val="16"/>
                <w:szCs w:val="16"/>
                <w:color w:val="auto"/>
              </w:rPr>
              <w:t>January 31, 2024</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380,000</w:t>
            </w:r>
          </w:p>
        </w:tc>
        <w:tc>
          <w:tcPr>
            <w:tcW w:w="1040" w:type="dxa"/>
            <w:vAlign w:val="bottom"/>
          </w:tcPr>
          <w:p>
            <w:pPr>
              <w:jc w:val="center"/>
              <w:ind w:left="139"/>
              <w:spacing w:after="0"/>
              <w:rPr>
                <w:sz w:val="20"/>
                <w:szCs w:val="20"/>
                <w:color w:val="auto"/>
              </w:rPr>
            </w:pPr>
            <w:r>
              <w:rPr>
                <w:rFonts w:ascii="Arial" w:cs="Arial" w:eastAsia="Arial" w:hAnsi="Arial"/>
                <w:sz w:val="16"/>
                <w:szCs w:val="16"/>
                <w:color w:val="auto"/>
              </w:rPr>
              <w:t>84.8%</w:t>
            </w:r>
          </w:p>
        </w:tc>
        <w:tc>
          <w:tcPr>
            <w:tcW w:w="1660" w:type="dxa"/>
            <w:vAlign w:val="bottom"/>
          </w:tcPr>
          <w:p>
            <w:pPr>
              <w:jc w:val="center"/>
              <w:ind w:left="279"/>
              <w:spacing w:after="0"/>
              <w:rPr>
                <w:sz w:val="20"/>
                <w:szCs w:val="20"/>
                <w:color w:val="auto"/>
              </w:rPr>
            </w:pPr>
            <w:r>
              <w:rPr>
                <w:rFonts w:ascii="Arial" w:cs="Arial" w:eastAsia="Arial" w:hAnsi="Arial"/>
                <w:sz w:val="16"/>
                <w:szCs w:val="16"/>
                <w:color w:val="auto"/>
              </w:rPr>
              <w:t>77.2%</w:t>
            </w:r>
          </w:p>
        </w:tc>
      </w:tr>
    </w:tbl>
    <w:p>
      <w:pPr>
        <w:spacing w:after="0" w:line="190" w:lineRule="exact"/>
        <w:rPr>
          <w:sz w:val="20"/>
          <w:szCs w:val="20"/>
          <w:color w:val="auto"/>
        </w:rPr>
      </w:pPr>
    </w:p>
    <w:p>
      <w:pPr>
        <w:ind w:right="20" w:firstLine="8"/>
        <w:spacing w:after="0" w:line="229" w:lineRule="auto"/>
        <w:tabs>
          <w:tab w:leader="none" w:pos="193" w:val="left"/>
        </w:tabs>
        <w:numPr>
          <w:ilvl w:val="0"/>
          <w:numId w:val="48"/>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total purchase price for CBS Holdings includes the acquisition of Staffmark Investment LLC in January 2008 for a purchase price of $128.6 million. The Company renamed its CBS Personnel business Staffmark subsequent to the acquisition.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8" w:name="page79"/>
    <w:bookmarkEnd w:id="78"/>
    <w:p>
      <w:pPr>
        <w:ind w:firstLine="8"/>
        <w:spacing w:after="0" w:line="223" w:lineRule="auto"/>
        <w:tabs>
          <w:tab w:leader="none" w:pos="220" w:val="left"/>
        </w:tabs>
        <w:numPr>
          <w:ilvl w:val="0"/>
          <w:numId w:val="49"/>
        </w:numPr>
        <w:rPr>
          <w:rFonts w:ascii="Arial" w:cs="Arial" w:eastAsia="Arial" w:hAnsi="Arial"/>
          <w:sz w:val="23"/>
          <w:szCs w:val="23"/>
          <w:b w:val="1"/>
          <w:bCs w:val="1"/>
          <w:color w:val="auto"/>
          <w:vertAlign w:val="superscript"/>
        </w:rPr>
      </w:pPr>
      <w:r>
        <w:rPr>
          <w:rFonts w:ascii="Arial" w:cs="Arial" w:eastAsia="Arial" w:hAnsi="Arial"/>
          <w:sz w:val="16"/>
          <w:szCs w:val="16"/>
          <w:color w:val="auto"/>
        </w:rPr>
        <w:t>Velocity Outdoor (formerly "Crosman Corp.") was purchased by the Company in May 2006 and subsequently sold in January 2007. We reacquired Velocity Outdoor in June 2017.</w:t>
      </w:r>
    </w:p>
    <w:p>
      <w:pPr>
        <w:spacing w:after="0" w:line="46" w:lineRule="exact"/>
        <w:rPr>
          <w:rFonts w:ascii="Arial" w:cs="Arial" w:eastAsia="Arial" w:hAnsi="Arial"/>
          <w:sz w:val="23"/>
          <w:szCs w:val="23"/>
          <w:b w:val="1"/>
          <w:bCs w:val="1"/>
          <w:color w:val="auto"/>
          <w:vertAlign w:val="superscript"/>
        </w:rPr>
      </w:pPr>
    </w:p>
    <w:p>
      <w:pPr>
        <w:ind w:left="200" w:hanging="192"/>
        <w:spacing w:after="0"/>
        <w:tabs>
          <w:tab w:leader="none" w:pos="200" w:val="left"/>
        </w:tabs>
        <w:numPr>
          <w:ilvl w:val="0"/>
          <w:numId w:val="49"/>
        </w:numPr>
        <w:rPr>
          <w:rFonts w:ascii="Arial" w:cs="Arial" w:eastAsia="Arial" w:hAnsi="Arial"/>
          <w:sz w:val="23"/>
          <w:szCs w:val="23"/>
          <w:b w:val="1"/>
          <w:bCs w:val="1"/>
          <w:color w:val="auto"/>
          <w:vertAlign w:val="superscript"/>
        </w:rPr>
      </w:pPr>
      <w:r>
        <w:rPr>
          <w:rFonts w:ascii="Arial" w:cs="Arial" w:eastAsia="Arial" w:hAnsi="Arial"/>
          <w:sz w:val="16"/>
          <w:szCs w:val="16"/>
          <w:color w:val="auto"/>
        </w:rPr>
        <w:t>The total purchase price does not reflect add-on acquisitions made by our businesses subsequent to their purchase by the Company unless indicated.</w:t>
      </w:r>
    </w:p>
    <w:p>
      <w:pPr>
        <w:spacing w:after="0" w:line="95" w:lineRule="exact"/>
        <w:rPr>
          <w:rFonts w:ascii="Arial" w:cs="Arial" w:eastAsia="Arial" w:hAnsi="Arial"/>
          <w:sz w:val="23"/>
          <w:szCs w:val="23"/>
          <w:b w:val="1"/>
          <w:bCs w:val="1"/>
          <w:color w:val="auto"/>
          <w:vertAlign w:val="superscript"/>
        </w:rPr>
      </w:pPr>
    </w:p>
    <w:p>
      <w:pPr>
        <w:jc w:val="both"/>
        <w:ind w:firstLine="8"/>
        <w:spacing w:after="0" w:line="281" w:lineRule="auto"/>
        <w:tabs>
          <w:tab w:leader="none" w:pos="175" w:val="left"/>
        </w:tabs>
        <w:numPr>
          <w:ilvl w:val="0"/>
          <w:numId w:val="49"/>
        </w:numPr>
        <w:rPr>
          <w:rFonts w:ascii="Arial" w:cs="Arial" w:eastAsia="Arial" w:hAnsi="Arial"/>
          <w:sz w:val="20"/>
          <w:szCs w:val="20"/>
          <w:b w:val="1"/>
          <w:bCs w:val="1"/>
          <w:color w:val="auto"/>
          <w:vertAlign w:val="superscript"/>
        </w:rPr>
      </w:pPr>
      <w:r>
        <w:rPr>
          <w:rFonts w:ascii="Arial" w:cs="Arial" w:eastAsia="Arial" w:hAnsi="Arial"/>
          <w:sz w:val="14"/>
          <w:szCs w:val="14"/>
          <w:color w:val="auto"/>
        </w:rPr>
        <w:t>FOX completed an IPO of its common stock in August 2013 in which we sold a 22% interest in FOX, reducing our ownership interest to 53.9%. In July 2014, FOX completed a secondary offering in which we sold a 12% interest in FOX, reducing our ownership interest to 41% and resulting in the deconsolidation of FOX from our financial results. We subsequently sold our remaining shares of FOX and now hold no ownership interest in FOX. We recognized total net proceeds from the sale of our FOX shares of approximately $465.1 million.</w:t>
      </w:r>
    </w:p>
    <w:p>
      <w:pPr>
        <w:spacing w:after="0" w:line="6" w:lineRule="exact"/>
        <w:rPr>
          <w:rFonts w:ascii="Arial" w:cs="Arial" w:eastAsia="Arial" w:hAnsi="Arial"/>
          <w:sz w:val="20"/>
          <w:szCs w:val="20"/>
          <w:b w:val="1"/>
          <w:bCs w:val="1"/>
          <w:color w:val="auto"/>
          <w:vertAlign w:val="superscript"/>
        </w:rPr>
      </w:pPr>
    </w:p>
    <w:p>
      <w:pPr>
        <w:ind w:left="200" w:hanging="192"/>
        <w:spacing w:after="0"/>
        <w:tabs>
          <w:tab w:leader="none" w:pos="200" w:val="left"/>
        </w:tabs>
        <w:numPr>
          <w:ilvl w:val="0"/>
          <w:numId w:val="49"/>
        </w:numPr>
        <w:rPr>
          <w:rFonts w:ascii="Arial" w:cs="Arial" w:eastAsia="Arial" w:hAnsi="Arial"/>
          <w:sz w:val="23"/>
          <w:szCs w:val="23"/>
          <w:b w:val="1"/>
          <w:bCs w:val="1"/>
          <w:color w:val="auto"/>
          <w:vertAlign w:val="superscript"/>
        </w:rPr>
      </w:pPr>
      <w:r>
        <w:rPr>
          <w:rFonts w:ascii="Arial" w:cs="Arial" w:eastAsia="Arial" w:hAnsi="Arial"/>
          <w:sz w:val="16"/>
          <w:szCs w:val="16"/>
          <w:color w:val="auto"/>
        </w:rPr>
        <w:t>The total purchase price of Sterno includes the acquisition of Rimports in February 2018 for a purchase price of $154.4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143"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2280" w:type="dxa"/>
            <w:vAlign w:val="bottom"/>
            <w:tcBorders>
              <w:top w:val="single" w:sz="8" w:color="auto"/>
            </w:tcBorders>
            <w:vMerge w:val="restart"/>
          </w:tcPr>
          <w:p>
            <w:pPr>
              <w:ind w:left="940"/>
              <w:spacing w:after="0"/>
              <w:rPr>
                <w:sz w:val="20"/>
                <w:szCs w:val="20"/>
                <w:color w:val="auto"/>
              </w:rPr>
            </w:pPr>
            <w:r>
              <w:rPr>
                <w:rFonts w:ascii="Arial" w:cs="Arial" w:eastAsia="Arial" w:hAnsi="Arial"/>
                <w:sz w:val="15"/>
                <w:szCs w:val="15"/>
                <w:b w:val="1"/>
                <w:bCs w:val="1"/>
                <w:color w:val="auto"/>
              </w:rPr>
              <w:t>Business</w:t>
            </w:r>
          </w:p>
        </w:tc>
        <w:tc>
          <w:tcPr>
            <w:tcW w:w="236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5"/>
                <w:szCs w:val="15"/>
                <w:b w:val="1"/>
                <w:bCs w:val="1"/>
                <w:color w:val="auto"/>
              </w:rPr>
              <w:t>Date of Disposition</w:t>
            </w:r>
          </w:p>
        </w:tc>
        <w:tc>
          <w:tcPr>
            <w:tcW w:w="3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5"/>
                <w:szCs w:val="15"/>
                <w:b w:val="1"/>
                <w:bCs w:val="1"/>
                <w:color w:val="auto"/>
              </w:rPr>
              <w:t>Sale Price</w:t>
            </w:r>
          </w:p>
        </w:tc>
        <w:tc>
          <w:tcPr>
            <w:tcW w:w="2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200"/>
              <w:spacing w:after="0"/>
              <w:rPr>
                <w:sz w:val="20"/>
                <w:szCs w:val="20"/>
                <w:color w:val="auto"/>
              </w:rPr>
            </w:pPr>
            <w:r>
              <w:rPr>
                <w:rFonts w:ascii="Arial" w:cs="Arial" w:eastAsia="Arial" w:hAnsi="Arial"/>
                <w:sz w:val="15"/>
                <w:szCs w:val="15"/>
                <w:b w:val="1"/>
                <w:bCs w:val="1"/>
                <w:color w:val="auto"/>
              </w:rPr>
              <w:t>CODI Proceeds from</w:t>
            </w:r>
          </w:p>
        </w:tc>
        <w:tc>
          <w:tcPr>
            <w:tcW w:w="18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Gain (loss) recognized</w:t>
            </w:r>
          </w:p>
        </w:tc>
        <w:tc>
          <w:tcPr>
            <w:tcW w:w="0" w:type="dxa"/>
            <w:vAlign w:val="bottom"/>
          </w:tcPr>
          <w:p>
            <w:pPr>
              <w:spacing w:after="0"/>
              <w:rPr>
                <w:sz w:val="1"/>
                <w:szCs w:val="1"/>
                <w:color w:val="auto"/>
              </w:rPr>
            </w:pPr>
          </w:p>
        </w:tc>
      </w:tr>
      <w:tr>
        <w:trPr>
          <w:trHeight w:val="149"/>
        </w:trPr>
        <w:tc>
          <w:tcPr>
            <w:tcW w:w="2280" w:type="dxa"/>
            <w:vAlign w:val="bottom"/>
            <w:tcBorders>
              <w:bottom w:val="single" w:sz="8" w:color="auto"/>
            </w:tcBorders>
            <w:vMerge w:val="continue"/>
          </w:tcPr>
          <w:p>
            <w:pPr>
              <w:spacing w:after="0"/>
              <w:rPr>
                <w:sz w:val="12"/>
                <w:szCs w:val="12"/>
                <w:color w:val="auto"/>
              </w:rPr>
            </w:pPr>
          </w:p>
        </w:tc>
        <w:tc>
          <w:tcPr>
            <w:tcW w:w="236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440"/>
              <w:spacing w:after="0" w:line="149" w:lineRule="exact"/>
              <w:rPr>
                <w:sz w:val="20"/>
                <w:szCs w:val="20"/>
                <w:color w:val="auto"/>
              </w:rPr>
            </w:pPr>
            <w:r>
              <w:rPr>
                <w:rFonts w:ascii="Arial" w:cs="Arial" w:eastAsia="Arial" w:hAnsi="Arial"/>
                <w:sz w:val="14"/>
                <w:szCs w:val="14"/>
                <w:b w:val="1"/>
                <w:bCs w:val="1"/>
                <w:color w:val="auto"/>
              </w:rPr>
              <w:t xml:space="preserve">Disposition </w:t>
            </w:r>
            <w:r>
              <w:rPr>
                <w:rFonts w:ascii="Arial" w:cs="Arial" w:eastAsia="Arial" w:hAnsi="Arial"/>
                <w:sz w:val="17"/>
                <w:szCs w:val="17"/>
                <w:b w:val="1"/>
                <w:bCs w:val="1"/>
                <w:color w:val="auto"/>
                <w:vertAlign w:val="superscript"/>
              </w:rPr>
              <w:t>(1)</w:t>
            </w:r>
          </w:p>
        </w:tc>
        <w:tc>
          <w:tcPr>
            <w:tcW w:w="5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61"/>
              <w:spacing w:after="0"/>
              <w:rPr>
                <w:sz w:val="20"/>
                <w:szCs w:val="20"/>
                <w:color w:val="auto"/>
              </w:rPr>
            </w:pP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Crosman</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5, 2007</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109,600</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35,800</w:t>
            </w:r>
          </w:p>
        </w:tc>
        <w:tc>
          <w:tcPr>
            <w:tcW w:w="0" w:type="dxa"/>
            <w:vAlign w:val="bottom"/>
          </w:tcPr>
          <w:p>
            <w:pPr>
              <w:spacing w:after="0"/>
              <w:rPr>
                <w:sz w:val="1"/>
                <w:szCs w:val="1"/>
                <w:color w:val="auto"/>
              </w:rPr>
            </w:pPr>
          </w:p>
        </w:tc>
      </w:tr>
      <w:tr>
        <w:trPr>
          <w:trHeight w:val="215"/>
        </w:trPr>
        <w:tc>
          <w:tcPr>
            <w:tcW w:w="2280" w:type="dxa"/>
            <w:vAlign w:val="bottom"/>
          </w:tcPr>
          <w:p>
            <w:pPr>
              <w:ind w:left="20"/>
              <w:spacing w:after="0"/>
              <w:rPr>
                <w:sz w:val="20"/>
                <w:szCs w:val="20"/>
                <w:color w:val="auto"/>
              </w:rPr>
            </w:pPr>
            <w:r>
              <w:rPr>
                <w:rFonts w:ascii="Arial" w:cs="Arial" w:eastAsia="Arial" w:hAnsi="Arial"/>
                <w:sz w:val="16"/>
                <w:szCs w:val="16"/>
                <w:color w:val="auto"/>
              </w:rPr>
              <w:t>Aeroglide</w:t>
            </w:r>
          </w:p>
        </w:tc>
        <w:tc>
          <w:tcPr>
            <w:tcW w:w="2360" w:type="dxa"/>
            <w:vAlign w:val="bottom"/>
          </w:tcPr>
          <w:p>
            <w:pPr>
              <w:jc w:val="right"/>
              <w:spacing w:after="0"/>
              <w:rPr>
                <w:sz w:val="20"/>
                <w:szCs w:val="20"/>
                <w:color w:val="auto"/>
              </w:rPr>
            </w:pPr>
            <w:r>
              <w:rPr>
                <w:rFonts w:ascii="Arial" w:cs="Arial" w:eastAsia="Arial" w:hAnsi="Arial"/>
                <w:sz w:val="16"/>
                <w:szCs w:val="16"/>
                <w:color w:val="auto"/>
              </w:rPr>
              <w:t>June 24, 2008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95,000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78,500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33,700</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Silvue</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25, 2008</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63,600</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39,600</w:t>
            </w:r>
          </w:p>
        </w:tc>
        <w:tc>
          <w:tcPr>
            <w:tcW w:w="0" w:type="dxa"/>
            <w:vAlign w:val="bottom"/>
          </w:tcPr>
          <w:p>
            <w:pPr>
              <w:spacing w:after="0"/>
              <w:rPr>
                <w:sz w:val="1"/>
                <w:szCs w:val="1"/>
                <w:color w:val="auto"/>
              </w:rPr>
            </w:pPr>
          </w:p>
        </w:tc>
      </w:tr>
      <w:tr>
        <w:trPr>
          <w:trHeight w:val="215"/>
        </w:trPr>
        <w:tc>
          <w:tcPr>
            <w:tcW w:w="2280" w:type="dxa"/>
            <w:vAlign w:val="bottom"/>
          </w:tcPr>
          <w:p>
            <w:pPr>
              <w:ind w:left="20"/>
              <w:spacing w:after="0"/>
              <w:rPr>
                <w:sz w:val="20"/>
                <w:szCs w:val="20"/>
                <w:color w:val="auto"/>
              </w:rPr>
            </w:pPr>
            <w:r>
              <w:rPr>
                <w:rFonts w:ascii="Arial" w:cs="Arial" w:eastAsia="Arial" w:hAnsi="Arial"/>
                <w:sz w:val="16"/>
                <w:szCs w:val="16"/>
                <w:color w:val="auto"/>
              </w:rPr>
              <w:t>Staffmark</w:t>
            </w:r>
          </w:p>
        </w:tc>
        <w:tc>
          <w:tcPr>
            <w:tcW w:w="2360" w:type="dxa"/>
            <w:vAlign w:val="bottom"/>
          </w:tcPr>
          <w:p>
            <w:pPr>
              <w:jc w:val="right"/>
              <w:spacing w:after="0"/>
              <w:rPr>
                <w:sz w:val="20"/>
                <w:szCs w:val="20"/>
                <w:color w:val="auto"/>
              </w:rPr>
            </w:pPr>
            <w:r>
              <w:rPr>
                <w:rFonts w:ascii="Arial" w:cs="Arial" w:eastAsia="Arial" w:hAnsi="Arial"/>
                <w:sz w:val="16"/>
                <w:szCs w:val="16"/>
                <w:color w:val="auto"/>
              </w:rPr>
              <w:t>October 17, 2011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295,000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216,000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88,500</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Halo</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1, 2012</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76,500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66,500</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5"/>
        </w:trPr>
        <w:tc>
          <w:tcPr>
            <w:tcW w:w="2280" w:type="dxa"/>
            <w:vAlign w:val="bottom"/>
          </w:tcPr>
          <w:p>
            <w:pPr>
              <w:ind w:left="20"/>
              <w:spacing w:after="0"/>
              <w:rPr>
                <w:sz w:val="20"/>
                <w:szCs w:val="20"/>
                <w:color w:val="auto"/>
              </w:rPr>
            </w:pPr>
            <w:r>
              <w:rPr>
                <w:rFonts w:ascii="Arial" w:cs="Arial" w:eastAsia="Arial" w:hAnsi="Arial"/>
                <w:sz w:val="16"/>
                <w:szCs w:val="16"/>
                <w:color w:val="auto"/>
              </w:rPr>
              <w:t>CamelBak</w:t>
            </w:r>
          </w:p>
        </w:tc>
        <w:tc>
          <w:tcPr>
            <w:tcW w:w="2360" w:type="dxa"/>
            <w:vAlign w:val="bottom"/>
          </w:tcPr>
          <w:p>
            <w:pPr>
              <w:jc w:val="right"/>
              <w:spacing w:after="0"/>
              <w:rPr>
                <w:sz w:val="20"/>
                <w:szCs w:val="20"/>
                <w:color w:val="auto"/>
              </w:rPr>
            </w:pPr>
            <w:r>
              <w:rPr>
                <w:rFonts w:ascii="Arial" w:cs="Arial" w:eastAsia="Arial" w:hAnsi="Arial"/>
                <w:sz w:val="16"/>
                <w:szCs w:val="16"/>
                <w:color w:val="auto"/>
              </w:rPr>
              <w:t>August 3, 2015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412,500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367,800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158,300</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American Furniture</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5, 2015</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23,500</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(14,100)</w:t>
            </w:r>
          </w:p>
        </w:tc>
        <w:tc>
          <w:tcPr>
            <w:tcW w:w="0" w:type="dxa"/>
            <w:vAlign w:val="bottom"/>
          </w:tcPr>
          <w:p>
            <w:pPr>
              <w:spacing w:after="0"/>
              <w:rPr>
                <w:sz w:val="1"/>
                <w:szCs w:val="1"/>
                <w:color w:val="auto"/>
              </w:rPr>
            </w:pPr>
          </w:p>
        </w:tc>
      </w:tr>
      <w:tr>
        <w:trPr>
          <w:trHeight w:val="215"/>
        </w:trPr>
        <w:tc>
          <w:tcPr>
            <w:tcW w:w="2280" w:type="dxa"/>
            <w:vAlign w:val="bottom"/>
          </w:tcPr>
          <w:p>
            <w:pPr>
              <w:ind w:left="20"/>
              <w:spacing w:after="0"/>
              <w:rPr>
                <w:sz w:val="20"/>
                <w:szCs w:val="20"/>
                <w:color w:val="auto"/>
              </w:rPr>
            </w:pPr>
            <w:r>
              <w:rPr>
                <w:rFonts w:ascii="Arial" w:cs="Arial" w:eastAsia="Arial" w:hAnsi="Arial"/>
                <w:sz w:val="16"/>
                <w:szCs w:val="16"/>
                <w:color w:val="auto"/>
              </w:rPr>
              <w:t>Tridien</w:t>
            </w:r>
          </w:p>
        </w:tc>
        <w:tc>
          <w:tcPr>
            <w:tcW w:w="2360" w:type="dxa"/>
            <w:vAlign w:val="bottom"/>
          </w:tcPr>
          <w:p>
            <w:pPr>
              <w:jc w:val="right"/>
              <w:spacing w:after="0"/>
              <w:rPr>
                <w:sz w:val="20"/>
                <w:szCs w:val="20"/>
                <w:color w:val="auto"/>
              </w:rPr>
            </w:pPr>
            <w:r>
              <w:rPr>
                <w:rFonts w:ascii="Arial" w:cs="Arial" w:eastAsia="Arial" w:hAnsi="Arial"/>
                <w:sz w:val="16"/>
                <w:szCs w:val="16"/>
                <w:color w:val="auto"/>
              </w:rPr>
              <w:t>September 21, 2016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25,000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22,700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FOX</w:t>
            </w:r>
          </w:p>
        </w:tc>
        <w:tc>
          <w:tcPr>
            <w:tcW w:w="236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526,600</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428,700</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Manitoba Harvest </w:t>
            </w:r>
            <w:r>
              <w:rPr>
                <w:rFonts w:ascii="Arial" w:cs="Arial" w:eastAsia="Arial" w:hAnsi="Arial"/>
                <w:sz w:val="21"/>
                <w:szCs w:val="21"/>
                <w:color w:val="auto"/>
                <w:vertAlign w:val="superscript"/>
              </w:rPr>
              <w:t>(3)</w:t>
            </w:r>
          </w:p>
        </w:tc>
        <w:tc>
          <w:tcPr>
            <w:tcW w:w="2360" w:type="dxa"/>
            <w:vAlign w:val="bottom"/>
          </w:tcPr>
          <w:p>
            <w:pPr>
              <w:jc w:val="right"/>
              <w:spacing w:after="0"/>
              <w:rPr>
                <w:sz w:val="20"/>
                <w:szCs w:val="20"/>
                <w:color w:val="auto"/>
              </w:rPr>
            </w:pPr>
            <w:r>
              <w:rPr>
                <w:rFonts w:ascii="Arial" w:cs="Arial" w:eastAsia="Arial" w:hAnsi="Arial"/>
                <w:sz w:val="16"/>
                <w:szCs w:val="16"/>
                <w:color w:val="auto"/>
              </w:rPr>
              <w:t>February 28, 2019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294,300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219,700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121,700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Clean Earth</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28, 2019</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625,000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560,520</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217,900</w:t>
            </w:r>
          </w:p>
        </w:tc>
        <w:tc>
          <w:tcPr>
            <w:tcW w:w="0" w:type="dxa"/>
            <w:vAlign w:val="bottom"/>
          </w:tcPr>
          <w:p>
            <w:pPr>
              <w:spacing w:after="0"/>
              <w:rPr>
                <w:sz w:val="1"/>
                <w:szCs w:val="1"/>
                <w:color w:val="auto"/>
              </w:rPr>
            </w:pPr>
          </w:p>
        </w:tc>
      </w:tr>
      <w:tr>
        <w:trPr>
          <w:trHeight w:val="215"/>
        </w:trPr>
        <w:tc>
          <w:tcPr>
            <w:tcW w:w="2280" w:type="dxa"/>
            <w:vAlign w:val="bottom"/>
          </w:tcPr>
          <w:p>
            <w:pPr>
              <w:ind w:left="20"/>
              <w:spacing w:after="0"/>
              <w:rPr>
                <w:sz w:val="20"/>
                <w:szCs w:val="20"/>
                <w:color w:val="auto"/>
              </w:rPr>
            </w:pPr>
            <w:r>
              <w:rPr>
                <w:rFonts w:ascii="Arial" w:cs="Arial" w:eastAsia="Arial" w:hAnsi="Arial"/>
                <w:sz w:val="16"/>
                <w:szCs w:val="16"/>
                <w:color w:val="auto"/>
              </w:rPr>
              <w:t>Liberty</w:t>
            </w:r>
          </w:p>
        </w:tc>
        <w:tc>
          <w:tcPr>
            <w:tcW w:w="2360" w:type="dxa"/>
            <w:vAlign w:val="bottom"/>
          </w:tcPr>
          <w:p>
            <w:pPr>
              <w:jc w:val="right"/>
              <w:spacing w:after="0"/>
              <w:rPr>
                <w:sz w:val="20"/>
                <w:szCs w:val="20"/>
                <w:color w:val="auto"/>
              </w:rPr>
            </w:pPr>
            <w:r>
              <w:rPr>
                <w:rFonts w:ascii="Arial" w:cs="Arial" w:eastAsia="Arial" w:hAnsi="Arial"/>
                <w:sz w:val="16"/>
                <w:szCs w:val="16"/>
                <w:color w:val="auto"/>
              </w:rPr>
              <w:t>August 3, 2021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147,500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129,600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73,700</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Advanced Circuits</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14, 2023</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173,000</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106,900</w:t>
            </w:r>
          </w:p>
        </w:tc>
        <w:tc>
          <w:tcPr>
            <w:tcW w:w="0" w:type="dxa"/>
            <w:vAlign w:val="bottom"/>
          </w:tcPr>
          <w:p>
            <w:pPr>
              <w:spacing w:after="0"/>
              <w:rPr>
                <w:sz w:val="1"/>
                <w:szCs w:val="1"/>
                <w:color w:val="auto"/>
              </w:rPr>
            </w:pPr>
          </w:p>
        </w:tc>
      </w:tr>
      <w:tr>
        <w:trPr>
          <w:trHeight w:val="215"/>
        </w:trPr>
        <w:tc>
          <w:tcPr>
            <w:tcW w:w="2280" w:type="dxa"/>
            <w:vAlign w:val="bottom"/>
          </w:tcPr>
          <w:p>
            <w:pPr>
              <w:ind w:left="20"/>
              <w:spacing w:after="0"/>
              <w:rPr>
                <w:sz w:val="20"/>
                <w:szCs w:val="20"/>
                <w:color w:val="auto"/>
              </w:rPr>
            </w:pPr>
            <w:r>
              <w:rPr>
                <w:rFonts w:ascii="Arial" w:cs="Arial" w:eastAsia="Arial" w:hAnsi="Arial"/>
                <w:sz w:val="16"/>
                <w:szCs w:val="16"/>
                <w:color w:val="auto"/>
              </w:rPr>
              <w:t>Marucci Sports</w:t>
            </w:r>
          </w:p>
        </w:tc>
        <w:tc>
          <w:tcPr>
            <w:tcW w:w="2360" w:type="dxa"/>
            <w:vAlign w:val="bottom"/>
          </w:tcPr>
          <w:p>
            <w:pPr>
              <w:jc w:val="right"/>
              <w:spacing w:after="0"/>
              <w:rPr>
                <w:sz w:val="20"/>
                <w:szCs w:val="20"/>
                <w:color w:val="auto"/>
              </w:rPr>
            </w:pPr>
            <w:r>
              <w:rPr>
                <w:rFonts w:ascii="Arial" w:cs="Arial" w:eastAsia="Arial" w:hAnsi="Arial"/>
                <w:sz w:val="16"/>
                <w:szCs w:val="16"/>
                <w:color w:val="auto"/>
              </w:rPr>
              <w:t>November 14, 2023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572,000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487,320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244,700</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27, 2024</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99,100</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6,100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8"/>
        <w:spacing w:after="0" w:line="258" w:lineRule="auto"/>
        <w:tabs>
          <w:tab w:leader="none" w:pos="175" w:val="left"/>
        </w:tabs>
        <w:numPr>
          <w:ilvl w:val="0"/>
          <w:numId w:val="50"/>
        </w:numPr>
        <w:rPr>
          <w:rFonts w:ascii="Arial" w:cs="Arial" w:eastAsia="Arial" w:hAnsi="Arial"/>
          <w:sz w:val="20"/>
          <w:szCs w:val="20"/>
          <w:b w:val="1"/>
          <w:bCs w:val="1"/>
          <w:color w:val="auto"/>
          <w:vertAlign w:val="superscript"/>
        </w:rPr>
      </w:pPr>
      <w:r>
        <w:rPr>
          <w:rFonts w:ascii="Arial" w:cs="Arial" w:eastAsia="Arial" w:hAnsi="Arial"/>
          <w:sz w:val="14"/>
          <w:szCs w:val="14"/>
          <w:color w:val="auto"/>
        </w:rPr>
        <w:t>CODI portion of the net proceeds from disposition includes debt and equity proceeds and reflects the accounting for the redemption of the sold business's minority shareholders and transaction expenses.</w:t>
      </w:r>
    </w:p>
    <w:p>
      <w:pPr>
        <w:spacing w:after="0" w:line="79" w:lineRule="exact"/>
        <w:rPr>
          <w:rFonts w:ascii="Arial" w:cs="Arial" w:eastAsia="Arial" w:hAnsi="Arial"/>
          <w:sz w:val="20"/>
          <w:szCs w:val="20"/>
          <w:b w:val="1"/>
          <w:bCs w:val="1"/>
          <w:color w:val="auto"/>
          <w:vertAlign w:val="superscript"/>
        </w:rPr>
      </w:pPr>
    </w:p>
    <w:p>
      <w:pPr>
        <w:ind w:firstLine="8"/>
        <w:spacing w:after="0" w:line="293" w:lineRule="auto"/>
        <w:tabs>
          <w:tab w:leader="none" w:pos="158" w:val="left"/>
        </w:tabs>
        <w:numPr>
          <w:ilvl w:val="0"/>
          <w:numId w:val="50"/>
        </w:numPr>
        <w:rPr>
          <w:rFonts w:ascii="Arial" w:cs="Arial" w:eastAsia="Arial" w:hAnsi="Arial"/>
          <w:sz w:val="18"/>
          <w:szCs w:val="18"/>
          <w:b w:val="1"/>
          <w:bCs w:val="1"/>
          <w:color w:val="auto"/>
          <w:vertAlign w:val="superscript"/>
        </w:rPr>
      </w:pPr>
      <w:r>
        <w:rPr>
          <w:rFonts w:ascii="Arial" w:cs="Arial" w:eastAsia="Arial" w:hAnsi="Arial"/>
          <w:sz w:val="14"/>
          <w:szCs w:val="14"/>
          <w:color w:val="auto"/>
        </w:rPr>
        <w:t>Gain (loss) recognized on sale of our businesses is calculated by deducting our total invested capital from the net sale proceeds received and does not include any applicable income tax.</w:t>
      </w:r>
    </w:p>
    <w:p>
      <w:pPr>
        <w:spacing w:after="0" w:line="23" w:lineRule="exact"/>
        <w:rPr>
          <w:rFonts w:ascii="Arial" w:cs="Arial" w:eastAsia="Arial" w:hAnsi="Arial"/>
          <w:sz w:val="18"/>
          <w:szCs w:val="18"/>
          <w:b w:val="1"/>
          <w:bCs w:val="1"/>
          <w:color w:val="auto"/>
          <w:vertAlign w:val="superscript"/>
        </w:rPr>
      </w:pPr>
    </w:p>
    <w:p>
      <w:pPr>
        <w:ind w:left="180" w:hanging="172"/>
        <w:spacing w:after="0"/>
        <w:tabs>
          <w:tab w:leader="none" w:pos="180" w:val="left"/>
        </w:tabs>
        <w:numPr>
          <w:ilvl w:val="0"/>
          <w:numId w:val="50"/>
        </w:numPr>
        <w:rPr>
          <w:rFonts w:ascii="Arial" w:cs="Arial" w:eastAsia="Arial" w:hAnsi="Arial"/>
          <w:sz w:val="21"/>
          <w:szCs w:val="21"/>
          <w:b w:val="1"/>
          <w:bCs w:val="1"/>
          <w:color w:val="auto"/>
          <w:vertAlign w:val="superscript"/>
        </w:rPr>
      </w:pPr>
      <w:r>
        <w:rPr>
          <w:rFonts w:ascii="Arial" w:cs="Arial" w:eastAsia="Arial" w:hAnsi="Arial"/>
          <w:sz w:val="15"/>
          <w:szCs w:val="15"/>
          <w:color w:val="auto"/>
        </w:rPr>
        <w:t>Sale price of Manitoba Harvest was C$370 million. Translation to USD is as of the date of sale.</w:t>
      </w:r>
    </w:p>
    <w:p>
      <w:pPr>
        <w:spacing w:after="0" w:line="132" w:lineRule="exact"/>
        <w:rPr>
          <w:sz w:val="20"/>
          <w:szCs w:val="20"/>
          <w:color w:val="auto"/>
        </w:rPr>
      </w:pPr>
    </w:p>
    <w:p>
      <w:pPr>
        <w:jc w:val="both"/>
        <w:ind w:firstLine="8"/>
        <w:spacing w:after="0" w:line="253" w:lineRule="auto"/>
        <w:tabs>
          <w:tab w:leader="none" w:pos="1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We made loans to and purchased a controlling interest in FOX on January 4, 2008, for approximately $80.4 million. In August 2013, FOX completed an initial public offering of its common stock. As a result of the initial public offering, our ownership interest in FOX was reduced to approximately 53.9%. No gain was reflected as a result of the sale of our FOX shares in the initial public offering because our majority classification of FOX did not change. FOX used a portion of their net proceeds received from the sale of their shares as well as proceeds from a new external FOX credit facility to repay $61.5 million in outstanding indebtedness to us under their existing credit facility with us. In July 2014, through a secondary offering, our ownership in FOX was lowered from approximately 54% to approximately 41%, and as a result we deconsolidated FOX as of July 10, 2014. In March and August 2016, through two more secondary offerings and a share repurchase by FOX, our ownership in the outstanding common stock of FOX was further lowered to approximately 23% as of September 30, 2016. In November 2016, through another secondary offering, our ownership in the outstanding common stock of FOX was further lowered to approximately 14%. On March 13, 2017, FOX closed on a secondary public offering of 5,108,718 shares of FOX common stock held by the Company, which represented our remaining interest in FOX. We recognized total net proceeds from the sales of our FOX shares of approximately $465.1 million, plus proceeds from the repayment of the FOX credit facility of $61.5 million upon completion of their initial public offering, and a total gain of $428.7 million.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79" w:name="page80"/>
    <w:bookmarkEnd w:id="79"/>
    <w:p>
      <w:pPr>
        <w:jc w:val="both"/>
        <w:spacing w:after="0" w:line="262" w:lineRule="auto"/>
        <w:rPr>
          <w:sz w:val="20"/>
          <w:szCs w:val="20"/>
          <w:color w:val="auto"/>
        </w:rPr>
      </w:pPr>
      <w:r>
        <w:rPr>
          <w:rFonts w:ascii="Arial" w:cs="Arial" w:eastAsia="Arial" w:hAnsi="Arial"/>
          <w:sz w:val="18"/>
          <w:szCs w:val="18"/>
          <w:color w:val="auto"/>
        </w:rPr>
        <w:t>We are dependent on the earnings of, and cash receipts from, the businesses that we own in order to meet our corporate overhead and management fee expenses and to pay distributions. The earnings and cash receipts from our businesses are generally lowest in the first quarter, and strongest in the third and fourth quarter, of each fiscal year. These earnings and cash receipts, net of any non-controlling interest in these businesses, are available to:</w:t>
      </w:r>
    </w:p>
    <w:p>
      <w:pPr>
        <w:spacing w:after="0" w:line="6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meet capital expenditure requirements, management fees and corporate overhead charges;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support working capital needs of our businesses and corporate overhead;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 distributed by the Trust to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Highlights and Recent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Ergobaby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27, 2024, the LLC, solely in its capacity as the representative of the holders of stock and options of EBP Lifestyle Brands Holdings, Inc. (“Ergobaby”), a majority owned subsidiary of the Company, entered into a definitive Agreement and Plan of Merger (the “Ergobaby Merger Agreement”) with ERGO Acquisition LLC (“Ergo Acquiror”), Aloha Merger Sub LLC ( “Aloha Merger Sub”) and Ergobaby, to sell to Ergo Acquiror all of the issued and outstanding securities of Ergobaby, the parent company of the operating entity, The ERGO Baby Carrier, Inc., through a merger of Aloha Merger Sub with and into Ergobaby, with Ergobaby surviving the merger and becoming a wholly owned subsidiary of Acquiror (the “Ergobaby Merger”). On the same day, December 27, 2024, the parties completed the Ergobaby Merger pursuant to the Ergobaby Merger Agreement.</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sale price of Ergobaby was based on an enterprise value of $104 million and will be subject to certain adjustments based on matters such as transaction expenses of Ergobaby, the net working capital and cash and debt balances of Ergobaby at the time of the closing. The LLC owned approximately 82% of the outstanding stock of Ergobaby on a fully diluted basis prior to the Ergobaby Merger. After the allocation of the sales price to Ergobaby non-controlling equityholders and the payment of transaction expenses, the Company received approximately $99.1 million of total proceeds at closing. This amount was in respect of its debt and equity interests in Ergobaby (which was acquired by the Company on September 16, 2010) and the payment of accrued interest. The Company recorded a pre-tax gain on the sale of Ergobaby of $6.1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Crosman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30, 2024, Velocity Outdoor entered into a stock purchase agreement to sell Crosman Corporation ("Crosman"), its airgun product division, to Daisy Manufacturing Company, for an enterprise value of approximately $63 million. The sale was completed on the same day. The Company recorded a loss of $24.2 million on the sale of Crosman in the year ended December 31, 2024. Velocity received net proceeds of approximately $61.9 million related to the sale of Crosman, which was used to repay amounts outstanding under its intercompany credit agreement. The results of operation of Crosman are included in the accompanying financial statements through the date of sale.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The Honey Pot Co.</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2024, the LLC, through its newly formed acquisition subsidiaries, THP Topco, Inc., a Delaware corporation (“THP Topco”) and THP Intermediate, Inc., a Delaware corporation (“THP Buyer”), acquired THP and certain of its affiliated entities pursuant to a Merger and Stock Purchase Agreement (the “THP Purchase Agreement”) dated January 14, 2024 by and among THP Buyer, THP, VMG Honey Pot Blocker, Inc. (“Blocker I”), NVB1, Inc. (“Blocker II”), VMG Tax-Exempt IV, L.P., New Voices Fund, LP, THP Merger Sub, LLC (“THP Merger Sub”), VMG Honey Pot Holdings, LLC, as the Sellers’ Representative, and certain remaining equity holders of THP. Pursuant to the THP Purchase Agreement, subsequent to certain internal reorganizations, THP Buyer acquired all of the issued and outstanding equity of Blocker I and Blocker II and, thereafter, THP Merger Sub merged with and into THP (the “THP Merger”), such that the separate existence of THP Merger Sub ceased, with THP surviving the THP Merger as a wholly-owned, indirect subsidiary of THP Topco. THP Topco is the parent company of The Honey Pot Company (DE), LLC, the operating entity of The Honey Pot Co. business.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purchased The Honey Pot Co. for a total enterprise value of $380 million, before working capital and certain other adjustments (the “THP Purchase Price”). The Company funded the THP Purchase Price with cash on hand. Certain minority equity holders of THP executed agreements pursuant to which they contributed a portion of their THP equity (the “THP Rollover Equity”) to THP Topco in exchange for THP Topco common stock. THP Topco contributed the THP Rollover Equity to THP Buyer. Certain other members of The Honey Pot Co. management team also contributed cash in exchange for equity in THP Topco. Immediately subsequent to the acquisition, the LLC</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owned approximately 85% of the outstanding equity of THP Topco.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shares </w:t>
      </w:r>
      <w:r>
        <w:rPr>
          <w:rFonts w:ascii="Arial" w:cs="Arial" w:eastAsia="Arial" w:hAnsi="Arial"/>
          <w:sz w:val="18"/>
          <w:szCs w:val="18"/>
          <w:color w:val="auto"/>
        </w:rPr>
        <w:t>- For the 2024 fiscal year we declared distributions to our common shareholders totaling $1.00 per share.</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Preferred shares </w:t>
      </w:r>
      <w:r>
        <w:rPr>
          <w:rFonts w:ascii="Arial" w:cs="Arial" w:eastAsia="Arial" w:hAnsi="Arial"/>
          <w:sz w:val="18"/>
          <w:szCs w:val="18"/>
          <w:color w:val="auto"/>
        </w:rPr>
        <w:t>- For the 2024 fiscal year we declared distributions to our preferred shareholders totaling $1.8125 per share on our Series A</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and $1.96875 on our Series B Preferred Shares and $1.96875 on our Series C Preferred Shares.</w:t>
      </w:r>
    </w:p>
    <w:p>
      <w:pPr>
        <w:spacing w:after="0" w:line="153" w:lineRule="exact"/>
        <w:rPr>
          <w:sz w:val="20"/>
          <w:szCs w:val="20"/>
          <w:color w:val="auto"/>
        </w:rPr>
      </w:pPr>
    </w:p>
    <w:p>
      <w:pPr>
        <w:ind w:right="4860"/>
        <w:spacing w:after="0" w:line="406" w:lineRule="auto"/>
        <w:rPr>
          <w:sz w:val="20"/>
          <w:szCs w:val="20"/>
          <w:color w:val="auto"/>
        </w:rPr>
      </w:pPr>
      <w:r>
        <w:rPr>
          <w:rFonts w:ascii="Arial" w:cs="Arial" w:eastAsia="Arial" w:hAnsi="Arial"/>
          <w:sz w:val="18"/>
          <w:szCs w:val="18"/>
          <w:b w:val="1"/>
          <w:bCs w:val="1"/>
          <w:color w:val="auto"/>
        </w:rPr>
        <w:t xml:space="preserve">2025 Outlook and Significant Trends Impacting our Subsidiary Businesses </w:t>
      </w:r>
      <w:r>
        <w:rPr>
          <w:rFonts w:ascii="Arial" w:cs="Arial" w:eastAsia="Arial" w:hAnsi="Arial"/>
          <w:sz w:val="18"/>
          <w:szCs w:val="18"/>
          <w:i w:val="1"/>
          <w:iCs w:val="1"/>
          <w:color w:val="auto"/>
        </w:rPr>
        <w:t>Macroeconomic Trends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macroeconomic environment remains dynamic as global macroeconomic trends, including inflationary pressures and elevated interest rates, are impacting consumer spending behavior. We expect uncertainty regarding changing market conditions, inflationary pressures and interest rates to impact consumer spending, particularly for discretionary items purchased by low and middle income consumers, even as overall consumer sentiment among other income brackets improves. Overall inflation has increased at a slower pace domestically in 2024, but prices remain significantly elevated as compared to the pre-COVID-19 environment, and inflation rates remain above central banks' targets. While the Federal Reserve has cut interest rates several times in the past year, it continues to quantitatively tighten the money supply to combat inflation. We continue to experience rising labor costs, particularly at our businesses where hourly employees comprise a larger part of the workforce as the labor market remains historically tight. We expect that increasing benefit costs in particular will continue to have an impact on margins at our businesses in 2025. Certain locales that our businesses operate in have also significantly increased the minimum wage over the past two years with more increases scheduled in coming years, which adds additional wage pressure to the rates we pay hourly workers in these locales.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latter half of 2024, our businesses began to see increases in freight costs, particularly ocean freight, as logistics costs, which had begun to moderate after remaining relatively high post pandemic, were negatively impacted by geopolitical conflicts and higher fuel costs. We do not expect these higher freight costs to moderate in the near term. Accordingly, our liquidity and financial results could be impacted in ways that we are not able to predict today.</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we expect there to be ongoing uncertainty regarding changes to U.S. trade policy and potential tariffs on imports to the U.S., particularly for goods that flow through China. The effect of these potential changes on our subsidiaries will be influenced by the specific details of any changes in trade policy, length and duration of any implemented tariffs and our effectiveness in responding to them.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Outlook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anticipates that the areas of focus for 2025, which are generally applicable to each of our businesses, include:</w:t>
      </w:r>
    </w:p>
    <w:p>
      <w:pPr>
        <w:spacing w:after="0" w:line="117" w:lineRule="exact"/>
        <w:rPr>
          <w:sz w:val="20"/>
          <w:szCs w:val="20"/>
          <w:color w:val="auto"/>
        </w:rPr>
      </w:pPr>
    </w:p>
    <w:p>
      <w:pPr>
        <w:ind w:left="660" w:hanging="328"/>
        <w:spacing w:after="0" w:line="28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Pursuing sales growth through a combination of new product development, increasing distribution, new customer acquisitions and selective international expansion;</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Driving free cash flow through increased net income and effective working capital management, enabling continued investment in our businesses;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Raising prices, when appropriate, on our goods due to rising input costs to preserve operating margins;</w:t>
      </w:r>
    </w:p>
    <w:p>
      <w:pPr>
        <w:spacing w:after="0" w:line="36"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Taking market share, where possible, in each of our niche market leading companies, generally at the expense of less focused or less well capitalized competitors;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Striving for excellence in supply chain management, manufacturing and technological capabilities;</w:t>
      </w:r>
    </w:p>
    <w:p>
      <w:pPr>
        <w:spacing w:after="0" w:line="4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Continuing to pursue expense reduction and cost savings in lower margin business lines or in response to lower production volume; and</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Continuing to grow through disciplined, strategic acquisitions and rigorous integration processes.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Results of Operations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years ended December 31, 2024, 2023 and 2022, and components of the results of operations as well as those components presented as a percent of net revenues, for each of our businesses on a stand-alone basis.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acquired The Honey Pot Co. in January 2024 and PrimaLoft in July 2022. In the following results of operations, we provide (i) our actual Consolidated Results of Operations for the years ended December 31, 2024, 2023 and 2022, which includes the historical results of operations of each of our businesses (operating segments) from the date of acquisition in accordance with generally accepted accounting principles in the United States ("GAAP" or "US GAAP") and (ii) comparative historical components of the results of operations for each of our businesses on a stand-alone basis (“Results of Operations – Our Businesses”), for each of the years ended December 31, 2024, 2023 and 2022, where all years presented include relevant pro -forma adjustments for pre-acquisition periods and explanations where applicable. For the 2024 acquisition of The Honey Pot Co., the pro forma results of operations have been prepared as if we purchased this business on January 1, 2023. For the 2022 acquisition of PrimaLoft, the pro forma results of operations have been prepared as if we purchased this business on January 1, 2022. We believe this presentation enhances the discussion and provides a more meaningful comparison of operating results. The following operating results of our businesses are not necessarily indicative of the results to be expected for a full year, going forward.</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dollar amounts in the financial tables are presented in thousands. References in the financial tables to percentage changes that are not meaningful are denoted by "NM."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 — Compass Diversified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137795</wp:posOffset>
            </wp:positionV>
            <wp:extent cx="70548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10"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Year Ended December 31,</w:t>
      </w:r>
    </w:p>
    <w:p>
      <w:pPr>
        <w:spacing w:after="0" w:line="33"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55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129"/>
        </w:trPr>
        <w:tc>
          <w:tcPr>
            <w:tcW w:w="5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2,198,233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1,965,017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1,920,695</w:t>
            </w:r>
          </w:p>
        </w:tc>
      </w:tr>
      <w:tr>
        <w:trPr>
          <w:trHeight w:val="215"/>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revenues</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1,197,873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1,132,014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1,192,073</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1,000,360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833,003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728,622</w:t>
            </w:r>
          </w:p>
        </w:tc>
      </w:tr>
      <w:tr>
        <w:trPr>
          <w:trHeight w:val="215"/>
        </w:trPr>
        <w:tc>
          <w:tcPr>
            <w:tcW w:w="558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587,520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502,013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441,629</w:t>
            </w:r>
          </w:p>
        </w:tc>
      </w:tr>
      <w:tr>
        <w:trPr>
          <w:trHeight w:val="217"/>
        </w:trPr>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Management fees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67,945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62,104</w:t>
            </w:r>
          </w:p>
        </w:tc>
      </w:tr>
      <w:tr>
        <w:trPr>
          <w:trHeight w:val="215"/>
        </w:trPr>
        <w:tc>
          <w:tcPr>
            <w:tcW w:w="5580" w:type="dxa"/>
            <w:vAlign w:val="bottom"/>
          </w:tcPr>
          <w:p>
            <w:pPr>
              <w:ind w:left="220"/>
              <w:spacing w:after="0"/>
              <w:rPr>
                <w:sz w:val="20"/>
                <w:szCs w:val="20"/>
                <w:color w:val="auto"/>
              </w:rPr>
            </w:pPr>
            <w:r>
              <w:rPr>
                <w:rFonts w:ascii="Arial" w:cs="Arial" w:eastAsia="Arial" w:hAnsi="Arial"/>
                <w:sz w:val="16"/>
                <w:szCs w:val="16"/>
                <w:color w:val="auto"/>
              </w:rPr>
              <w:t>Amortization expense</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99,760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88,396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77,237</w:t>
            </w:r>
          </w:p>
        </w:tc>
      </w:tr>
      <w:tr>
        <w:trPr>
          <w:trHeight w:val="217"/>
        </w:trPr>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expense</w:t>
            </w: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89,400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58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230,131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85,249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147,652</w:t>
            </w:r>
          </w:p>
        </w:tc>
      </w:tr>
      <w:tr>
        <w:trPr>
          <w:trHeight w:val="217"/>
        </w:trPr>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(105,179)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(83,482)</w:t>
            </w:r>
          </w:p>
        </w:tc>
      </w:tr>
      <w:tr>
        <w:trPr>
          <w:trHeight w:val="215"/>
        </w:trPr>
        <w:tc>
          <w:tcPr>
            <w:tcW w:w="5580" w:type="dxa"/>
            <w:vAlign w:val="bottom"/>
          </w:tcPr>
          <w:p>
            <w:pPr>
              <w:ind w:left="200"/>
              <w:spacing w:after="0"/>
              <w:rPr>
                <w:sz w:val="20"/>
                <w:szCs w:val="20"/>
                <w:color w:val="auto"/>
              </w:rPr>
            </w:pPr>
            <w:r>
              <w:rPr>
                <w:rFonts w:ascii="Arial" w:cs="Arial" w:eastAsia="Arial" w:hAnsi="Arial"/>
                <w:sz w:val="16"/>
                <w:szCs w:val="16"/>
                <w:color w:val="auto"/>
              </w:rPr>
              <w:t>Amortization of debt issuance costs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(4,038)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(3,740)</w:t>
            </w:r>
          </w:p>
        </w:tc>
      </w:tr>
      <w:tr>
        <w:trPr>
          <w:trHeight w:val="217"/>
        </w:trPr>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sale of Crosman</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580" w:type="dxa"/>
            <w:vAlign w:val="bottom"/>
          </w:tcPr>
          <w:p>
            <w:pPr>
              <w:ind w:left="200"/>
              <w:spacing w:after="0"/>
              <w:rPr>
                <w:sz w:val="20"/>
                <w:szCs w:val="20"/>
                <w:color w:val="auto"/>
              </w:rPr>
            </w:pPr>
            <w:r>
              <w:rPr>
                <w:rFonts w:ascii="Arial" w:cs="Arial" w:eastAsia="Arial" w:hAnsi="Arial"/>
                <w:sz w:val="16"/>
                <w:szCs w:val="16"/>
                <w:color w:val="auto"/>
              </w:rPr>
              <w:t>Loss on debt extinguishment</w:t>
            </w:r>
          </w:p>
        </w:tc>
        <w:tc>
          <w:tcPr>
            <w:tcW w:w="4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7"/>
        </w:trPr>
        <w:tc>
          <w:tcPr>
            <w:tcW w:w="5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income (expense)</w:t>
            </w: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(2,315)</w:t>
            </w:r>
          </w:p>
        </w:tc>
      </w:tr>
      <w:tr>
        <w:trPr>
          <w:trHeight w:val="209"/>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57,581</w:t>
            </w:r>
          </w:p>
        </w:tc>
      </w:tr>
      <w:tr>
        <w:trPr>
          <w:trHeight w:val="209"/>
        </w:trPr>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49,012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41,367</w:t>
            </w:r>
          </w:p>
        </w:tc>
      </w:tr>
      <w:tr>
        <w:trPr>
          <w:trHeight w:val="210"/>
        </w:trPr>
        <w:tc>
          <w:tcPr>
            <w:tcW w:w="5580" w:type="dxa"/>
            <w:vAlign w:val="bottom"/>
          </w:tcPr>
          <w:p>
            <w:pPr>
              <w:spacing w:after="0"/>
              <w:rPr>
                <w:sz w:val="20"/>
                <w:szCs w:val="20"/>
                <w:color w:val="auto"/>
              </w:rPr>
            </w:pPr>
            <w:r>
              <w:rPr>
                <w:rFonts w:ascii="Arial" w:cs="Arial" w:eastAsia="Arial" w:hAnsi="Arial"/>
                <w:sz w:val="16"/>
                <w:szCs w:val="16"/>
                <w:b w:val="1"/>
                <w:bCs w:val="1"/>
                <w:color w:val="auto"/>
              </w:rPr>
              <w:t>Income (loss) from continuing operations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42,298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(44,828)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16,214</w:t>
            </w:r>
          </w:p>
        </w:tc>
      </w:tr>
      <w:tr>
        <w:trPr>
          <w:trHeight w:val="20"/>
        </w:trPr>
        <w:tc>
          <w:tcPr>
            <w:tcW w:w="5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2024 compared to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for the year ended December 31, 2024 increased by approximately $233.2 million or 11.9% compared to the corresponding period in 2023. During the year ended December 31, 2024, we saw notable increases in net revenue at BOA ($35.0 million increase), Lugano ($162.3 million increase), PrimaLoft ($7.2 million increase) and Arnold ($5.2 million increase), offset by decreases in net revenue at Velocity ($ 75.8 million decrease, primarily due to the sale of Crosman, Velocity's airgun division, in April 2024) and Sterno ($5.4 million decrease). The Honey Pot Co., which we acquired on January 31, 2024, contributed $104.6 million in net revenues in 2024 post-acquisition.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82" w:name="page83"/>
    <w:bookmarkEnd w:id="82"/>
    <w:p>
      <w:pPr>
        <w:jc w:val="both"/>
        <w:spacing w:after="0" w:line="287" w:lineRule="auto"/>
        <w:rPr>
          <w:sz w:val="20"/>
          <w:szCs w:val="20"/>
          <w:color w:val="auto"/>
        </w:rPr>
      </w:pPr>
      <w:r>
        <w:rPr>
          <w:rFonts w:ascii="Arial" w:cs="Arial" w:eastAsia="Arial" w:hAnsi="Arial"/>
          <w:sz w:val="18"/>
          <w:szCs w:val="18"/>
          <w:color w:val="auto"/>
        </w:rPr>
        <w:t>Refer to "Part 2, Item 7 Management’ Discussion and Analysis of Financial Condition and Results of Operations, "Results of Operations - Our Businesses" for a more detailed analysis of net revenue by operating segment.</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expect such earnings to be minimal. Our investment in our businesses is typically in the form of loans from the Company to such businesses, as well as equity interests in those businesses. Cash flows coming to the Trust and the Company are the result of interest payments on those loans, amortization of those loans and additional principal payments on those loans. However, on a consolidated basis these items will be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cost of revenues increased approximately $65.9 million during the year ended December 31, 2024, compared to the corresponding period in 2023, primarily as a result of the increase in net revenues at certain of our subsidiaries. We saw notable increases in cost of revenues at BOA ($8.8 million increase), Lugano ($49.7 million increase) and Arnold ($ 8.9 million increase) that correspond to the revenue increases noted above. We also saw a decrease in cost of revenues at Velocity ($57.0 million decrease) and Sterno ($12.1 million decrease) that corresponded to the decrease in revenue noted above. The Honey Pot Co. had cost of revenues of $53.3 million in 2024 post-acquisition. Gross profit as a percentage of net revenues was approximately 45.5% in the year ended December 31, 2024 compared to 42.4% in the year ended December 31, 2023. The increase in gross profit as a percentage of net revenues in the year ended December 31, 2024 as compared to the year ended December 31, 2023 is primarily attributable to the mix of products sold, with increases in net revenue at our higher margin businesses, particularly Lugano. Our branded consumer businesses had gross profit as a percentage of net revenues of 54.7% in the 2024 as compared to 51.0% in 2023, while our industrial businesses had gross profit as a percentage of net revenues of 27.1% in 2024 as compared to 27.7% in 2023. Refer to "Part 2, Item 7 Management’ Discussion and Analysis of Financial Condition and Results of Operations, "Results of Operations - Our Businesses" for a more detailed analysis of gross profit by business segment.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Consolidated selling, general and administrative expense increased approximately $85.5 million during the year ended December 31, 2024, compared to the corresponding period in 2023. We saw increases in selling, general and administrative expenses at several of our consumer brands due to increased investment in marketing and headcount, and increases in employee compensation Lugano ($29.6 million of the increase). The Honey Pot Co. had selling, general and administrative expense of $37.7 million in the 2024 post-acquisition period, of which $3.5 million was transaction costs and $2.6 million was integration service fees associated with the acquisition. Our Arnold operating segment also saw a notable increase in selling, general and administrative costs in 2024 ($10.3 million increase) as compared to the prior year due to non-recurring costs incurred associated with the move of two of their facilities in the United States. Refer to "Results of Operations - Business Segments" for a more detailed analysis of selling, general and administrative expense by subsidiary business segment. At the corporate level, general and administrative expense was $19.7 million in 2024 and $18.2 million in 2023, an increase of $1.5 million. The increase in corporate general and administrative expense in 2024 related to severance paid to our former chief financial officer, who departed during the third quarter, and professional fees associated with the recruitment of our new chief financial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2024 and 2023, we paid CGM a quarterly management fee equal to 0.5% (2.0% annually) of our consolidated adjusted net assets. We accrue for the management fee on a quarterly basis. For the year ended December 31, 2024, we incurred approximately $ 74.8 million in management fees as compared to $67.9 million in fees in the year ended December 31, 2023. The increase in management fees is primarily attributable to our acquisition of The Honey Pot Co. in 2024, and increases in net asset balances at certain of our businesses in the current year. CGM entered into a waiver of the MSA for a period through June 30, 2023 to receive a 1% annual management fee related to PrimaLoft, rather than the 2% called for under the MSA, which resulted in a lower management fee paid in the second half of 2022 and the first half of 2023 than would have normally been due. Additionally, CGM had entered into a waiver of the MSA at December 31, 2023 to exclude the cash balances held at the LLC from the calculation of the management fee.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Amortization expense for the year ended December 31, 2024 increased $11.4 million to $99.8 million as compared to the prior year, primarily as a result of the amortization expense associated with the intangibles that were recognized in conjunction with the purchase price allocation for The Honey Pot Co., which was acquired in January 2024, partially offset by the reduction in amortization expense at Velocity related to the intangible assets that were included in the sale of Crosman.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connection with our annual goodwill impairment test in 2024, we tested the goodwill at the Velocity reporting unit quantitatively. The impairment test resulted in Velocity recording impairment expense of $8.2 million in the year ended December 31, 2024.</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PrimaLoft performed an interim impairment test of their goodwill during the period ended December 31, 2023 as a result of operating results that were below forecast amounts that were used as the basis for the purchase price allocation at acquisition. The impairment test resulted in PrimaLoft recording impairment expense of $57.8 million. Velocity performed an interim impairment test of their goodwill during the third quarter of 2023 as a result of operating results that were below the forecast that we used in the quantitative annual impairment test of Velocity at March 31, 2023. The impairment test resulted in Velocity recording $31.6 million impairment expense in the year ended December 31,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interest expense totaling $106.7 million for the year ended December 31, 2024 compared to $105.2 million for the comparable period in 2023, an increase of $ 1.5 million. The increase in interest expense in the current period reflects higher average amounts outstanding on our revolving credit facility in the current year.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Sale of Crosman</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April 30, 2024, Velocity Outdoor sold Crosman Corporation ("Crosman"), its airgun product division. Velocity recorded a loss on the sale of Crosman $24.2 million in the year ended December 31,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income tax expense of $49.0 million during the year ended December 31, 2024 compared to income tax expense of $22.6 million in 2023, an increase of $26.4 million in 2024 as compared to 2023. Our effective tax rate in the year ended December 31, 2024 was 53.7%, compared to an effective income tax rate of (102.0)% during the same period in 2023. Our tax rate is affected by recurring items, such as tax rates in foreign jurisdictions and the relative amounts of income we earn in those jurisdictions. It is also affected by discrete items that may occur in any given year but are not consistent from year to year. In addition to state income taxes, the items with the most significant impact on the difference between our statutory U.S. federal income tax rate of 21% and our effective income tax rate in 2024 was the limitations on the net operating loss carryforwards and utilization of tax credits at our subsidiaries, the impairment expense recognized at Velocity in the first quarter of 2024 and the third quarter of 2023, and the loss on the sale of Crosman in the second quarter of 2024.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2023 compared to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revenues for the year ended December 31, 2023 increased by approximately $44.3 million or 2.3% compared to the corresponding period in 2022. Our PrimaLoft business, which we acquired in July 2022, contributed $48 million in incremental net revenue in 2023. During the year ended December 31, 2023 compared to 2022, we also saw significant increases in net sales at 5.11 ($ 46.9 million increase), Lugano ($106.8 million increase) and Arnold ($12.9 million increase), partially offset by a decrease in net revenue at BOA ($52.9 million decrease), Velocity Outdoor ($60.0 million decrease), Altor Solutions ($23.3 million decrease), and Sterno ($28.3 million decrease). On a consolidated level, growth in net revenues at our 5.11 and Lugano businesses offset decreases in net revenues at several of our businesses as compared to the prior year. Several of our consumer brand businesses, particularly BOA, PrimaLoft and Velocity, had a decrease in net revenues resulting from higher than anticipated end market inventory levels due to supply chain normalization and a corresponding inventory ordering surge experienced in 2022. Our industrial businesses faced inflationary pressures in the current year, with both Altor and Sterno experiencing decreases in sales as a result. Refer to "Results of Operations - Our Businesses" for a more detailed analysis of net revenue by business segment.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expect such earnings to be minimal. Our investment in our businesses is typically in the form of loans from the Company to such businesses, as well as equity interests in those businesses. Cash flows coming to the Trust and the Company are the result of interest payments on those loans, amortization of those loans and additional principal payments on those loans. However, on a consolidated basis these items will be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 consolidated basis, cost of revenues decreased approximately $ 60.1 million during the year ended December 31, 2023, compared to the corresponding period in 2022, primarily as a result of the decrease in net revenues at certain of our subsidiaries. Our PrimaLoft business contributed $18.0 million in incremental cost of revenues for 2023 based on the timing of the acquisition in the prior year. We also saw notable increases in cost of revenues at 5.11 ($26.6 million increase), Lugano ($31.9 million increase) and Arnold ($7.4 million increase) that correspond to the revenue increases noted above. We also saw a decrease in cost of revenues at BOA ($19.1 million decrease), Altor ($38.9 million decrease), Velocity ($42.5 million decrease) and Sterno ($39.4 million decrease) that corresponded to the decrease in revenue noted above. Gross profit as a percentage of net revenues was approximately 42.4% in the year ended December 31, 2023 compared to 37.9% in the year ended December 31, 2022. The increase in gross profit as a percentage of net sales in the year ended December 31, 2023 as compared to the year ended December 31, 2022 is primarily attributable to the mix of products sold, with increases in net revenue at our higher margin businesses, particularly Lugano. Refer to "Results of Operations - Our Businesses" for a more detailed analysis of gross profit by business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selling, general and administrative expense increased approximately $60.4 million during the year ended December 31, 2023, compared to the corresponding period in 2022. Approximately $11 million of the increase was due to our PrimaLoft acquisition in July 2022. We also saw increases in selling, general and administrative expenses at several of our consumer brands due to increased investment in marketing and headcount, particularly 5.11 ($17.2 million of the increase) and Lugano ($27.6 million of the increase). Refer to "Results of Operations - Business Segments" for a more detailed analysis of selling, general and administrative expense by subsidiary business segment. At the corporate level, general and administrative expense was $18.2 million in 2023 and $16.3 million in 2022, an increase of $1.9 million due to increases in professional fees resulting from increasing regulatory requirements, the timing of investor relation events, and higher staffing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Management Services Agreement, we pay CGM a quarterly management fee equal to 0.5% (2.0% annually) of our consolidated adjusted net assets. We accrue for the management fee on a quarterly basis. For the year ended December 31, 2023, we incurred approximately $ 67.9 million in management fees as compared to $62.1 million in fees in the year ended December 31, 2022. The increase in management fees is primarily attributable to our acquisition of PrimaLoft in July 2022. CGM entered into a waiver of the MSA for a period through June 30, 2023 to receive a 1% annual management fee related to PrimaLoft, rather than the 2% called for under the MSA, which resulted in a lower management fee paid in the second half of 2022 and the first half of 2023 than would have normally been due. Additionally, CGM had entered into a waiver of the MSA at December 31, 2023, March 31, 2022 and June 30, 2022 to exclude the cash balances held at the LLC from the calculation of the management fee.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expense for the year ended December 31, 2023 increased $11.2 million to $88.4 million as compared to the prior year, primarily as a result of the amortization expense associated with the intangibles that were recognized in conjunction with the purchase price allocation for PrimaLoft, which was acquired in July 2022, and an add-on acquisition at Velocity in July 2022.</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PrimaLoft performed an interim impairment test of their goodwill during the period ended December 31, 2023 as a result of operating results that were below forecast amounts that were used as the basis for the purchase price allocation at acquisition. The impairment test resulted in PrimaLoft recording impairment expense of $57.8 million. Velocity performed an interim impairment test of their goodwill during the third quarter of 2023 as a result of operating results that were below the forecast that we used in the quantitative annual impairment test of Velocity at March 31, 2023. The impairment test resulted in Velocity recording $31.6 million impairment expense in the year ended December 31,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interest expense totaling $105.2 million for the year ended December 31, 2023 compared to $83.5 million for the comparable period in 2022, an increase of $21.7 million. The increase in interest expense in the current period reflects the higher interest rate environment in the current year versus the comparable period in the prior year, and higher average amounts outstanding on our revolving credit facility in the current year. While the actual timing and extent of any future increases or decreases in interest rates remains unknown, higher long-term interest rates are expected to affect interest expense on the debt outstanding under our 2022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income tax expense of $22.6 million during the year ended December 31, 2023 compared to income tax expense of $41.4 million in 2022, a decrease of $18.7 million in 2023 as compared to 2022. Our effective tax rate in the year ended December 31, 2023 was (102.0)%, compared to an effective income tax rate of 71.8% during the same period in 2022. Our tax rate is affected by recurring items, such as tax rates in foreign jurisdictions and the relative amounts of income we earn in those jurisdictions. It is also affected by discrete items that may occur in any given year but are not consistent from year to year. In addition to state income taxes, the items with the most significant impact on the difference between our statutory U.S. federal income tax rate of 21% percent and our effective income tax rate in 2023 was the goodwill impairment expense recorded at PrimaLoft in 2023, which is a permanent difference for tax purposes and therefore did not result in an income tax benefit, and the distribution received by the Trust as a result of the BOA recapitalization.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Our Businesses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categorize the businesses we own into two separate groups of businesses (i) branded consumer businesses, and (ii) industrial businesses. Branded consumer businesses are characterized as those businesses that we believe capitalize on a valuable brand name in their respective market sector. We believe that our branded consumer businesses are leaders in their particular category. Industrial businesses are characterized as those businesses that focus on manufacturing and selling particular products or services within a specific market sector. We believe that our industrial businesses are leaders in their specific market sector. We previously announced our desire to acquire businesses in the healthcare sector, with a focus on outsourced pharma, medical manufacturing services and provider services. We have not yet acquired a business in the healthcare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Branded Consumer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5.11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footwear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8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r>
      <w:tr>
        <w:trPr>
          <w:trHeight w:val="210"/>
        </w:trPr>
        <w:tc>
          <w:tcPr>
            <w:tcW w:w="38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8"/>
                <w:szCs w:val="18"/>
                <w:color w:val="auto"/>
              </w:rPr>
            </w:pP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532,161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533,089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486,213</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800" w:type="dxa"/>
            <w:vAlign w:val="bottom"/>
          </w:tcPr>
          <w:p>
            <w:pPr>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273,220</w:t>
            </w:r>
          </w:p>
        </w:tc>
        <w:tc>
          <w:tcPr>
            <w:tcW w:w="800" w:type="dxa"/>
            <w:vAlign w:val="bottom"/>
          </w:tcPr>
          <w:p>
            <w:pPr>
              <w:jc w:val="right"/>
              <w:spacing w:after="0"/>
              <w:rPr>
                <w:sz w:val="20"/>
                <w:szCs w:val="20"/>
                <w:color w:val="auto"/>
              </w:rPr>
            </w:pPr>
            <w:r>
              <w:rPr>
                <w:rFonts w:ascii="Arial" w:cs="Arial" w:eastAsia="Arial" w:hAnsi="Arial"/>
                <w:sz w:val="16"/>
                <w:szCs w:val="16"/>
                <w:color w:val="auto"/>
              </w:rPr>
              <w:t>51.3 %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39"/>
              <w:spacing w:after="0"/>
              <w:rPr>
                <w:sz w:val="20"/>
                <w:szCs w:val="20"/>
                <w:color w:val="auto"/>
              </w:rPr>
            </w:pPr>
            <w:r>
              <w:rPr>
                <w:rFonts w:ascii="Arial" w:cs="Arial" w:eastAsia="Arial" w:hAnsi="Arial"/>
                <w:sz w:val="16"/>
                <w:szCs w:val="16"/>
                <w:color w:val="auto"/>
              </w:rPr>
              <w:t>277,301</w:t>
            </w:r>
          </w:p>
        </w:tc>
        <w:tc>
          <w:tcPr>
            <w:tcW w:w="800" w:type="dxa"/>
            <w:vAlign w:val="bottom"/>
          </w:tcPr>
          <w:p>
            <w:pPr>
              <w:jc w:val="right"/>
              <w:spacing w:after="0"/>
              <w:rPr>
                <w:sz w:val="20"/>
                <w:szCs w:val="20"/>
                <w:color w:val="auto"/>
              </w:rPr>
            </w:pPr>
            <w:r>
              <w:rPr>
                <w:rFonts w:ascii="Arial" w:cs="Arial" w:eastAsia="Arial" w:hAnsi="Arial"/>
                <w:sz w:val="16"/>
                <w:szCs w:val="16"/>
                <w:color w:val="auto"/>
              </w:rPr>
              <w:t>52.0 %</w:t>
            </w:r>
          </w:p>
        </w:tc>
        <w:tc>
          <w:tcPr>
            <w:tcW w:w="2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257,007</w:t>
            </w:r>
          </w:p>
        </w:tc>
        <w:tc>
          <w:tcPr>
            <w:tcW w:w="800" w:type="dxa"/>
            <w:vAlign w:val="bottom"/>
          </w:tcPr>
          <w:p>
            <w:pPr>
              <w:jc w:val="right"/>
              <w:spacing w:after="0"/>
              <w:rPr>
                <w:sz w:val="20"/>
                <w:szCs w:val="20"/>
                <w:color w:val="auto"/>
              </w:rPr>
            </w:pPr>
            <w:r>
              <w:rPr>
                <w:rFonts w:ascii="Arial" w:cs="Arial" w:eastAsia="Arial" w:hAnsi="Arial"/>
                <w:sz w:val="16"/>
                <w:szCs w:val="16"/>
                <w:color w:val="auto"/>
              </w:rPr>
              <w:t>52.9 %</w:t>
            </w:r>
          </w:p>
        </w:tc>
      </w:tr>
      <w:tr>
        <w:trPr>
          <w:trHeight w:val="217"/>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224,689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220,870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41.4 %</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203,709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41.9 %</w:t>
            </w:r>
          </w:p>
        </w:tc>
      </w:tr>
      <w:tr>
        <w:trPr>
          <w:trHeight w:val="215"/>
        </w:trPr>
        <w:tc>
          <w:tcPr>
            <w:tcW w:w="380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38,846</w:t>
            </w:r>
          </w:p>
        </w:tc>
        <w:tc>
          <w:tcPr>
            <w:tcW w:w="800" w:type="dxa"/>
            <w:vAlign w:val="bottom"/>
          </w:tcPr>
          <w:p>
            <w:pPr>
              <w:jc w:val="right"/>
              <w:spacing w:after="0"/>
              <w:rPr>
                <w:sz w:val="20"/>
                <w:szCs w:val="20"/>
                <w:color w:val="auto"/>
              </w:rPr>
            </w:pPr>
            <w:r>
              <w:rPr>
                <w:rFonts w:ascii="Arial" w:cs="Arial" w:eastAsia="Arial" w:hAnsi="Arial"/>
                <w:sz w:val="16"/>
                <w:szCs w:val="16"/>
                <w:color w:val="auto"/>
              </w:rPr>
              <w:t>7.3 %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39"/>
              <w:spacing w:after="0"/>
              <w:rPr>
                <w:sz w:val="20"/>
                <w:szCs w:val="20"/>
                <w:color w:val="auto"/>
              </w:rPr>
            </w:pPr>
            <w:r>
              <w:rPr>
                <w:rFonts w:ascii="Arial" w:cs="Arial" w:eastAsia="Arial" w:hAnsi="Arial"/>
                <w:sz w:val="16"/>
                <w:szCs w:val="16"/>
                <w:color w:val="auto"/>
              </w:rPr>
              <w:t>46,699</w:t>
            </w:r>
          </w:p>
        </w:tc>
        <w:tc>
          <w:tcPr>
            <w:tcW w:w="800" w:type="dxa"/>
            <w:vAlign w:val="bottom"/>
          </w:tcPr>
          <w:p>
            <w:pPr>
              <w:jc w:val="right"/>
              <w:spacing w:after="0"/>
              <w:rPr>
                <w:sz w:val="20"/>
                <w:szCs w:val="20"/>
                <w:color w:val="auto"/>
              </w:rPr>
            </w:pPr>
            <w:r>
              <w:rPr>
                <w:rFonts w:ascii="Arial" w:cs="Arial" w:eastAsia="Arial" w:hAnsi="Arial"/>
                <w:sz w:val="16"/>
                <w:szCs w:val="16"/>
                <w:color w:val="auto"/>
              </w:rPr>
              <w:t>8.8 %</w:t>
            </w:r>
          </w:p>
        </w:tc>
        <w:tc>
          <w:tcPr>
            <w:tcW w:w="2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43,531</w:t>
            </w:r>
          </w:p>
        </w:tc>
        <w:tc>
          <w:tcPr>
            <w:tcW w:w="800" w:type="dxa"/>
            <w:vAlign w:val="bottom"/>
          </w:tcPr>
          <w:p>
            <w:pPr>
              <w:jc w:val="right"/>
              <w:spacing w:after="0"/>
              <w:rPr>
                <w:sz w:val="20"/>
                <w:szCs w:val="20"/>
                <w:color w:val="auto"/>
              </w:rPr>
            </w:pPr>
            <w:r>
              <w:rPr>
                <w:rFonts w:ascii="Arial" w:cs="Arial" w:eastAsia="Arial" w:hAnsi="Arial"/>
                <w:sz w:val="16"/>
                <w:szCs w:val="16"/>
                <w:color w:val="auto"/>
              </w:rPr>
              <w:t>9.0 %</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2024 compared to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year ended December 31, 2024 were $532.2 million, a decrease of $0.9 million, or 0.2%, compared to the same period in 2023. This decrease was driven by a $10.4 million decrease in direct-to-consumer sales due to less promotional sales and lower off-price selling, as well as a $0.5 million decrease in domestic wholesale sales due to inventory availability. These increases were offset by a $9.0 million increase in international sales from strong demand and a $1.5 million increase in direct-to-agency sales due to the fulfillment of large contracts.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as a percentage of net sales was 51.3% in the year ended December 31, 2024 as compared to 52.0% in the year ended December 31, 2023. Gross profit as a percentage of net sales was unfavorably impacted by a non-recurring increase in specific inventory reserves for finished goods that include PFAS, which was offset slightly by favorability due to less promotional sales and lower off price selling in the current year versus the prior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expenses for the year ended December 31, 2024 increased to $224.7 million or 42.2% of net sales compared to $220.9 million or 41.4% of net sales for the year ended December 31, 2023. The increase in selling, general and administrative expense was due to an increase in payroll costs associated with retail stores, as well as an increase in sales, marketing, travel, bad debt, stock compensation expense and other expenses. These increases were partially offset by decreases in bonus related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Segment operating income for the year ended December 31, 2024 was $38.8 million, a decrease of $7.9 million when compared to the same period in 2023, based on the factors described above.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2023 compared to the Year ended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year ended December 31, 2023 were $ 533.1 million, an increase of $46.9 million, or 9.6%, compared to the same period in 2022. This increase is primarily driven by a $29.8 million increase in direct-to-consumer sales largely due to strong demand in digital sales, in addition to sales from new retail store openings</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87" w:name="page88"/>
    <w:bookmarkEnd w:id="87"/>
    <w:p>
      <w:pPr>
        <w:jc w:val="both"/>
        <w:spacing w:after="0" w:line="268" w:lineRule="auto"/>
        <w:rPr>
          <w:sz w:val="20"/>
          <w:szCs w:val="20"/>
          <w:color w:val="auto"/>
        </w:rPr>
      </w:pPr>
      <w:r>
        <w:rPr>
          <w:rFonts w:ascii="Arial" w:cs="Arial" w:eastAsia="Arial" w:hAnsi="Arial"/>
          <w:sz w:val="18"/>
          <w:szCs w:val="18"/>
          <w:color w:val="auto"/>
        </w:rPr>
        <w:t>since December 2022 (bringing the total store count to 123 as of December 31, 2023). Additionally, international sales increased $8.0 million while domestic wholesale sales increased $7.9 million both resulting from strong demand and inventory availability improvement as compared to the prior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as a percentage of net sales was 52.0% in the year ended December 31, 2023 as compared to 52.9% in the year ended December 31, 2022. Gross profit as a percentage of net sales in 2023 was unfavorably impacted by increased product costs, promotional activity to sell through seasonal inventory and an increase in inventory reserves, which was offset favorably by price increases, as well as customer mix and product mix.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year ended December 31, 2023 increased to $220.9 million or 41.4% of net sales compared to $203.7 million or 41.9% of net sales for the year ended December 31, 2022. The increase in selling, general and administrative expense for the year ended December 31, 2023 was largely driven by the costs associated with additional retail stores, increased headcount from December 31, 2022, as well as increased bonus related expenses. These increases were offset by decreases in expenses related to the usage of temporary labor, bad debt expense and other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Segment operating income for the year ended December 31, 2023 was $46.7 million, an increase of $3.2 million when compared to the same period in 2022, based on the factors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BOA, creator of the revolutionary,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offices in Austria, China, South Korea, and Japan.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r>
      <w:tr>
        <w:trPr>
          <w:trHeight w:val="210"/>
        </w:trPr>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820" w:type="dxa"/>
            <w:vAlign w:val="bottom"/>
            <w:tcBorders>
              <w:bottom w:val="single" w:sz="8" w:color="auto"/>
            </w:tcBorders>
          </w:tcPr>
          <w:p>
            <w:pPr>
              <w:spacing w:after="0"/>
              <w:rPr>
                <w:sz w:val="18"/>
                <w:szCs w:val="18"/>
                <w:color w:val="auto"/>
              </w:rPr>
            </w:pPr>
          </w:p>
        </w:tc>
      </w:tr>
      <w:tr>
        <w:trPr>
          <w:trHeight w:val="21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190,811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155,825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208,688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9"/>
              <w:spacing w:after="0"/>
              <w:rPr>
                <w:sz w:val="20"/>
                <w:szCs w:val="20"/>
                <w:color w:val="auto"/>
              </w:rPr>
            </w:pPr>
            <w:r>
              <w:rPr>
                <w:rFonts w:ascii="Arial" w:cs="Arial" w:eastAsia="Arial" w:hAnsi="Arial"/>
                <w:sz w:val="16"/>
                <w:szCs w:val="16"/>
                <w:color w:val="auto"/>
              </w:rPr>
              <w:t>119,218</w:t>
            </w:r>
          </w:p>
        </w:tc>
        <w:tc>
          <w:tcPr>
            <w:tcW w:w="820" w:type="dxa"/>
            <w:vAlign w:val="bottom"/>
          </w:tcPr>
          <w:p>
            <w:pPr>
              <w:jc w:val="right"/>
              <w:spacing w:after="0"/>
              <w:rPr>
                <w:sz w:val="20"/>
                <w:szCs w:val="20"/>
                <w:color w:val="auto"/>
              </w:rPr>
            </w:pPr>
            <w:r>
              <w:rPr>
                <w:rFonts w:ascii="Arial" w:cs="Arial" w:eastAsia="Arial" w:hAnsi="Arial"/>
                <w:sz w:val="16"/>
                <w:szCs w:val="16"/>
                <w:color w:val="auto"/>
              </w:rPr>
              <w:t>62.5 %</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93,038</w:t>
            </w:r>
          </w:p>
        </w:tc>
        <w:tc>
          <w:tcPr>
            <w:tcW w:w="780" w:type="dxa"/>
            <w:vAlign w:val="bottom"/>
          </w:tcPr>
          <w:p>
            <w:pPr>
              <w:jc w:val="right"/>
              <w:spacing w:after="0"/>
              <w:rPr>
                <w:sz w:val="20"/>
                <w:szCs w:val="20"/>
                <w:color w:val="auto"/>
              </w:rPr>
            </w:pPr>
            <w:r>
              <w:rPr>
                <w:rFonts w:ascii="Arial" w:cs="Arial" w:eastAsia="Arial" w:hAnsi="Arial"/>
                <w:sz w:val="16"/>
                <w:szCs w:val="16"/>
                <w:color w:val="auto"/>
              </w:rPr>
              <w:t>59.7 %</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126,768</w:t>
            </w:r>
          </w:p>
        </w:tc>
        <w:tc>
          <w:tcPr>
            <w:tcW w:w="820" w:type="dxa"/>
            <w:vAlign w:val="bottom"/>
          </w:tcPr>
          <w:p>
            <w:pPr>
              <w:jc w:val="right"/>
              <w:spacing w:after="0"/>
              <w:rPr>
                <w:sz w:val="20"/>
                <w:szCs w:val="20"/>
                <w:color w:val="auto"/>
              </w:rPr>
            </w:pPr>
            <w:r>
              <w:rPr>
                <w:rFonts w:ascii="Arial" w:cs="Arial" w:eastAsia="Arial" w:hAnsi="Arial"/>
                <w:sz w:val="16"/>
                <w:szCs w:val="16"/>
                <w:color w:val="auto"/>
              </w:rPr>
              <w:t>60.7 %</w:t>
            </w:r>
          </w:p>
        </w:tc>
      </w:tr>
      <w:tr>
        <w:trPr>
          <w:trHeight w:val="217"/>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55,273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49,023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31.5 %</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52,268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215"/>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Segment 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9"/>
              <w:spacing w:after="0"/>
              <w:rPr>
                <w:sz w:val="20"/>
                <w:szCs w:val="20"/>
                <w:color w:val="auto"/>
              </w:rPr>
            </w:pPr>
            <w:r>
              <w:rPr>
                <w:rFonts w:ascii="Arial" w:cs="Arial" w:eastAsia="Arial" w:hAnsi="Arial"/>
                <w:sz w:val="16"/>
                <w:szCs w:val="16"/>
                <w:color w:val="auto"/>
              </w:rPr>
              <w:t>47,166</w:t>
            </w:r>
          </w:p>
        </w:tc>
        <w:tc>
          <w:tcPr>
            <w:tcW w:w="820" w:type="dxa"/>
            <w:vAlign w:val="bottom"/>
          </w:tcPr>
          <w:p>
            <w:pPr>
              <w:jc w:val="right"/>
              <w:spacing w:after="0"/>
              <w:rPr>
                <w:sz w:val="20"/>
                <w:szCs w:val="20"/>
                <w:color w:val="auto"/>
              </w:rPr>
            </w:pPr>
            <w:r>
              <w:rPr>
                <w:rFonts w:ascii="Arial" w:cs="Arial" w:eastAsia="Arial" w:hAnsi="Arial"/>
                <w:sz w:val="16"/>
                <w:szCs w:val="16"/>
                <w:color w:val="auto"/>
              </w:rPr>
              <w:t>24.7 %</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27,291</w:t>
            </w:r>
          </w:p>
        </w:tc>
        <w:tc>
          <w:tcPr>
            <w:tcW w:w="780" w:type="dxa"/>
            <w:vAlign w:val="bottom"/>
          </w:tcPr>
          <w:p>
            <w:pPr>
              <w:jc w:val="right"/>
              <w:spacing w:after="0"/>
              <w:rPr>
                <w:sz w:val="20"/>
                <w:szCs w:val="20"/>
                <w:color w:val="auto"/>
              </w:rPr>
            </w:pPr>
            <w:r>
              <w:rPr>
                <w:rFonts w:ascii="Arial" w:cs="Arial" w:eastAsia="Arial" w:hAnsi="Arial"/>
                <w:sz w:val="16"/>
                <w:szCs w:val="16"/>
                <w:color w:val="auto"/>
              </w:rPr>
              <w:t>17.5 %</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9"/>
              <w:spacing w:after="0"/>
              <w:rPr>
                <w:sz w:val="20"/>
                <w:szCs w:val="20"/>
                <w:color w:val="auto"/>
              </w:rPr>
            </w:pPr>
            <w:r>
              <w:rPr>
                <w:rFonts w:ascii="Arial" w:cs="Arial" w:eastAsia="Arial" w:hAnsi="Arial"/>
                <w:sz w:val="16"/>
                <w:szCs w:val="16"/>
                <w:color w:val="auto"/>
              </w:rPr>
              <w:t>57,810</w:t>
            </w:r>
          </w:p>
        </w:tc>
        <w:tc>
          <w:tcPr>
            <w:tcW w:w="820" w:type="dxa"/>
            <w:vAlign w:val="bottom"/>
          </w:tcPr>
          <w:p>
            <w:pPr>
              <w:jc w:val="right"/>
              <w:spacing w:after="0"/>
              <w:rPr>
                <w:sz w:val="20"/>
                <w:szCs w:val="20"/>
                <w:color w:val="auto"/>
              </w:rPr>
            </w:pPr>
            <w:r>
              <w:rPr>
                <w:rFonts w:ascii="Arial" w:cs="Arial" w:eastAsia="Arial" w:hAnsi="Arial"/>
                <w:sz w:val="16"/>
                <w:szCs w:val="16"/>
                <w:color w:val="auto"/>
              </w:rPr>
              <w:t>27.7 %</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2024 compared to the Year ended December 31,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year ended December 31, 2024 were $190.8 million, an increase of $35.0 million or 22.5% when compared to net sales of $155.8 million for the year ended December 31, 2023. The increase was reflected across key industries including Cycling, Athletic, Workwear, Outdoor and Snow Sports. The increase in sales was a result of the improvement of end market inventory levels, coupled with market share gains in many of our key industries.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Gross profit was $119.2 million for the year ended December 31, 2024 as compared to $93.0 million for the year ended December 31, 2023. Gross profit as a percentage of net sales was 62.5% for the year ended December 31,</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88" w:name="page89"/>
    <w:bookmarkEnd w:id="88"/>
    <w:p>
      <w:pPr>
        <w:jc w:val="both"/>
        <w:spacing w:after="0" w:line="287" w:lineRule="auto"/>
        <w:rPr>
          <w:sz w:val="20"/>
          <w:szCs w:val="20"/>
          <w:color w:val="auto"/>
        </w:rPr>
      </w:pPr>
      <w:r>
        <w:rPr>
          <w:rFonts w:ascii="Arial" w:cs="Arial" w:eastAsia="Arial" w:hAnsi="Arial"/>
          <w:sz w:val="18"/>
          <w:szCs w:val="18"/>
          <w:color w:val="auto"/>
        </w:rPr>
        <w:t>2024 compared to 59.7% for the same period in 2023. The increase in gross profit as a percentage of net sales was driven by manufacturing overhead leverage as well as product mix.</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 for the year ended December 31, 2024 was $55.3 million, or 29.0% of net sales, compared to $49.0 million, or 31.5% of net sales for the year ended December 31, 2023. The increase in selling, general and administrative expense of $6.3 million in the current year was primarily due to increased employee costs related to BOA’s bonus plan as well as strategic investments in talent across the organization.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Segment operating income was $47.2 million for the year ended December 31, 2024 as compared to $27.3 million in segment operating income in the year ended December 31, 2023, an increase of $19.9 million based on the factors noted above.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Year ended December 31, 2023 compared to the Year ended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year ended December 31, 2023 were $155.8 million, a decrease of $52.9 million or 25.3% when compared to net sales of $208.7 million for the year ended December 31, 2022. The decrease was reflected across key industries including Snow Sports, Cycling, Outdoor, Athletic, Workwear and Performance Bracing. The main factor of the decrease in sales was higher than anticipated end market inventory levels due to supply chain normalization and corresponding inventory ordering surge experienced in many of our industries in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as a percentage of net sales was 59.7% for the year ended December 31, 2023 compared to 60.7% for the same period in 2022. The decrease in gross profit as a percentage of net sales during 2023 was driven by fixed manufacturing overhead expenses and an increase in depreciation expense related to tooling.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expense for the year ended December 31, 2023 was $ 49.0 million, or 31.5% of net sales, compared to $52.3 million, or 25.0% of net sales for the year ended December 31, 2022. The decrease in selling, general and administrative expense of $3.2 million in 2023 was primarily due to decreased employee costs related to BOA’s bonus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Segment operating income was $27.3 million for the year ended December 31, 2023 as compared to $57.8 million in segment operating income in the year ended December 31, 2022, a decrease of $30.5 million based on the factors noted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Lugano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Lugano is a leading designer, manufacturer and marketer of high-end, one-of-a-kind jewelry sought after by some of the world’s most discerning clientele. Lugano conducts sales via its own retail salons as well as pop-up showrooms at Lugano-hosted or sponsored events in partnership with influential organizations in the equestrian, art and philanthropic communities. Lugano is headquartered in Newport Beach, California.</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r>
      <w:tr>
        <w:trPr>
          <w:trHeight w:val="20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470,666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308,321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201,507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286,194</w:t>
            </w:r>
          </w:p>
        </w:tc>
        <w:tc>
          <w:tcPr>
            <w:tcW w:w="780" w:type="dxa"/>
            <w:vAlign w:val="bottom"/>
          </w:tcPr>
          <w:p>
            <w:pPr>
              <w:jc w:val="right"/>
              <w:spacing w:after="0"/>
              <w:rPr>
                <w:sz w:val="20"/>
                <w:szCs w:val="20"/>
                <w:color w:val="auto"/>
              </w:rPr>
            </w:pPr>
            <w:r>
              <w:rPr>
                <w:rFonts w:ascii="Arial" w:cs="Arial" w:eastAsia="Arial" w:hAnsi="Arial"/>
                <w:sz w:val="16"/>
                <w:szCs w:val="16"/>
                <w:color w:val="auto"/>
              </w:rPr>
              <w:t>60.8 %</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39"/>
              <w:spacing w:after="0"/>
              <w:rPr>
                <w:sz w:val="20"/>
                <w:szCs w:val="20"/>
                <w:color w:val="auto"/>
              </w:rPr>
            </w:pPr>
            <w:r>
              <w:rPr>
                <w:rFonts w:ascii="Arial" w:cs="Arial" w:eastAsia="Arial" w:hAnsi="Arial"/>
                <w:sz w:val="16"/>
                <w:szCs w:val="16"/>
                <w:color w:val="auto"/>
              </w:rPr>
              <w:t>173,546</w:t>
            </w:r>
          </w:p>
        </w:tc>
        <w:tc>
          <w:tcPr>
            <w:tcW w:w="780" w:type="dxa"/>
            <w:vAlign w:val="bottom"/>
          </w:tcPr>
          <w:p>
            <w:pPr>
              <w:jc w:val="right"/>
              <w:spacing w:after="0"/>
              <w:rPr>
                <w:sz w:val="20"/>
                <w:szCs w:val="20"/>
                <w:color w:val="auto"/>
              </w:rPr>
            </w:pPr>
            <w:r>
              <w:rPr>
                <w:rFonts w:ascii="Arial" w:cs="Arial" w:eastAsia="Arial" w:hAnsi="Arial"/>
                <w:sz w:val="16"/>
                <w:szCs w:val="16"/>
                <w:color w:val="auto"/>
              </w:rPr>
              <w:t>56.3 %</w:t>
            </w:r>
          </w:p>
        </w:tc>
        <w:tc>
          <w:tcPr>
            <w:tcW w:w="2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59"/>
              <w:spacing w:after="0"/>
              <w:rPr>
                <w:sz w:val="20"/>
                <w:szCs w:val="20"/>
                <w:color w:val="auto"/>
              </w:rPr>
            </w:pPr>
            <w:r>
              <w:rPr>
                <w:rFonts w:ascii="Arial" w:cs="Arial" w:eastAsia="Arial" w:hAnsi="Arial"/>
                <w:sz w:val="16"/>
                <w:szCs w:val="16"/>
                <w:color w:val="auto"/>
              </w:rPr>
              <w:t>98,596</w:t>
            </w:r>
          </w:p>
        </w:tc>
        <w:tc>
          <w:tcPr>
            <w:tcW w:w="760" w:type="dxa"/>
            <w:vAlign w:val="bottom"/>
          </w:tcPr>
          <w:p>
            <w:pPr>
              <w:jc w:val="right"/>
              <w:spacing w:after="0"/>
              <w:rPr>
                <w:sz w:val="20"/>
                <w:szCs w:val="20"/>
                <w:color w:val="auto"/>
              </w:rPr>
            </w:pPr>
            <w:r>
              <w:rPr>
                <w:rFonts w:ascii="Arial" w:cs="Arial" w:eastAsia="Arial" w:hAnsi="Arial"/>
                <w:sz w:val="16"/>
                <w:szCs w:val="16"/>
                <w:color w:val="auto"/>
              </w:rPr>
              <w:t>48.9 %</w:t>
            </w:r>
          </w:p>
        </w:tc>
      </w:tr>
      <w:tr>
        <w:trPr>
          <w:trHeight w:val="21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97,167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67,531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39,960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Segment 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183,158</w:t>
            </w:r>
          </w:p>
        </w:tc>
        <w:tc>
          <w:tcPr>
            <w:tcW w:w="780" w:type="dxa"/>
            <w:vAlign w:val="bottom"/>
          </w:tcPr>
          <w:p>
            <w:pPr>
              <w:jc w:val="right"/>
              <w:spacing w:after="0"/>
              <w:rPr>
                <w:sz w:val="20"/>
                <w:szCs w:val="20"/>
                <w:color w:val="auto"/>
              </w:rPr>
            </w:pPr>
            <w:r>
              <w:rPr>
                <w:rFonts w:ascii="Arial" w:cs="Arial" w:eastAsia="Arial" w:hAnsi="Arial"/>
                <w:sz w:val="16"/>
                <w:szCs w:val="16"/>
                <w:color w:val="auto"/>
              </w:rPr>
              <w:t>38.9 %</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39"/>
              <w:spacing w:after="0"/>
              <w:rPr>
                <w:sz w:val="20"/>
                <w:szCs w:val="20"/>
                <w:color w:val="auto"/>
              </w:rPr>
            </w:pPr>
            <w:r>
              <w:rPr>
                <w:rFonts w:ascii="Arial" w:cs="Arial" w:eastAsia="Arial" w:hAnsi="Arial"/>
                <w:sz w:val="16"/>
                <w:szCs w:val="16"/>
                <w:color w:val="auto"/>
              </w:rPr>
              <w:t>100,306</w:t>
            </w:r>
          </w:p>
        </w:tc>
        <w:tc>
          <w:tcPr>
            <w:tcW w:w="780" w:type="dxa"/>
            <w:vAlign w:val="bottom"/>
          </w:tcPr>
          <w:p>
            <w:pPr>
              <w:jc w:val="right"/>
              <w:spacing w:after="0"/>
              <w:rPr>
                <w:sz w:val="20"/>
                <w:szCs w:val="20"/>
                <w:color w:val="auto"/>
              </w:rPr>
            </w:pPr>
            <w:r>
              <w:rPr>
                <w:rFonts w:ascii="Arial" w:cs="Arial" w:eastAsia="Arial" w:hAnsi="Arial"/>
                <w:sz w:val="16"/>
                <w:szCs w:val="16"/>
                <w:color w:val="auto"/>
              </w:rPr>
              <w:t>32.5 %</w:t>
            </w:r>
          </w:p>
        </w:tc>
        <w:tc>
          <w:tcPr>
            <w:tcW w:w="2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59"/>
              <w:spacing w:after="0"/>
              <w:rPr>
                <w:sz w:val="20"/>
                <w:szCs w:val="20"/>
                <w:color w:val="auto"/>
              </w:rPr>
            </w:pPr>
            <w:r>
              <w:rPr>
                <w:rFonts w:ascii="Arial" w:cs="Arial" w:eastAsia="Arial" w:hAnsi="Arial"/>
                <w:sz w:val="16"/>
                <w:szCs w:val="16"/>
                <w:color w:val="auto"/>
              </w:rPr>
              <w:t>53,015</w:t>
            </w:r>
          </w:p>
        </w:tc>
        <w:tc>
          <w:tcPr>
            <w:tcW w:w="760" w:type="dxa"/>
            <w:vAlign w:val="bottom"/>
          </w:tcPr>
          <w:p>
            <w:pPr>
              <w:jc w:val="right"/>
              <w:spacing w:after="0"/>
              <w:rPr>
                <w:sz w:val="20"/>
                <w:szCs w:val="20"/>
                <w:color w:val="auto"/>
              </w:rPr>
            </w:pPr>
            <w:r>
              <w:rPr>
                <w:rFonts w:ascii="Arial" w:cs="Arial" w:eastAsia="Arial" w:hAnsi="Arial"/>
                <w:sz w:val="16"/>
                <w:szCs w:val="16"/>
                <w:color w:val="auto"/>
              </w:rPr>
              <w:t>26.3 %</w:t>
            </w: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2024 compared to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for the year ended December 31, 2024 increased approximately $162.3 million or 52.7%, to $470.7 million, compared to the corresponding year ended December 31, 2023. Lugano sells high-end jewelry primarily through retail salons in California, Florida, Texas, Washington D.C., Colorado, Connecticut, and London, England, as well as via pop-up showrooms at multiple equestrian, social and charitable functions each year. In the current year period, Lugano has experienced strong same store sales growth as it has invested in building out its inventory as well as its sales, marketing and event staff, while increasing the number of social and charitable functions it has attended. The average sale price per retail transaction increased from approximately $ 400,000 in the prior year to approximately $450,000 in the current year. Lugano opened its Greenwich, Connecticut location in September 2023, and its London, England salon in the second quarter of 2024, and expects to open more retail locations in the near term to further expand sales opportunities.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as a percentage of net sales totaled approximately 60.8% in the year ended December 31, 2024 compared to 56.3% in the year ended December 31, 2023. Lugano has an extensive network of suppliers through which they procure high quality diamonds and gemstones, which make up a significant percentage of the cost of sales. The uniqueness of the Lugano jewelry can lead to fluctuations in margins from period to period based on what designs are sold during the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 for the year ended December 31, 2024 increased to approximately $ 97.2 million or 20.6% of net sales compared to $67.5 million or 21.9% of net sales for the same period of 2023. The increase in selling, general and administrative expense is primarily due to overhead expenses from newly opened locations, increased marketing spend and personnel costs, and variable costs that correlate to the increase in revenue. Lugano continues to increase its head count as it invests in additional professionals to support its growth and geographic expansion.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income increased $82.9 million during the year ended December 31, 2024 to $183.2 million compared to segment operating income of $100.3 million during the same period in 2023, principally as a result of the increase in sales and gross profit in 2024, as described above.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2023 compared to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for the year ended December 31, 2023 increased approximately $106.8 million or 53.0%, to $308.3 million, compared to the corresponding year ended December 31, 2022. Lugano sells high-end jewelry primarily through retail salons in California, Florida, Texas, Washington D.C., Colorado and Connecticut, and via pop-up showrooms at multiple equestrian, social and charitable functions each year. In the current year, Lugano has experienced an increase in sales from its existing locations as it has invested in building out its inventory as well as its sales, marketing and event staff, while increasing the number of social and charitable functions it has attended. Lugano also opened its Washington D.C. location in March 2023, its Greenwich, Connecticut location in September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90" w:name="page91"/>
    <w:bookmarkEnd w:id="90"/>
    <w:p>
      <w:pPr>
        <w:jc w:val="both"/>
        <w:spacing w:after="0" w:line="287" w:lineRule="auto"/>
        <w:rPr>
          <w:sz w:val="20"/>
          <w:szCs w:val="20"/>
          <w:color w:val="auto"/>
        </w:rPr>
      </w:pPr>
      <w:r>
        <w:rPr>
          <w:rFonts w:ascii="Arial" w:cs="Arial" w:eastAsia="Arial" w:hAnsi="Arial"/>
          <w:sz w:val="18"/>
          <w:szCs w:val="18"/>
          <w:color w:val="auto"/>
        </w:rPr>
        <w:t>2023, and its Palm Beach, Florida flagship location in November 2023, and expects to open more retail locations in the near term to further expand sales opportunities.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as a percentage of net sales totaled approximately 56.3% in the year ended December 31, 2023 compared to 48.9% in the year ended December 31, 2022. Lugano has an extensive network of suppliers through which they procure high quality diamonds and gemstones, which make up a significant percentage of the cost of sales. The uniqueness of the Lugano jewelry can lead to fluctuations in margins from period to period based on what designs are sold during the period. In the prior year, Lugano recorded $5.5 million in amortization of the inventory step-up resulting from the acquisition purchase price allocation. Excluding the effect of the step-up amortization, the gross profit as a percentage of net sales for the year ended December 31, 2022 was 51.7%.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 for the year ended December 31, 2023 increased to approximately $ 67.5 million or 21.9% of net sales compared to $40.0 million or 19.8% of net sales for the same period of 2022. The increase in selling, general and administrative expense is attributable to increased marketing spend and personnel costs in support of Lugano’s growth in sales and expansion into new markets as well as rent and operating costs for its new locations.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income increased $ 47.3 million during the year ended December 31, 2023 to $ 100.3 million compared to segment operating income of $53.0 million during the same period in 2022, principally as a result of the increase in sales and gross profit in 2023, as described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PrimaLoft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PrimaLoft Technologies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following results of operations, we provide comparative pro forma results of operations for PrimaLoft for the year ended December 31, 2022 as if we had acquired the business on January 1, 2022. The results of operations that follow include relevant pro-forma adjustments for pre-acquisition periods and explanations where applicable. The operating results for PrimaLoft have been included in the consolidated results of operation from the date of acquisition, July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70034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107" w:lineRule="exact"/>
        <w:rPr>
          <w:sz w:val="20"/>
          <w:szCs w:val="20"/>
          <w:color w:val="auto"/>
        </w:rPr>
      </w:pPr>
    </w:p>
    <w:p>
      <w:pPr>
        <w:ind w:left="6480"/>
        <w:spacing w:after="0"/>
        <w:rPr>
          <w:sz w:val="20"/>
          <w:szCs w:val="20"/>
          <w:color w:val="auto"/>
        </w:rPr>
      </w:pPr>
      <w:r>
        <w:rPr>
          <w:rFonts w:ascii="Arial" w:cs="Arial" w:eastAsia="Arial" w:hAnsi="Arial"/>
          <w:sz w:val="16"/>
          <w:szCs w:val="16"/>
          <w:b w:val="1"/>
          <w:bCs w:val="1"/>
          <w:color w:val="auto"/>
        </w:rPr>
        <w:t>Year ended December 31,</w:t>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6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top w:val="single" w:sz="8" w:color="auto"/>
              <w:bottom w:val="single" w:sz="8" w:color="auto"/>
            </w:tcBorders>
          </w:tcPr>
          <w:p>
            <w:pPr>
              <w:spacing w:after="0"/>
              <w:rPr>
                <w:sz w:val="18"/>
                <w:szCs w:val="18"/>
                <w:color w:val="auto"/>
              </w:rPr>
            </w:pPr>
          </w:p>
        </w:tc>
      </w:tr>
      <w:tr>
        <w:trPr>
          <w:trHeight w:val="196"/>
        </w:trPr>
        <w:tc>
          <w:tcPr>
            <w:tcW w:w="36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3"/>
          </w:tcPr>
          <w:p>
            <w:pPr>
              <w:spacing w:after="0"/>
              <w:rPr>
                <w:sz w:val="20"/>
                <w:szCs w:val="20"/>
                <w:color w:val="auto"/>
              </w:rPr>
            </w:pPr>
            <w:r>
              <w:rPr>
                <w:rFonts w:ascii="Arial" w:cs="Arial" w:eastAsia="Arial" w:hAnsi="Arial"/>
                <w:sz w:val="15"/>
                <w:szCs w:val="15"/>
                <w:b w:val="1"/>
                <w:bCs w:val="1"/>
                <w:color w:val="auto"/>
              </w:rPr>
              <w:t>Pro forma</w:t>
            </w:r>
          </w:p>
        </w:tc>
        <w:tc>
          <w:tcPr>
            <w:tcW w:w="800" w:type="dxa"/>
            <w:vAlign w:val="bottom"/>
          </w:tcPr>
          <w:p>
            <w:pPr>
              <w:spacing w:after="0"/>
              <w:rPr>
                <w:sz w:val="17"/>
                <w:szCs w:val="17"/>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74,226</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CCEEFF"/>
            </w:tcBorders>
            <w:shd w:val="clear" w:color="auto" w:fill="CCEEFF"/>
          </w:tcPr>
          <w:p>
            <w:pPr>
              <w:jc w:val="center"/>
              <w:ind w:right="259"/>
              <w:spacing w:after="0"/>
              <w:rPr>
                <w:sz w:val="20"/>
                <w:szCs w:val="20"/>
                <w:color w:val="auto"/>
              </w:rPr>
            </w:pPr>
            <w:r>
              <w:rPr>
                <w:rFonts w:ascii="Arial" w:cs="Arial" w:eastAsia="Arial" w:hAnsi="Arial"/>
                <w:sz w:val="16"/>
                <w:szCs w:val="16"/>
                <w:color w:val="auto"/>
              </w:rPr>
              <w:t>67,053</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79,929</w:t>
            </w:r>
          </w:p>
        </w:tc>
        <w:tc>
          <w:tcPr>
            <w:tcW w:w="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Gross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59"/>
              <w:spacing w:after="0"/>
              <w:rPr>
                <w:sz w:val="20"/>
                <w:szCs w:val="20"/>
                <w:color w:val="auto"/>
              </w:rPr>
            </w:pPr>
            <w:r>
              <w:rPr>
                <w:rFonts w:ascii="Arial" w:cs="Arial" w:eastAsia="Arial" w:hAnsi="Arial"/>
                <w:sz w:val="16"/>
                <w:szCs w:val="16"/>
                <w:color w:val="auto"/>
              </w:rPr>
              <w:t>46,566</w:t>
            </w:r>
          </w:p>
        </w:tc>
        <w:tc>
          <w:tcPr>
            <w:tcW w:w="800" w:type="dxa"/>
            <w:vAlign w:val="bottom"/>
          </w:tcPr>
          <w:p>
            <w:pPr>
              <w:jc w:val="right"/>
              <w:spacing w:after="0"/>
              <w:rPr>
                <w:sz w:val="20"/>
                <w:szCs w:val="20"/>
                <w:color w:val="auto"/>
              </w:rPr>
            </w:pPr>
            <w:r>
              <w:rPr>
                <w:rFonts w:ascii="Arial" w:cs="Arial" w:eastAsia="Arial" w:hAnsi="Arial"/>
                <w:sz w:val="16"/>
                <w:szCs w:val="16"/>
                <w:color w:val="auto"/>
              </w:rPr>
              <w:t>62.7 %</w:t>
            </w:r>
          </w:p>
        </w:tc>
        <w:tc>
          <w:tcPr>
            <w:tcW w:w="16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rPr>
              <w:t>42,015</w:t>
            </w:r>
          </w:p>
        </w:tc>
        <w:tc>
          <w:tcPr>
            <w:tcW w:w="800" w:type="dxa"/>
            <w:vAlign w:val="bottom"/>
          </w:tcPr>
          <w:p>
            <w:pPr>
              <w:jc w:val="right"/>
              <w:spacing w:after="0"/>
              <w:rPr>
                <w:sz w:val="20"/>
                <w:szCs w:val="20"/>
                <w:color w:val="auto"/>
              </w:rPr>
            </w:pPr>
            <w:r>
              <w:rPr>
                <w:rFonts w:ascii="Arial" w:cs="Arial" w:eastAsia="Arial" w:hAnsi="Arial"/>
                <w:sz w:val="16"/>
                <w:szCs w:val="16"/>
                <w:color w:val="auto"/>
              </w:rPr>
              <w:t>62.7 %</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47,513</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59.4 %</w:t>
            </w: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20,728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center"/>
              <w:ind w:right="259"/>
              <w:spacing w:after="0"/>
              <w:rPr>
                <w:sz w:val="20"/>
                <w:szCs w:val="20"/>
                <w:color w:val="auto"/>
              </w:rPr>
            </w:pPr>
            <w:r>
              <w:rPr>
                <w:rFonts w:ascii="Arial" w:cs="Arial" w:eastAsia="Arial" w:hAnsi="Arial"/>
                <w:sz w:val="16"/>
                <w:szCs w:val="16"/>
                <w:color w:val="auto"/>
              </w:rPr>
              <w:t>19,448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27,576</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34.5 %</w:t>
            </w:r>
          </w:p>
        </w:tc>
      </w:tr>
      <w:tr>
        <w:trPr>
          <w:trHeight w:val="215"/>
        </w:trPr>
        <w:tc>
          <w:tcPr>
            <w:tcW w:w="3660" w:type="dxa"/>
            <w:vAlign w:val="bottom"/>
          </w:tcPr>
          <w:p>
            <w:pPr>
              <w:spacing w:after="0"/>
              <w:rPr>
                <w:sz w:val="20"/>
                <w:szCs w:val="20"/>
                <w:color w:val="auto"/>
              </w:rPr>
            </w:pPr>
            <w:r>
              <w:rPr>
                <w:rFonts w:ascii="Arial" w:cs="Arial" w:eastAsia="Arial" w:hAnsi="Arial"/>
                <w:sz w:val="16"/>
                <w:szCs w:val="16"/>
                <w:color w:val="auto"/>
              </w:rPr>
              <w:t>Impairment expense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rPr>
              <w:t>57,810</w:t>
            </w:r>
          </w:p>
        </w:tc>
        <w:tc>
          <w:tcPr>
            <w:tcW w:w="800" w:type="dxa"/>
            <w:vAlign w:val="bottom"/>
          </w:tcPr>
          <w:p>
            <w:pPr>
              <w:jc w:val="right"/>
              <w:spacing w:after="0"/>
              <w:rPr>
                <w:sz w:val="20"/>
                <w:szCs w:val="20"/>
                <w:color w:val="auto"/>
              </w:rPr>
            </w:pPr>
            <w:r>
              <w:rPr>
                <w:rFonts w:ascii="Arial" w:cs="Arial" w:eastAsia="Arial" w:hAnsi="Arial"/>
                <w:sz w:val="16"/>
                <w:szCs w:val="16"/>
                <w:color w:val="auto"/>
              </w:rPr>
              <w:t>86.2 %</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Segment operating income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4,024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(57,057)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 forma results of operations include the following pro forma adjustments as if we had acquired PrimaLoft January 1, 2022:</w:t>
      </w:r>
    </w:p>
    <w:p>
      <w:pPr>
        <w:spacing w:after="0" w:line="57" w:lineRule="exact"/>
        <w:rPr>
          <w:sz w:val="20"/>
          <w:szCs w:val="20"/>
          <w:color w:val="auto"/>
        </w:rPr>
      </w:pPr>
    </w:p>
    <w:p>
      <w:pPr>
        <w:ind w:left="660" w:hanging="328"/>
        <w:spacing w:after="0" w:line="291" w:lineRule="auto"/>
        <w:tabs>
          <w:tab w:leader="none" w:pos="556" w:val="left"/>
        </w:tabs>
        <w:numPr>
          <w:ilvl w:val="0"/>
          <w:numId w:val="54"/>
        </w:numPr>
        <w:rPr>
          <w:rFonts w:ascii="Arial" w:cs="Arial" w:eastAsia="Arial" w:hAnsi="Arial"/>
          <w:sz w:val="15"/>
          <w:szCs w:val="15"/>
          <w:color w:val="auto"/>
        </w:rPr>
      </w:pPr>
      <w:r>
        <w:rPr>
          <w:rFonts w:ascii="Arial" w:cs="Arial" w:eastAsia="Arial" w:hAnsi="Arial"/>
          <w:sz w:val="15"/>
          <w:szCs w:val="15"/>
          <w:color w:val="auto"/>
        </w:rPr>
        <w:t>Amortization expense associated with the intangible assets recorded in connection with the purchase price allocation of PrimaLoft of an additional $6.4 million for the year ended December 31, 2022.</w:t>
      </w:r>
    </w:p>
    <w:p>
      <w:pPr>
        <w:ind w:left="560" w:hanging="228"/>
        <w:spacing w:after="0"/>
        <w:tabs>
          <w:tab w:leader="none" w:pos="5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Management fees of $0.5 million that would have been payable to the Manager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i w:val="1"/>
          <w:iCs w:val="1"/>
          <w:color w:val="auto"/>
        </w:rPr>
        <w:t>Year ended December 31, 2024 compared to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year ended December 31, 2024 were $ 74.2 million, an increase of $ 7.2 million as compared to net sales of $67.1 million for the year ended December 31, 2023. The increase in net sales during the year ended December 31, 2024 is attributable to inventory levels in the retail market normalizing, which has resulted in an increase in orders from retailers with brand partners.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for the year ended December 31, 2024 increased $4.6 million as compared to the year ended December 31, 2023, primarily due to the increase in net sales noted above. Gross profit as a percentage of net sales for both the year ended December 31, 2024 and December 31, 2023 was 62.7%.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 for the year ended December 31, 2024 was $20.7 million, or 27.9% of net sales compared to $19.4 million, or 29.0% of net sales for the year ended December 31, 2023. Selling, general and administrative expense in the prior period included $2.4 million in integration services fees associated with the Company's acquisition of PrimaLoft. Excluding the integration service fee, selling, general and administrative expense increased approximately $3.7 million due to an increase in stock compensation expense, bonus compensation and reorganization costs incurred as PrimaLoft continues to focus on future growth.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PrimaLoft performed an interim impairment test of their goodwill as of December 31, 2023 as a result of operating results that were below forecast amounts that were used as the basis for the purchase price allocation at acquisition. The impairment test resulted in PrimaLoft recording impairment expense of $57.8 million in the year ended December 31,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 (loss)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Segment operating income for the year ended December 31, 2024 was $4.0 million compared to segment operating loss of $57.1 million for the same period in 2023, primarily as a result of the goodwill impairment recorded in the fourth quarter of 2023.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2023 compared to the Pro forma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year ended December 31, 2023 were $67.1 million, a decrease of $12.9 million as compared to net sales of $79.9 million for the year ended December 31, 2022. The decrease in net sales during the year ended December 31, 2023 is attributable to higher than anticipated end market inventory levels leading to lower ordering from existing customers in the first half of the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for the year ended December 31, 2023 decreased $5.5 million as compared to the year ended December 31, 2022, primarily due to the decrease in net sales noted above. Gross profit as a percentage of net sales for the year ended December 31, 2023 was 62.7%, as compared to gross profit as a percentage of sales of 59.4% for the year ended December 31, 2022. In the prior year, PrimaLoft recorded $0.6 million in amortization of the inventory step-up resulting from the acquisition purchase price allocation. Excluding the effect of the step-up amortization, the gross profit as a percentage of net sales for the year ended December 31, 2022 was 60.2%. Gross profit as a percentage of sales increased year over year primarily due to price increases implemented in the fourth quarter of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 for the year ended December 31, 2023 was $19.4 million, or 29.0% of net sales compared to $27.6 million, or 34.5% of net sales for the year ended December 31, 2022. Selling, general and administrative expense in the year ended December 31, 2022 included $5.8 million in transaction costs associated with the Company's acquisition of PrimaLoft. Excluding the transaction costs, selling, general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92" w:name="page93"/>
    <w:bookmarkEnd w:id="92"/>
    <w:p>
      <w:pPr>
        <w:ind w:right="220"/>
        <w:spacing w:after="0" w:line="438" w:lineRule="auto"/>
        <w:rPr>
          <w:sz w:val="20"/>
          <w:szCs w:val="20"/>
          <w:color w:val="auto"/>
        </w:rPr>
      </w:pPr>
      <w:r>
        <w:rPr>
          <w:rFonts w:ascii="Arial" w:cs="Arial" w:eastAsia="Arial" w:hAnsi="Arial"/>
          <w:sz w:val="18"/>
          <w:szCs w:val="18"/>
          <w:color w:val="auto"/>
        </w:rPr>
        <w:t xml:space="preserve">administrative expense decreased approximately $2.4 million due to a decrease in stock compensation and a reduction in marketing costs. </w:t>
      </w:r>
      <w:r>
        <w:rPr>
          <w:rFonts w:ascii="Arial" w:cs="Arial" w:eastAsia="Arial" w:hAnsi="Arial"/>
          <w:sz w:val="18"/>
          <w:szCs w:val="18"/>
          <w:i w:val="1"/>
          <w:iCs w:val="1"/>
          <w:u w:val="single" w:color="auto"/>
          <w:color w:val="auto"/>
        </w:rPr>
        <w:t>Impairment expense</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PrimaLoft performed an interim impairment test of their goodwill as of December 31, 2023 as a result of operating results that were below forecast amounts that were used as the basis for the purchase price allocation at acquisition. The impairment test resulted in PrimaLoft recording impairment expense of $57.8 million in the year ended December 31,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loss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Segment operating loss for the year ended December 31, 2023 was $57.1 million compared to segment operating loss of $1.9 million for the same period in 2022, primarily as a result of the goodwill impairment recorded in the fourth quarter of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Honey Pot Co.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Honey Pot Co. is a leading “better-for-you” feminine care brand, powered by plant-derived ingredients and clinically tested formulas. Founded in 2012,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following results of operations, we provide comparative pro forma results of operations for The Honey Pot for the years ended December 31, 2024 and December 31, 2023 as if we had acquired the business on January 1, 2023. The results of operations that follow include relevant pro-forma adjustments for pre-acquisition periods and explanations where applicable. The operating results for The Honey Pot Co. have been included in the consolidated results of operation from the date of acquisition in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72390</wp:posOffset>
            </wp:positionV>
            <wp:extent cx="60521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107"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Year ended December 31,</w:t>
      </w:r>
    </w:p>
    <w:p>
      <w:pPr>
        <w:spacing w:after="0" w:line="33" w:lineRule="exact"/>
        <w:rPr>
          <w:sz w:val="20"/>
          <w:szCs w:val="20"/>
          <w:color w:val="auto"/>
        </w:rPr>
      </w:pPr>
    </w:p>
    <w:tbl>
      <w:tblPr>
        <w:tblLayout w:type="fixed"/>
        <w:tblInd w:w="860" w:type="dxa"/>
        <w:tblCellMar>
          <w:top w:w="0" w:type="dxa"/>
          <w:left w:w="0" w:type="dxa"/>
          <w:bottom w:w="0" w:type="dxa"/>
          <w:right w:w="0" w:type="dxa"/>
        </w:tblCellMar>
      </w:tblPr>
      <w:tr>
        <w:trPr>
          <w:trHeight w:val="209"/>
        </w:trPr>
        <w:tc>
          <w:tcPr>
            <w:tcW w:w="4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2023</w:t>
            </w:r>
          </w:p>
        </w:tc>
        <w:tc>
          <w:tcPr>
            <w:tcW w:w="860" w:type="dxa"/>
            <w:vAlign w:val="bottom"/>
            <w:tcBorders>
              <w:top w:val="single" w:sz="8" w:color="auto"/>
              <w:bottom w:val="single" w:sz="8" w:color="auto"/>
            </w:tcBorders>
          </w:tcPr>
          <w:p>
            <w:pPr>
              <w:spacing w:after="0"/>
              <w:rPr>
                <w:sz w:val="18"/>
                <w:szCs w:val="18"/>
                <w:color w:val="auto"/>
              </w:rPr>
            </w:pPr>
          </w:p>
        </w:tc>
      </w:tr>
      <w:tr>
        <w:trPr>
          <w:trHeight w:val="196"/>
        </w:trPr>
        <w:tc>
          <w:tcPr>
            <w:tcW w:w="4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5"/>
                <w:szCs w:val="15"/>
                <w:b w:val="1"/>
                <w:bCs w:val="1"/>
                <w:color w:val="auto"/>
              </w:rPr>
              <w:t>Pro forma</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5"/>
                <w:szCs w:val="15"/>
                <w:b w:val="1"/>
                <w:bCs w:val="1"/>
                <w:color w:val="auto"/>
              </w:rPr>
              <w:t>Pro forma</w:t>
            </w:r>
          </w:p>
        </w:tc>
        <w:tc>
          <w:tcPr>
            <w:tcW w:w="860" w:type="dxa"/>
            <w:vAlign w:val="bottom"/>
          </w:tcPr>
          <w:p>
            <w:pPr>
              <w:spacing w:after="0"/>
              <w:rPr>
                <w:sz w:val="17"/>
                <w:szCs w:val="17"/>
                <w:color w:val="auto"/>
              </w:rPr>
            </w:pP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115,260</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107,311</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2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57,588</w:t>
            </w:r>
          </w:p>
        </w:tc>
        <w:tc>
          <w:tcPr>
            <w:tcW w:w="440" w:type="dxa"/>
            <w:vAlign w:val="bottom"/>
          </w:tcPr>
          <w:p>
            <w:pPr>
              <w:spacing w:after="0"/>
              <w:rPr>
                <w:sz w:val="18"/>
                <w:szCs w:val="18"/>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50.0 % $</w:t>
            </w:r>
          </w:p>
        </w:tc>
        <w:tc>
          <w:tcPr>
            <w:tcW w:w="1100" w:type="dxa"/>
            <w:vAlign w:val="bottom"/>
          </w:tcPr>
          <w:p>
            <w:pPr>
              <w:jc w:val="right"/>
              <w:spacing w:after="0"/>
              <w:rPr>
                <w:sz w:val="20"/>
                <w:szCs w:val="20"/>
                <w:color w:val="auto"/>
              </w:rPr>
            </w:pPr>
            <w:r>
              <w:rPr>
                <w:rFonts w:ascii="Arial" w:cs="Arial" w:eastAsia="Arial" w:hAnsi="Arial"/>
                <w:sz w:val="16"/>
                <w:szCs w:val="16"/>
                <w:color w:val="auto"/>
              </w:rPr>
              <w:t>59,867</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55.8 %</w:t>
            </w:r>
          </w:p>
        </w:tc>
      </w:tr>
      <w:tr>
        <w:trPr>
          <w:trHeight w:val="217"/>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40,456</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35.1 %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r>
      <w:tr>
        <w:trPr>
          <w:trHeight w:val="215"/>
        </w:trPr>
        <w:tc>
          <w:tcPr>
            <w:tcW w:w="4260" w:type="dxa"/>
            <w:vAlign w:val="bottom"/>
          </w:tcPr>
          <w:p>
            <w:pPr>
              <w:ind w:left="20"/>
              <w:spacing w:after="0"/>
              <w:rPr>
                <w:sz w:val="20"/>
                <w:szCs w:val="20"/>
                <w:color w:val="auto"/>
              </w:rPr>
            </w:pPr>
            <w:r>
              <w:rPr>
                <w:rFonts w:ascii="Arial" w:cs="Arial" w:eastAsia="Arial" w:hAnsi="Arial"/>
                <w:sz w:val="16"/>
                <w:szCs w:val="16"/>
                <w:color w:val="auto"/>
              </w:rPr>
              <w:t>Amortization expense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16,062</w:t>
            </w:r>
          </w:p>
        </w:tc>
        <w:tc>
          <w:tcPr>
            <w:tcW w:w="440" w:type="dxa"/>
            <w:vAlign w:val="bottom"/>
          </w:tcPr>
          <w:p>
            <w:pPr>
              <w:spacing w:after="0"/>
              <w:rPr>
                <w:sz w:val="18"/>
                <w:szCs w:val="18"/>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13.9 % $</w:t>
            </w:r>
          </w:p>
        </w:tc>
        <w:tc>
          <w:tcPr>
            <w:tcW w:w="1100" w:type="dxa"/>
            <w:vAlign w:val="bottom"/>
          </w:tcPr>
          <w:p>
            <w:pPr>
              <w:jc w:val="right"/>
              <w:spacing w:after="0"/>
              <w:rPr>
                <w:sz w:val="20"/>
                <w:szCs w:val="20"/>
                <w:color w:val="auto"/>
              </w:rPr>
            </w:pPr>
            <w:r>
              <w:rPr>
                <w:rFonts w:ascii="Arial" w:cs="Arial" w:eastAsia="Arial" w:hAnsi="Arial"/>
                <w:sz w:val="16"/>
                <w:szCs w:val="16"/>
                <w:color w:val="auto"/>
              </w:rPr>
              <w:t>16,062</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15.0 %</w:t>
            </w:r>
          </w:p>
        </w:tc>
      </w:tr>
      <w:tr>
        <w:trPr>
          <w:trHeight w:val="217"/>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0.1 %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 include the following pro forma adjustments as if we had acquired The Honey Pot Co. on January 1, 2023:</w:t>
      </w:r>
    </w:p>
    <w:p>
      <w:pPr>
        <w:spacing w:after="0" w:line="115" w:lineRule="exact"/>
        <w:rPr>
          <w:sz w:val="20"/>
          <w:szCs w:val="20"/>
          <w:color w:val="auto"/>
        </w:rPr>
      </w:pPr>
    </w:p>
    <w:p>
      <w:pPr>
        <w:ind w:left="660" w:hanging="328"/>
        <w:spacing w:after="0" w:line="28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Incremental stock compensation expense of $0.3 million for the year ended December 31, 2024 and $0.8 million for the year ended December 31, 2023. This amount is included in SG&amp;A above and reduces segment operating income.</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Amortization expense associated with the intangible assets recorded in connection with the purchase price allocation for THP of $1.3 million for the year ended December 31, 2024 and $16.1 million for the year ended December 31, 2023. This amount reduces segment operating income.</w:t>
      </w:r>
    </w:p>
    <w:p>
      <w:pPr>
        <w:spacing w:after="0" w:line="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fees that would have been payable to the Manager during each period. THP will pay a management fee of $1.0 million per year ($0.25 million per quarter) to CGM. This amount reduces segment operating income.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3" w:name="page94"/>
    <w:bookmarkEnd w:id="93"/>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Pro forma Year ended December 31, 2024 compared to the Pro Forma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year ended December 31, 2024 were $115.3 million, an increase of $7.9 million or 7.4% from net sales of $107.3 million for the year ended December 31, 2023. The increase in net sales is primarily due to strong volume growth related to market share gains in our Period Care product category.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for the year ended December 31, 2024 decreased $ 2.3 million as compared to the year ended December 31, 2023. Gross profit as a percentage of net sales for the year ended December 31, 2024 was 50.0%, as compared to gross profit as a percentage of sales of 55.8% for the year ended December 31, 2023. Cost of sales in the year ended December 31, 2024 includes $3.8 million in amortization of the inventory step-up resulting from the acquisition purchase allocation. Excluding the effect of the step-up amortization, gross profit as a percentage of net sales for the year ended December 31, 2024 was 53.2%. The decline in gross profit as a percentage of net sales in the year December 31, 2024 as compared to the year ended December 31, 2023 is attributable to channel mix shift and higher fixed costs due to the replacement of regional third-party distribution facilities with a larger dedicated distribution center to support future growth and that will benefit from scale efficiencies over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for the year ended December 31, 2024 was $40.5 million, or 35.1% of net sales compared to $38.9 million, or 36.3% of net sales for the year ended December 31, 2023. Selling, general and administrative expense for the year ended December 31, 2024 includes $3.5 million in transaction costs associated with the Company's acquisition of The Honey Pot Co. and $2.6 million in integration services fees paid to CGM during the year. Excluding the integration services fee, selling, general and administrative expense decreased $4.3 million versus the comparable period in the prior year. The decrease in selling, general and administrative expense in the year ended December 31, 2024 as compared to the year ended December 31, 2023 was due to changes in bonus and compensation plans, and travel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Segment operating income for the year ended December 31, 2024 was $0.1 million, a decrease of $3.8 million when compared to segment operating income of $3.9 million for the same period in 2023, as a result of the factors noted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Velocity Outdoor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 in Rochester, New York. On April 30, 2024, Velocity Outdoor sold the Crosman airgun product division. The results of operation for Crosman are included in the accompanying financial statements through the date of sale.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9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r>
      <w:tr>
        <w:trPr>
          <w:trHeight w:val="20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8"/>
                <w:szCs w:val="18"/>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96,427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172,190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232,238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9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26,353</w:t>
            </w:r>
          </w:p>
        </w:tc>
        <w:tc>
          <w:tcPr>
            <w:tcW w:w="780" w:type="dxa"/>
            <w:vAlign w:val="bottom"/>
          </w:tcPr>
          <w:p>
            <w:pPr>
              <w:jc w:val="right"/>
              <w:spacing w:after="0"/>
              <w:rPr>
                <w:sz w:val="20"/>
                <w:szCs w:val="20"/>
                <w:color w:val="auto"/>
              </w:rPr>
            </w:pPr>
            <w:r>
              <w:rPr>
                <w:rFonts w:ascii="Arial" w:cs="Arial" w:eastAsia="Arial" w:hAnsi="Arial"/>
                <w:sz w:val="16"/>
                <w:szCs w:val="16"/>
                <w:color w:val="auto"/>
              </w:rPr>
              <w:t>27.3 %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19"/>
              <w:spacing w:after="0"/>
              <w:rPr>
                <w:sz w:val="20"/>
                <w:szCs w:val="20"/>
                <w:color w:val="auto"/>
              </w:rPr>
            </w:pPr>
            <w:r>
              <w:rPr>
                <w:rFonts w:ascii="Arial" w:cs="Arial" w:eastAsia="Arial" w:hAnsi="Arial"/>
                <w:sz w:val="16"/>
                <w:szCs w:val="16"/>
                <w:color w:val="auto"/>
              </w:rPr>
              <w:t>45,161</w:t>
            </w:r>
          </w:p>
        </w:tc>
        <w:tc>
          <w:tcPr>
            <w:tcW w:w="800" w:type="dxa"/>
            <w:vAlign w:val="bottom"/>
          </w:tcPr>
          <w:p>
            <w:pPr>
              <w:jc w:val="right"/>
              <w:spacing w:after="0"/>
              <w:rPr>
                <w:sz w:val="20"/>
                <w:szCs w:val="20"/>
                <w:color w:val="auto"/>
              </w:rPr>
            </w:pPr>
            <w:r>
              <w:rPr>
                <w:rFonts w:ascii="Arial" w:cs="Arial" w:eastAsia="Arial" w:hAnsi="Arial"/>
                <w:sz w:val="16"/>
                <w:szCs w:val="16"/>
                <w:color w:val="auto"/>
              </w:rPr>
              <w:t>26.2 %</w:t>
            </w:r>
          </w:p>
        </w:tc>
        <w:tc>
          <w:tcPr>
            <w:tcW w:w="2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62,686</w:t>
            </w:r>
          </w:p>
        </w:tc>
        <w:tc>
          <w:tcPr>
            <w:tcW w:w="800" w:type="dxa"/>
            <w:vAlign w:val="bottom"/>
          </w:tcPr>
          <w:p>
            <w:pPr>
              <w:jc w:val="right"/>
              <w:spacing w:after="0"/>
              <w:rPr>
                <w:sz w:val="20"/>
                <w:szCs w:val="20"/>
                <w:color w:val="auto"/>
              </w:rPr>
            </w:pPr>
            <w:r>
              <w:rPr>
                <w:rFonts w:ascii="Arial" w:cs="Arial" w:eastAsia="Arial" w:hAnsi="Arial"/>
                <w:sz w:val="16"/>
                <w:szCs w:val="16"/>
                <w:color w:val="auto"/>
              </w:rPr>
              <w:t>27.0 %</w:t>
            </w:r>
          </w:p>
        </w:tc>
      </w:tr>
      <w:tr>
        <w:trPr>
          <w:trHeight w:val="217"/>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25,473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36,316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33,867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r>
      <w:tr>
        <w:trPr>
          <w:trHeight w:val="215"/>
        </w:trPr>
        <w:tc>
          <w:tcPr>
            <w:tcW w:w="3920" w:type="dxa"/>
            <w:vAlign w:val="bottom"/>
          </w:tcPr>
          <w:p>
            <w:pPr>
              <w:ind w:left="20"/>
              <w:spacing w:after="0"/>
              <w:rPr>
                <w:sz w:val="20"/>
                <w:szCs w:val="20"/>
                <w:color w:val="auto"/>
              </w:rPr>
            </w:pPr>
            <w:r>
              <w:rPr>
                <w:rFonts w:ascii="Arial" w:cs="Arial" w:eastAsia="Arial" w:hAnsi="Arial"/>
                <w:sz w:val="16"/>
                <w:szCs w:val="16"/>
                <w:color w:val="auto"/>
              </w:rPr>
              <w:t>Impairment expense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8,182</w:t>
            </w:r>
          </w:p>
        </w:tc>
        <w:tc>
          <w:tcPr>
            <w:tcW w:w="780" w:type="dxa"/>
            <w:vAlign w:val="bottom"/>
          </w:tcPr>
          <w:p>
            <w:pPr>
              <w:jc w:val="right"/>
              <w:spacing w:after="0"/>
              <w:rPr>
                <w:sz w:val="20"/>
                <w:szCs w:val="20"/>
                <w:color w:val="auto"/>
              </w:rPr>
            </w:pPr>
            <w:r>
              <w:rPr>
                <w:rFonts w:ascii="Arial" w:cs="Arial" w:eastAsia="Arial" w:hAnsi="Arial"/>
                <w:sz w:val="16"/>
                <w:szCs w:val="16"/>
                <w:color w:val="auto"/>
              </w:rPr>
              <w:t>8.5 %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19"/>
              <w:spacing w:after="0"/>
              <w:rPr>
                <w:sz w:val="20"/>
                <w:szCs w:val="20"/>
                <w:color w:val="auto"/>
              </w:rPr>
            </w:pPr>
            <w:r>
              <w:rPr>
                <w:rFonts w:ascii="Arial" w:cs="Arial" w:eastAsia="Arial" w:hAnsi="Arial"/>
                <w:sz w:val="16"/>
                <w:szCs w:val="16"/>
                <w:color w:val="auto"/>
              </w:rPr>
              <w:t>31,590</w:t>
            </w:r>
          </w:p>
        </w:tc>
        <w:tc>
          <w:tcPr>
            <w:tcW w:w="800" w:type="dxa"/>
            <w:vAlign w:val="bottom"/>
          </w:tcPr>
          <w:p>
            <w:pPr>
              <w:jc w:val="right"/>
              <w:spacing w:after="0"/>
              <w:rPr>
                <w:sz w:val="20"/>
                <w:szCs w:val="20"/>
                <w:color w:val="auto"/>
              </w:rPr>
            </w:pPr>
            <w:r>
              <w:rPr>
                <w:rFonts w:ascii="Arial" w:cs="Arial" w:eastAsia="Arial" w:hAnsi="Arial"/>
                <w:sz w:val="16"/>
                <w:szCs w:val="16"/>
                <w:color w:val="auto"/>
              </w:rPr>
              <w:t>18.3 %</w:t>
            </w:r>
          </w:p>
        </w:tc>
        <w:tc>
          <w:tcPr>
            <w:tcW w:w="2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(14,157)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(32,828)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18,961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2024 compared to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year ended December 31, 2024 were $96.4 million compared to net sales of $172.2 million for the year ended December 31, 2023, a decrease of $75.8 million or 44.0%. The decrease in net sales during the year ended December 31, 2024 is driven by the divestiture of Crosman, which was sold on April 30, 2024. The remaining product categories, which consist of the archery and hunting apparel product categories decreased approximately $ 3.5 million compared to the same period in 2023 due to softness in the overall Hunting and Fishing market as well as retailers reducing levels of inventory on hand.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as a percentage of net sales was 27.3% for the year ended December 31, 2024 as compared to 26.2% in the year December 31, 2023. The increase in gross profit as a percentage of net sales was primarily attributable to customer and product mix, as the Crosman product line had lower gross margins compared to the remaining archery and hunting apparel product categories post divestiture of the airgun product category.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 for the year ended December 31, 2024 was $25.5 million, or 26.4% of net sales compared to $36.3 million, or 21.1% of net sales, for the year ended December 31, 2023. The decrease in selling, general and administrative expense was primarily due to the divestiture of Crosman, while the increase as a percentage of net sales as compared to the prior year was due to the decrease in revenue noted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Velocity reporting unit was tested quantitatively in connection with the company's annual goodwill impairment testing in March 2024. The impairment test resulted in Velocity recording impairment expense of $ 8.2 million in the year ended December 31, 2024 after the fair value of the reporting unit did not exceed the carrying value. In the prior year, Velocity performed an interim impairment test of their goodwill during the quarter ended September 30, 2023 as a result of operating results that were below forecast amounts that were used in quantitative impairment testing performed in March 2023. The impairment test resulted in Velocity recording impairment expense of $31.6 million in the year ended December 31,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loss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loss for the year ended December 31, 2024 was $ 14.2 million, a decreased loss of $18.7 million when compared to segment operating loss of $32.8 million for the comparable period in 2023. The change in segment operating loss in the year ended December 31, 2024 reflects the factors noted above.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2023 compared to the Year ended December 31,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year ended December 31, 2023 were $172.2 million compared to net sales of $232.2 million for the year ended December 31, 2022, a decrease of $60.0 million or 25.9%. The decrease in net sales during the year ended December 31, 2023 is primarily due to declining consumer demand in the overall outdoor sporting goods category and retailers reducing the inventory days on hand.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Gross profit as a percentage of net sales was 26.2% for the year ended December 31, 2023 as compared to 27.0% in the year December 31, 2022. The decrease in gross profit as a percentage of net sales was primarily attributable to customer and product mix.</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expense for the year ended December 31, 2023 was $ 36.3 million, or 21.1% of net sales compared to $33.9 million, or 14.6% of net sales, for the year ended December 31, 2022. The increase in selling, general and administrative expense was primarily driven by reduced revenue and marketing investments associated with the King's acquisition.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Velocity performed an interim impairment test of their goodwill during the quarter ended September 30, 2023 as a result of operating results that were below forecast amounts that were used in quantitative impairment testing performed in March 2023. The impairment test resulted in Velocity recording impairment expense of $31.6 million in the year ended December 31,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 (loss)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loss for the year ended December 31, 2023 was $32.8 million, a decrease of $51.8 million when compared to segment operating income of $19.0 million for the comparable period in 2022. The decrease in segment operating income in the year ended December 31, 2022 reflects the factors noted above.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Industrial Businesses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Solutions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Founded in 1957 and headquartered in St. Louis, Missouri, Altor Solutions is a designer and manufacturer of custom molded protective foam solutions and OEM components made from EPS and EPP. Altor operates 23 molding and fabricating facilities across North America and provides products to a variety of end-markets, including appliances and electronics, pharmaceuticals, health and wellness, automotive, building products and others.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6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r>
      <w:tr>
        <w:trPr>
          <w:trHeight w:val="209"/>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8"/>
                <w:szCs w:val="18"/>
                <w:color w:val="auto"/>
              </w:rPr>
            </w:pPr>
          </w:p>
        </w:tc>
      </w:tr>
      <w:tr>
        <w:trPr>
          <w:trHeight w:val="21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239,069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238,030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261,338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66,268</w:t>
            </w:r>
          </w:p>
        </w:tc>
        <w:tc>
          <w:tcPr>
            <w:tcW w:w="780" w:type="dxa"/>
            <w:vAlign w:val="bottom"/>
          </w:tcPr>
          <w:p>
            <w:pPr>
              <w:jc w:val="right"/>
              <w:spacing w:after="0"/>
              <w:rPr>
                <w:sz w:val="20"/>
                <w:szCs w:val="20"/>
                <w:color w:val="auto"/>
              </w:rPr>
            </w:pPr>
            <w:r>
              <w:rPr>
                <w:rFonts w:ascii="Arial" w:cs="Arial" w:eastAsia="Arial" w:hAnsi="Arial"/>
                <w:sz w:val="16"/>
                <w:szCs w:val="16"/>
                <w:color w:val="auto"/>
              </w:rPr>
              <w:t>27.7 %</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73,616</w:t>
            </w:r>
          </w:p>
        </w:tc>
        <w:tc>
          <w:tcPr>
            <w:tcW w:w="800" w:type="dxa"/>
            <w:vAlign w:val="bottom"/>
          </w:tcPr>
          <w:p>
            <w:pPr>
              <w:jc w:val="right"/>
              <w:spacing w:after="0"/>
              <w:rPr>
                <w:sz w:val="20"/>
                <w:szCs w:val="20"/>
                <w:color w:val="auto"/>
              </w:rPr>
            </w:pPr>
            <w:r>
              <w:rPr>
                <w:rFonts w:ascii="Arial" w:cs="Arial" w:eastAsia="Arial" w:hAnsi="Arial"/>
                <w:sz w:val="16"/>
                <w:szCs w:val="16"/>
                <w:color w:val="auto"/>
              </w:rPr>
              <w:t>30.9 %</w:t>
            </w:r>
          </w:p>
        </w:tc>
        <w:tc>
          <w:tcPr>
            <w:tcW w:w="16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58,029</w:t>
            </w:r>
          </w:p>
        </w:tc>
        <w:tc>
          <w:tcPr>
            <w:tcW w:w="800" w:type="dxa"/>
            <w:vAlign w:val="bottom"/>
          </w:tcPr>
          <w:p>
            <w:pPr>
              <w:jc w:val="right"/>
              <w:spacing w:after="0"/>
              <w:rPr>
                <w:sz w:val="20"/>
                <w:szCs w:val="20"/>
                <w:color w:val="auto"/>
              </w:rPr>
            </w:pPr>
            <w:r>
              <w:rPr>
                <w:rFonts w:ascii="Arial" w:cs="Arial" w:eastAsia="Arial" w:hAnsi="Arial"/>
                <w:sz w:val="16"/>
                <w:szCs w:val="16"/>
                <w:color w:val="auto"/>
              </w:rPr>
              <w:t>22.2 %</w:t>
            </w:r>
          </w:p>
        </w:tc>
      </w:tr>
      <w:tr>
        <w:trPr>
          <w:trHeight w:val="217"/>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33,095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28,666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23,031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15"/>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Segment operating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21,748</w:t>
            </w:r>
          </w:p>
        </w:tc>
        <w:tc>
          <w:tcPr>
            <w:tcW w:w="780" w:type="dxa"/>
            <w:vAlign w:val="bottom"/>
          </w:tcPr>
          <w:p>
            <w:pPr>
              <w:jc w:val="right"/>
              <w:spacing w:after="0"/>
              <w:rPr>
                <w:sz w:val="20"/>
                <w:szCs w:val="20"/>
                <w:color w:val="auto"/>
              </w:rPr>
            </w:pPr>
            <w:r>
              <w:rPr>
                <w:rFonts w:ascii="Arial" w:cs="Arial" w:eastAsia="Arial" w:hAnsi="Arial"/>
                <w:sz w:val="16"/>
                <w:szCs w:val="16"/>
                <w:color w:val="auto"/>
              </w:rPr>
              <w:t>9.1 %</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34,566</w:t>
            </w:r>
          </w:p>
        </w:tc>
        <w:tc>
          <w:tcPr>
            <w:tcW w:w="800" w:type="dxa"/>
            <w:vAlign w:val="bottom"/>
          </w:tcPr>
          <w:p>
            <w:pPr>
              <w:jc w:val="right"/>
              <w:spacing w:after="0"/>
              <w:rPr>
                <w:sz w:val="20"/>
                <w:szCs w:val="20"/>
                <w:color w:val="auto"/>
              </w:rPr>
            </w:pPr>
            <w:r>
              <w:rPr>
                <w:rFonts w:ascii="Arial" w:cs="Arial" w:eastAsia="Arial" w:hAnsi="Arial"/>
                <w:sz w:val="16"/>
                <w:szCs w:val="16"/>
                <w:color w:val="auto"/>
              </w:rPr>
              <w:t>14.5 %</w:t>
            </w:r>
          </w:p>
        </w:tc>
        <w:tc>
          <w:tcPr>
            <w:tcW w:w="16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24,591</w:t>
            </w:r>
          </w:p>
        </w:tc>
        <w:tc>
          <w:tcPr>
            <w:tcW w:w="800" w:type="dxa"/>
            <w:vAlign w:val="bottom"/>
          </w:tcPr>
          <w:p>
            <w:pPr>
              <w:jc w:val="right"/>
              <w:spacing w:after="0"/>
              <w:rPr>
                <w:sz w:val="20"/>
                <w:szCs w:val="20"/>
                <w:color w:val="auto"/>
              </w:rPr>
            </w:pPr>
            <w:r>
              <w:rPr>
                <w:rFonts w:ascii="Arial" w:cs="Arial" w:eastAsia="Arial" w:hAnsi="Arial"/>
                <w:sz w:val="16"/>
                <w:szCs w:val="16"/>
                <w:color w:val="auto"/>
              </w:rPr>
              <w:t>9.4 %</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2024 compared to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year ended December 31, 2024 were $239.1 million, an increase of $ 1.0 million, or 0.4%, compared to the year ended December 31, 2023. The increase in net sales during the period was due primarily to the acquisition of Lifoam in October 2024. Lifoam had net revenue of $35.1 million in the post acquisition period through December 31, 2024. Excluding Lifoam, net sales at the legacy Altor business decreased in the year ended December 31, 2024 when compared to the year ended December 31, 2023 due to shifting market conditions of the food delivery and other cold chain markets, which represent one of Altor's largest customer segments, and supplier diversification initiatives undertaken by several of our customers. Altor is strategically repositioning itself to adapt to these changes, including with the acquisition of Lifoam in October 2024.</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as a percentage of net sales was 27.7% and 30.9%, respectively, for the years ended December 31, 2024 and 2023. The decrease in gross profit as a percentage of net sales in the year ended December 31, 2024 was primarily due to the combination of customer sales mix and fixed cost absorption on the lower level of revenue noted above. Altor recognized $1.6 million in amortization of inventory step-up in the fourth quarter of 2024 related to the purchase price allocation of Lifoam, which further decreased gross profit.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 for the year ended December 31, 2024 was $33.1 million as compared to $ 28.7 million for the year ended December 31, 2023, an increase of $4.4 million. The increase in selling, general and administrative expense for the year ended December 31, 2024 is primarily attributable to the acquisition of Lifoam, including transaction costs of $1.8 million that were incurred related to the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Segment operating income was $21.7 million for the year ended December 31, 2024 as compared to $34.6 million for the year ended December 31, 2023, an decrease of $12.8 million based on the factors noted above.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2023 compared to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year ended December 31, 2023 were $238.0 million, a decrease of $23.3 million, or 8.9%, compared to the year ended December 31, 2022. The decrease in net sales during the period was due to lower volume as compared to the prior year, primarily in construction and building products.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as a percentage of net sales was 30.9% and 22.2%, respectively, for the years ended December 31, 2023 and 2022. The increase in gross profit as a percentage of net sales in the year ended December 31, 2023 was primarily due to the combination of customer sales mix and raw material pricing adjustments.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expense for the year ended December 31, 2023 was $28.7 million as compared to $ 23.0 million for the year ended December 31, 2022, an increase of $5.6 million. The increase in selling, general and administrative expense for the year ended December 31, 2023 is primarily attributable to investments in organizational structure and the implementation of various strategic initiatives.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Segment operating income was $34.6 million for the year ended December 31, 2023 as compared to $24.6 million for the year ended December 31, 2022, an increase of $10.0 million based on the factors noted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Arnold serves a variety of markets including aerospace and defense, general industrial, motorsport/ transportation, oil and gas, medical, energy, semiconductor and advertising specialties. Over the course of more than 100 years, Arnold has successfully evolved and adapted its products, technologies, and manufacturing presence to meet the demands of current and emerging markets. Arnold engineers solutions for and produces high performance permanent magnets (PMAG), stators, rotors and full electric motors ("Ramco"),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 Arnold is the largest and, we believe, the most technically advanced U.S. solutions provider and manufacturer of engineered magnetic systems.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1"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38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r>
      <w:tr>
        <w:trPr>
          <w:trHeight w:val="209"/>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171,837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166,679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153,815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800" w:type="dxa"/>
            <w:vAlign w:val="bottom"/>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46,105</w:t>
            </w:r>
          </w:p>
        </w:tc>
        <w:tc>
          <w:tcPr>
            <w:tcW w:w="760" w:type="dxa"/>
            <w:vAlign w:val="bottom"/>
          </w:tcPr>
          <w:p>
            <w:pPr>
              <w:jc w:val="right"/>
              <w:spacing w:after="0"/>
              <w:rPr>
                <w:sz w:val="20"/>
                <w:szCs w:val="20"/>
                <w:color w:val="auto"/>
              </w:rPr>
            </w:pPr>
            <w:r>
              <w:rPr>
                <w:rFonts w:ascii="Arial" w:cs="Arial" w:eastAsia="Arial" w:hAnsi="Arial"/>
                <w:sz w:val="16"/>
                <w:szCs w:val="16"/>
                <w:color w:val="auto"/>
              </w:rPr>
              <w:t>26.8 %</w:t>
            </w:r>
          </w:p>
        </w:tc>
        <w:tc>
          <w:tcPr>
            <w:tcW w:w="2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49,812</w:t>
            </w:r>
          </w:p>
        </w:tc>
        <w:tc>
          <w:tcPr>
            <w:tcW w:w="760" w:type="dxa"/>
            <w:vAlign w:val="bottom"/>
          </w:tcPr>
          <w:p>
            <w:pPr>
              <w:jc w:val="right"/>
              <w:spacing w:after="0"/>
              <w:rPr>
                <w:sz w:val="20"/>
                <w:szCs w:val="20"/>
                <w:color w:val="auto"/>
              </w:rPr>
            </w:pPr>
            <w:r>
              <w:rPr>
                <w:rFonts w:ascii="Arial" w:cs="Arial" w:eastAsia="Arial" w:hAnsi="Arial"/>
                <w:sz w:val="16"/>
                <w:szCs w:val="16"/>
                <w:color w:val="auto"/>
              </w:rPr>
              <w:t>29.9 %</w:t>
            </w:r>
          </w:p>
        </w:tc>
        <w:tc>
          <w:tcPr>
            <w:tcW w:w="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44,384</w:t>
            </w:r>
          </w:p>
        </w:tc>
        <w:tc>
          <w:tcPr>
            <w:tcW w:w="760" w:type="dxa"/>
            <w:vAlign w:val="bottom"/>
          </w:tcPr>
          <w:p>
            <w:pPr>
              <w:jc w:val="right"/>
              <w:spacing w:after="0"/>
              <w:rPr>
                <w:sz w:val="20"/>
                <w:szCs w:val="20"/>
                <w:color w:val="auto"/>
              </w:rPr>
            </w:pPr>
            <w:r>
              <w:rPr>
                <w:rFonts w:ascii="Arial" w:cs="Arial" w:eastAsia="Arial" w:hAnsi="Arial"/>
                <w:sz w:val="16"/>
                <w:szCs w:val="16"/>
                <w:color w:val="auto"/>
              </w:rPr>
              <w:t>28.9 %</w:t>
            </w:r>
          </w:p>
        </w:tc>
      </w:tr>
      <w:tr>
        <w:trPr>
          <w:trHeight w:val="217"/>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35,557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25,224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24,360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w:t>
            </w:r>
          </w:p>
        </w:tc>
      </w:tr>
      <w:tr>
        <w:trPr>
          <w:trHeight w:val="215"/>
        </w:trPr>
        <w:tc>
          <w:tcPr>
            <w:tcW w:w="380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7,549</w:t>
            </w:r>
          </w:p>
        </w:tc>
        <w:tc>
          <w:tcPr>
            <w:tcW w:w="760" w:type="dxa"/>
            <w:vAlign w:val="bottom"/>
          </w:tcPr>
          <w:p>
            <w:pPr>
              <w:jc w:val="right"/>
              <w:spacing w:after="0"/>
              <w:rPr>
                <w:sz w:val="20"/>
                <w:szCs w:val="20"/>
                <w:color w:val="auto"/>
              </w:rPr>
            </w:pPr>
            <w:r>
              <w:rPr>
                <w:rFonts w:ascii="Arial" w:cs="Arial" w:eastAsia="Arial" w:hAnsi="Arial"/>
                <w:sz w:val="16"/>
                <w:szCs w:val="16"/>
                <w:color w:val="auto"/>
              </w:rPr>
              <w:t>4.4 %</w:t>
            </w:r>
          </w:p>
        </w:tc>
        <w:tc>
          <w:tcPr>
            <w:tcW w:w="2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21,587</w:t>
            </w:r>
          </w:p>
        </w:tc>
        <w:tc>
          <w:tcPr>
            <w:tcW w:w="760" w:type="dxa"/>
            <w:vAlign w:val="bottom"/>
          </w:tcPr>
          <w:p>
            <w:pPr>
              <w:jc w:val="right"/>
              <w:spacing w:after="0"/>
              <w:rPr>
                <w:sz w:val="20"/>
                <w:szCs w:val="20"/>
                <w:color w:val="auto"/>
              </w:rPr>
            </w:pPr>
            <w:r>
              <w:rPr>
                <w:rFonts w:ascii="Arial" w:cs="Arial" w:eastAsia="Arial" w:hAnsi="Arial"/>
                <w:sz w:val="16"/>
                <w:szCs w:val="16"/>
                <w:color w:val="auto"/>
              </w:rPr>
              <w:t>13.0 %</w:t>
            </w:r>
          </w:p>
        </w:tc>
        <w:tc>
          <w:tcPr>
            <w:tcW w:w="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16,700</w:t>
            </w:r>
          </w:p>
        </w:tc>
        <w:tc>
          <w:tcPr>
            <w:tcW w:w="760" w:type="dxa"/>
            <w:vAlign w:val="bottom"/>
          </w:tcPr>
          <w:p>
            <w:pPr>
              <w:jc w:val="right"/>
              <w:spacing w:after="0"/>
              <w:rPr>
                <w:sz w:val="20"/>
                <w:szCs w:val="20"/>
                <w:color w:val="auto"/>
              </w:rPr>
            </w:pPr>
            <w:r>
              <w:rPr>
                <w:rFonts w:ascii="Arial" w:cs="Arial" w:eastAsia="Arial" w:hAnsi="Arial"/>
                <w:sz w:val="16"/>
                <w:szCs w:val="16"/>
                <w:color w:val="auto"/>
              </w:rPr>
              <w:t>10.9 %</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2024 compared to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year ended December 31, 2024 were approximately $ 171.8 million, an increase of $5.2 million compared to the same period in 2023. The increase in net sales is primarily a result of increased demand in several markets including aerospace and defense and oil and gas, partially offset by lower demand in the industrial and transportation markets. International sales were $52.8 million and $51.1 million for the years ended December 31, 2024 and 2023, respectively, an increase of $1.8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was $46.1 million for the year ended December 31, 2024 as compared to $49.8 million for the same period in 2023. Gross profit as a percentage of net sales decreased to 26.8% in 2024 from 29.9% in 2023, principally due to higher staffing related costs and non-recurring move related costs of two of our facilities in the United States.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expense in the year ended December 31, 2024 was $35.6 million as compared to approximately $25.2 million for the year ended December 31, 2023. The increase in selling general and administrative expense was related to non-recurring move related expenses, increased information technology costs and outside service costs.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expense represented 20.7% of net sales for the year ended December 31, 2024 as compared to 15.1% for the same period in 2023. The increase in selling, general and administrative expense as a percentage of net sales was due to non-recurring move related expense. The incurrence of the move related expenses was substantially complete in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Arnold had segment operating income of approximately $7.5 million for the year ended December 31, 2024, as compared to segment operating income of $21.6 million for the year ended December 31, 2023, a decrease of $14.0 million year over year based on the factors stated above.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2023 compared to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year ended December 31, 2023 were approximately $166.7 million, an increase of $12.9 million compared to the same period in 2022. The increase in net sales is primarily a result of increased demand in several markets including aerospace and defense, and industrial. International sales were $51.1 million and $47.9 million for the years ended December 31, 2023 and 2022, respectively, an increase of $3.2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Gross profit was $49.8 million for the year ended December 31, 2023 as compared to $ 44.4 million for the same period in 2022. Gross profit as a percentage of net sales increased to 29.9% in 2023 from 28.9% in 2022, principally due to product mix and operational improvements.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 in the year ended December 31, 2023 was $25.2 million as compared to approximately $24.4 million for the year ended December 31, 2022. The increase in selling general and administrative expense was due to increased staffing related costs and increased travel and legal expenses. Selling, general and administrative expense represented 15.1% of net sales for the year ended December 31, 2023 as compared to 15.8% for the same period in 2022. The decrease in selling, general and administrative expense as a percentage of net sales was due to overall higher sales volume as compared to the prior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Arnold had segment operating income of approximately $21.6 million for the year ended December 31, 2023, as compared to segment operating income of $16.7 million for the year ended December 31, 2022, an increase of $4.9 million year over year based on the factors stated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Sterno, headquartered in Plano, Texas, is the parent company of Sterno, LLC ("Sterno Products") and Rimports Inc. ("Rimports"). Sterno is a leading manufacturer and marketer of portable food warming systems. Sterno also produces creative indoor and outdoor lighting and home fragrance solutions for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1"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37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r>
      <w:tr>
        <w:trPr>
          <w:trHeight w:val="21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820" w:type="dxa"/>
            <w:vAlign w:val="bottom"/>
            <w:tcBorders>
              <w:bottom w:val="single" w:sz="8" w:color="auto"/>
            </w:tcBorders>
          </w:tcPr>
          <w:p>
            <w:pPr>
              <w:spacing w:after="0"/>
              <w:rPr>
                <w:sz w:val="18"/>
                <w:szCs w:val="18"/>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318,448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323,830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352,152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85,183</w:t>
            </w:r>
          </w:p>
        </w:tc>
        <w:tc>
          <w:tcPr>
            <w:tcW w:w="820" w:type="dxa"/>
            <w:vAlign w:val="bottom"/>
          </w:tcPr>
          <w:p>
            <w:pPr>
              <w:jc w:val="right"/>
              <w:spacing w:after="0"/>
              <w:rPr>
                <w:sz w:val="20"/>
                <w:szCs w:val="20"/>
                <w:color w:val="auto"/>
              </w:rPr>
            </w:pPr>
            <w:r>
              <w:rPr>
                <w:rFonts w:ascii="Arial" w:cs="Arial" w:eastAsia="Arial" w:hAnsi="Arial"/>
                <w:sz w:val="16"/>
                <w:szCs w:val="16"/>
                <w:color w:val="auto"/>
              </w:rPr>
              <w:t>26.7 %</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78,514</w:t>
            </w:r>
          </w:p>
        </w:tc>
        <w:tc>
          <w:tcPr>
            <w:tcW w:w="800" w:type="dxa"/>
            <w:vAlign w:val="bottom"/>
          </w:tcPr>
          <w:p>
            <w:pPr>
              <w:jc w:val="right"/>
              <w:spacing w:after="0"/>
              <w:rPr>
                <w:sz w:val="20"/>
                <w:szCs w:val="20"/>
                <w:color w:val="auto"/>
              </w:rPr>
            </w:pPr>
            <w:r>
              <w:rPr>
                <w:rFonts w:ascii="Arial" w:cs="Arial" w:eastAsia="Arial" w:hAnsi="Arial"/>
                <w:sz w:val="16"/>
                <w:szCs w:val="16"/>
                <w:color w:val="auto"/>
              </w:rPr>
              <w:t>24.2 %</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79"/>
              <w:spacing w:after="0"/>
              <w:rPr>
                <w:sz w:val="20"/>
                <w:szCs w:val="20"/>
                <w:color w:val="auto"/>
              </w:rPr>
            </w:pPr>
            <w:r>
              <w:rPr>
                <w:rFonts w:ascii="Arial" w:cs="Arial" w:eastAsia="Arial" w:hAnsi="Arial"/>
                <w:sz w:val="16"/>
                <w:szCs w:val="16"/>
                <w:color w:val="auto"/>
              </w:rPr>
              <w:t>67,426</w:t>
            </w:r>
          </w:p>
        </w:tc>
        <w:tc>
          <w:tcPr>
            <w:tcW w:w="820" w:type="dxa"/>
            <w:vAlign w:val="bottom"/>
          </w:tcPr>
          <w:p>
            <w:pPr>
              <w:jc w:val="right"/>
              <w:spacing w:after="0"/>
              <w:rPr>
                <w:sz w:val="20"/>
                <w:szCs w:val="20"/>
                <w:color w:val="auto"/>
              </w:rPr>
            </w:pPr>
            <w:r>
              <w:rPr>
                <w:rFonts w:ascii="Arial" w:cs="Arial" w:eastAsia="Arial" w:hAnsi="Arial"/>
                <w:sz w:val="16"/>
                <w:szCs w:val="16"/>
                <w:color w:val="auto"/>
              </w:rPr>
              <w:t>19.1 %</w:t>
            </w: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38,126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36,713</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30,594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Segment 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31,446</w:t>
            </w:r>
          </w:p>
        </w:tc>
        <w:tc>
          <w:tcPr>
            <w:tcW w:w="820" w:type="dxa"/>
            <w:vAlign w:val="bottom"/>
          </w:tcPr>
          <w:p>
            <w:pPr>
              <w:jc w:val="right"/>
              <w:spacing w:after="0"/>
              <w:rPr>
                <w:sz w:val="20"/>
                <w:szCs w:val="20"/>
                <w:color w:val="auto"/>
              </w:rPr>
            </w:pPr>
            <w:r>
              <w:rPr>
                <w:rFonts w:ascii="Arial" w:cs="Arial" w:eastAsia="Arial" w:hAnsi="Arial"/>
                <w:sz w:val="16"/>
                <w:szCs w:val="16"/>
                <w:color w:val="auto"/>
              </w:rPr>
              <w:t>9.9 %</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24,852</w:t>
            </w:r>
          </w:p>
        </w:tc>
        <w:tc>
          <w:tcPr>
            <w:tcW w:w="800" w:type="dxa"/>
            <w:vAlign w:val="bottom"/>
          </w:tcPr>
          <w:p>
            <w:pPr>
              <w:jc w:val="right"/>
              <w:spacing w:after="0"/>
              <w:rPr>
                <w:sz w:val="20"/>
                <w:szCs w:val="20"/>
                <w:color w:val="auto"/>
              </w:rPr>
            </w:pPr>
            <w:r>
              <w:rPr>
                <w:rFonts w:ascii="Arial" w:cs="Arial" w:eastAsia="Arial" w:hAnsi="Arial"/>
                <w:sz w:val="16"/>
                <w:szCs w:val="16"/>
                <w:color w:val="auto"/>
              </w:rPr>
              <w:t>7.7 %</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79"/>
              <w:spacing w:after="0"/>
              <w:rPr>
                <w:sz w:val="20"/>
                <w:szCs w:val="20"/>
                <w:color w:val="auto"/>
              </w:rPr>
            </w:pPr>
            <w:r>
              <w:rPr>
                <w:rFonts w:ascii="Arial" w:cs="Arial" w:eastAsia="Arial" w:hAnsi="Arial"/>
                <w:sz w:val="16"/>
                <w:szCs w:val="16"/>
                <w:color w:val="auto"/>
              </w:rPr>
              <w:t>19,801</w:t>
            </w:r>
          </w:p>
        </w:tc>
        <w:tc>
          <w:tcPr>
            <w:tcW w:w="820" w:type="dxa"/>
            <w:vAlign w:val="bottom"/>
          </w:tcPr>
          <w:p>
            <w:pPr>
              <w:jc w:val="right"/>
              <w:spacing w:after="0"/>
              <w:rPr>
                <w:sz w:val="20"/>
                <w:szCs w:val="20"/>
                <w:color w:val="auto"/>
              </w:rPr>
            </w:pPr>
            <w:r>
              <w:rPr>
                <w:rFonts w:ascii="Arial" w:cs="Arial" w:eastAsia="Arial" w:hAnsi="Arial"/>
                <w:sz w:val="16"/>
                <w:szCs w:val="16"/>
                <w:color w:val="auto"/>
              </w:rPr>
              <w:t>5.6 %</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2024 compared to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year ended December 31, 2024 were approximately $318.4 million, a decrease of $5.4 million or 1.7% compared to net sales for the year ended December 31, 2023. The net sales variance reflects lower sales due to increased competition in the market as well as changes in consumer discretionary buying behaviors at Rimports as a result of inflationary pressures.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Gross profit was $85.2 million for the year ended December 31, 2024 as compared to $78.5 million for the same period in 2023. Gross profit as a percentage of net sales increased from 24.2% for the year ended December 31, 2023 to 26.7% for the year ended December 31, 2024.</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gross profit as a percentage of net revenue during 2024 as compared to 2023 was primarily attributable to favorable direct materials, labor and freight costs across both divisions of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 for the year ended December 31, 2024 was approximately $38.1 million as compared to $36.7 million in the year ended December 31, 2023, an increase of $1.4 million or 3.8%, reflecting an increase in sales and marketing related salaries and promotional activity for both divisions of the company in the current year. Selling, general and administrative expense represented 12.0% of net sales for the year ended December 31, 2024 and 11.3% for the year ended December 31, 2023.</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Segment operating income for the year ended December 31, 2024 was approximately $31.4 million, an increase of $6.6 million when compared to the same period in 2023, based on the factors noted above.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2023 compared to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year ended December 31, 2023 were approximately $323.8 million, a decrease of $28.3 million or 8.0% compared to net sales for the year ended December 31, 2022. The net sales variance reflects lower sales due to increased competition in the market as well as changes in consumer discretionary buying behaviors at Rimports as a result of inflationary pressures.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was $78.5 million for the year ended December 31, 2023 as compared to $67.4 million for the same period in 2022. The increase in gross profit during 2023 as compared to 2022 was primarily attributable to lower freight costs and favorable material costs across the businesses and the effect of a price increase at Sterno Products. Gross profit as a percentage of net sales increased from 19.1% for the year ended December 31, 2022 to 24.2% for the same period ended December 31,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general and administrative expense for the year ended December 31, 2023 was approximately $36.7 million as compared to $ 30.6 million in the year ended December 31, 2022, an increase of $6.1 million or 20.0%, reflecting an increase in marketing expense, salaries and benefits for both divisions of the company in the current year. Selling, general and administrative expense represented 11.3% of net sales for the year ended December 31, 2023 and 8.7% for the year ended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operating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Segment operating income for the year ended December 31, 2023 was approximately $24.9 million, an increase of $5.1 million when compared to the same period in 2022, based on the factors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generate cash primarily from the operations of our subsidiaries, and we have the ability to borrow under our 2022 Credit Facility to fund our operating, investing and financing activities. On September 5, 2024, we refreshed our at-the-market program for the common shares of the Trust, which was initially established in 2021, by filing a prospectus supplement pursuant to which we may, but we have no obligation to, issue and sell up to $500 million of the common shares of the Trust in amounts and at times to be determined by us. On September 5, 2024, we refreshed our at-the-market program for preferred shares of the Trust, which was initially established in the first quarter of 2024, by filing a prospectus supplement pursuant to which we may, but we have no obligation to, issue and sell up to $200 million of the Series A, Series B and Series C preferred shares of the Trust in amounts and at times to be determined by us. Actual sales of both the Trust common and preferred shares will depend on a variety of factors to be determined by us from time to time, including, market conditions, the trading price of Trust common and preferred shares and determinations by us regarding appropriate sources of funding. Our principal uses of cash are operating expenses, payment of management fees, capital expenditures, working capital needs, debt service, dividends on the common and preferred shares of the Trust, and strategic growth initiatives, including acquisitions. We had total available cash and cash equivalents of $59.7 million and $446.7 million as of December 31, 2024 and 2023, respectively. In November 2023, we sold our Marucci subsidiary, receiving approximately $484.0 million of total proceeds at closing. A portion of the proceeds from the Marucci sale were used to pay down outstanding debt under the Company’s 2022 Revolving Credit Facility and the remaining amount was held in short term investment and savings accounts at December 31, 2023. On January 31, 2024, the Company completed the acquisition of The Honey Pot Co. using cash held on our balance sheet.</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2024, we had $1 billion of indebtedness associated with our 5.250% 2029 Notes, $300 million of indebtedness associated with our 5.000% 2032 Notes, and $375 million outstanding on our 2022 Term Loan, and $ 110 million outstanding on our 2022 Revolving Credit Facility. Only our 2022 Term Loan has required principal payments. Long-term debt liquidity requirements consist of the payment in full of our Notes upon their respective maturity dates, amounts outstanding under our 2022 Revolving Credit Facility, if any, upon its maturity date, and principal payments under our 2022 Term Loan. The 2022 Term Loan requires quarterly payments ranging from $2.5 million to $7.5 million, commencing September 30, 2022, with a final payment of all remaining principal and interest due on July 12, 2027, which is the 2022 Term Loan’s maturity date. On December 31, 2024, approximately 27.2% of our outstanding debt was subject to interest rate changes. In January 2025, we entered into an amendment of the 2022 Credit Facility to provide for (a) an additional advance of the term loan in the aggregate amount of $200 million on the date of the amendment, and (b) delayed draw term loan commitments in the aggregate amount of $100 million, which may be reduced or terminated by the Company upon five business days’ notice and pursuant to which the Company may make no more than two draws by July 9, 2025. The initial $200 million draw was used to reduce the amount outstanding under the 2022 Revolving Credit Facility and for general corporate purposes.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activity for the years presented:</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540" w:type="dxa"/>
            <w:vAlign w:val="bottom"/>
            <w:tcBorders>
              <w:top w:val="single" w:sz="8" w:color="auto"/>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1280" w:type="dxa"/>
            <w:vAlign w:val="bottom"/>
            <w:tcBorders>
              <w:top w:val="single" w:sz="8" w:color="auto"/>
              <w:bottom w:val="single" w:sz="8" w:color="auto"/>
            </w:tcBorders>
          </w:tcPr>
          <w:p>
            <w:pPr>
              <w:spacing w:after="0"/>
              <w:rPr>
                <w:sz w:val="19"/>
                <w:szCs w:val="19"/>
                <w:color w:val="auto"/>
              </w:rPr>
            </w:pPr>
          </w:p>
        </w:tc>
      </w:tr>
      <w:tr>
        <w:trPr>
          <w:trHeight w:val="20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operating activities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78,080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(28,293)</w:t>
            </w:r>
          </w:p>
        </w:tc>
      </w:tr>
      <w:tr>
        <w:trPr>
          <w:trHeight w:val="215"/>
        </w:trPr>
        <w:tc>
          <w:tcPr>
            <w:tcW w:w="5140" w:type="dxa"/>
            <w:vAlign w:val="bottom"/>
          </w:tcPr>
          <w:p>
            <w:pPr>
              <w:ind w:left="20"/>
              <w:spacing w:after="0"/>
              <w:rPr>
                <w:sz w:val="20"/>
                <w:szCs w:val="20"/>
                <w:color w:val="auto"/>
              </w:rPr>
            </w:pPr>
            <w:r>
              <w:rPr>
                <w:rFonts w:ascii="Arial" w:cs="Arial" w:eastAsia="Arial" w:hAnsi="Arial"/>
                <w:sz w:val="16"/>
                <w:szCs w:val="16"/>
                <w:color w:val="auto"/>
              </w:rPr>
              <w:t>Cash (used in) provided by investing activities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(422,450)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570,503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(626,723)</w:t>
            </w:r>
          </w:p>
        </w:tc>
      </w:tr>
      <w:tr>
        <w:trPr>
          <w:trHeight w:val="217"/>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(260,163)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556,885</w:t>
            </w:r>
          </w:p>
        </w:tc>
      </w:tr>
      <w:tr>
        <w:trPr>
          <w:trHeight w:val="215"/>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w:t>
            </w:r>
          </w:p>
        </w:tc>
      </w:tr>
      <w:tr>
        <w:trPr>
          <w:trHeight w:val="23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(390,750)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389,206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(99,462)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2024</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used in operating activities totaled approximately $67.6 million for the year ended December 31, 2024, which represents an increase in the use of cash in operating activities of $145.7 million compared to cash flow provided by operating activities of $78.1 million for the year ended December 31, 2023. A majority of the increase in cash used in operating activities was due to an increase in cash used for working capital in 2024. Cash used in operating activities for working capital for the year ended December 31, 2024 was $292.9 million, as compared to cash used in operating activities for working capital of $160.3 million for the year ended December 31, 2023. In the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01" w:name="page102"/>
    <w:bookmarkEnd w:id="101"/>
    <w:p>
      <w:pPr>
        <w:jc w:val="both"/>
        <w:spacing w:after="0" w:line="259" w:lineRule="auto"/>
        <w:rPr>
          <w:sz w:val="20"/>
          <w:szCs w:val="20"/>
          <w:color w:val="auto"/>
        </w:rPr>
      </w:pPr>
      <w:r>
        <w:rPr>
          <w:rFonts w:ascii="Arial" w:cs="Arial" w:eastAsia="Arial" w:hAnsi="Arial"/>
          <w:sz w:val="18"/>
          <w:szCs w:val="18"/>
          <w:color w:val="auto"/>
        </w:rPr>
        <w:t>current year, the increase in the cash used in operations is primarily attributable to our Lugano subsidiary, which has experienced significant revenue growth in 2024, and the acquisition of The Honey Pot Co. in January 2024. The decrease in the use of cash for working capital in the year ended December 31, 2023 primarily reflected inventory management strategies, as several of our businesses worked through higher inventory levels than normal during 2023. In 2022, these businesses substantially increased inventory levels to combat supply chain issues given longer lead times, resulting in higher cash outflows throughout that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2023</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provided by operating activities totaled approximately $78.1 million for the year ended December 31, 2023, which represents an increase of $106.4 million compared to cash flow used in operating activities of $28.3 million for the year ended December 31, 2022. A majority of the increase in cash provided by operating activities was due to a decrease in cash used for working capital in 2023. Cash used in operating activities for working capital for the year ended December 31, 2023 was $ 153.3 million, as compared to cash used in operating activities for working capital of $224.6 million for the year ended December 31, 2022. The decrease in the use of cash for working capital in the year ended December 31, 2023 primarily reflects inventory management strategies, as several of our businesses worked through higher inventory levels than normal during 2023. In 2022, these businesses substantially increased inventory levels to combat supply chain issues given longer lead times, resulting in higher cash outflows throughout the year. The use of cash for working capital also reflects significant inventory build at Lugano during both 2022 and 2023. Lugano used significant cash to build inventory to support its sales growth strategy in both 2022 and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used in operating activities totaled approximately $28.3 million for the year ended December 31, 2022, which represents a decrease of $162.3 million compared to cash flow provided by operating activities of $134.1 million for the year ended December 31, 2021. The decrease in cash flows in 2022 was primarily attributable to an increase in cash used for working capital. Cash used in operating activities for working capital for the year ended December 31, 2022 was $252.4 million, as compared to cash used in operating activities for working capital of $83.8 million for the year ended December 31, 2021. We typically have a higher usage of cash for working capital in the first half of the year as most of our companies will build up inventories after the fourth quarter; however, in 2022, several of our subsidiary businesses substantially increased inventory levels to combat supply chain issues given longer lead times, resulting in higher cash outflows throughout the year. The increase in cash used in operating activities for working capital in 2022 also reflects the acquisition of Lugano in the third quarter of the prior year. Lugano has used significant cash to build inventory to support its sales growth strategy (approximately $104.5 million in cash used for inventory purchases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2024</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used in investing activities totaled approximately $422.5 million for the year ended December 31, 2024, compared to $570.5 million provided by investing activities during the year ended December 31, 2023. Investing activities in 2024 reflects our acquisition of The Honey Pot Co. in January 2024, and an add-on acquisition at our Altor business (total cash use of $517.9 million, offset by proceeds received from the sale of the Crosman division of Velocity Outdoor and our equity in Ergobaby (total proceeds of $ 74.7 million)). Investing activities in the year ended December 31, 2023 reflect the proceeds received from our sale of Advanced Circuits in February 2023 and Marucci in November 2023 (total proceeds of $500.3 million).</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spending on capital expenditures increased $1.7 million during the year ended December 31, 2024 as compared to the year ended December 31, 2023, with $56.7 million in capital expenditures in 2024 and $ 55.0 million in capital expenditures in 2023. Capital expenditures in 2024 included significant investment at our Arnold business related to a facility move, and the opening of additional retail salons by our Lugano business. We expect capital expenditures for fiscal year 2025 to be approximately $80 million to $90 million.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u w:val="single" w:color="auto"/>
          <w:color w:val="auto"/>
        </w:rPr>
        <w:t>2023</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provided by investing activities totaled approximately $570.5 million for the year ended December 31, 2023, compared to $ 626.7 million used in investing activities during the year ended December 31, 2022. Investing activities in the year ended December 31, 2023 reflect the proceeds received from our sale of Advanced Circuits in February 2023 and Marucci in November 2023 (total proceeds of $500.3 million). The cash flows used in investing activities in 2022 reflect our acquisition of PrimaLoft in the third quarter of 2022, and a small add-on acquisition at our Velocity business. The total amount of cash used for acquisitions in 2022 totaled $570.5 million (including $1.5 million in cash used for acquisitions that is included in discontinued operations).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spending on capital expenditures decreased $5.2 million during the year ended December 31, 2023 as compared to the year ended December 31, 2022, with $55.8 million in capital expenditures in 2023 and $61.0 million in capital expenditures in 2022. The decrease in capital expenditures is primarily due to the number of new retail stores opened at 5.11 in 2023 compared to 2022 (13 stores opened in 2023 and 25 in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flows used in investing activities totaled approximately $626.7 million for the year ended December 31, 2022, compared to $317.5 million used in investing activities during the year ended December 31, 2021. Investing activities in 2022 reflected our acquisition of PrimaLoft in the third quarter of 2022, and a small add-on acquisition at our Velocity business. The total amount of cash used for acquisitions in 2022 totaled $ 570.5 million. Investing activities in 2021 reflected our acquisition of Lugano in September 2021, plus add-on acquisitions at Arnold (Ramco), Altor Solutions (Plymouth Foam) and Marucci (Lizard Skins) for total cash used in acquisitions of $404.3 million. The cash flows used in investing activities in the prior year was offset by the proceeds received from our sale of Liberty Safe in August 2021 ($101.0 million in proceeds).</w:t>
      </w:r>
    </w:p>
    <w:p>
      <w:pPr>
        <w:spacing w:after="0" w:line="7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spending on capital expenditures increased $23.7 million during the year ended December 31, 2022 as compared to the year ended December 31, 2021, with $64.3 million in capital expenditures in 2022 and $40.6 million in capital expenditures in 2021. The increase in capital expenditures was primarily to support the retail store growth at both 5.11 and Lugano.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2024</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provided by financing activities totaled approximately $100.6 million for the year ended December 31, 2024, as compared to cash flows used in financing activities of $260.2 million for the year ended December 31, 2023. Financing activities in 2024 reflects $122.6 million in proceeds from the Trust common and preferred shares issued under our at-the-market share offering programs, and net draws on our 2022 Credit Facility of $100 million. In 2023, we used the proceeds from the sale of our Marucci business to repay the amount outstanding on our 2022 Revolving Credit Facility ($155 million in net outflows). Financing activities in 2024 and 2023 reflect the payment of our common and preferred share distributions, and a distribution to our allocation interests holders of $48.9 million in 2024 related to the November 2023 sale of Marucci, and $26.5 million in 2023 related to our sale of ACI. Financing activities in 2024 and 2023 also reflected $9.6 million and $9.3 million, respectively in purchases under our share repurchase program, and $7.7 million in proceeds in 2023 from a private placement completed in the fourth quarter. Additionally, financing activities in 2023 reflects cash paid to noncontrolling shareholders related to our recapitalization of BOA in December 2023 ($11.7 million in distributions to noncontrolling shareholders at BOA).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2023</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used in financing activities totaled approximately $260.2 million for the year ended December 31, 2023, as compared to cash flows provided by financing activities of $556.9 million for the year ended December 31, 2022. In 2023, we used the proceeds from the sale of our Marucci business to repay the amount outstanding on our 2022 Revolving Credit Facility ($155 million in net outflows). Financing activities in 2023 reflects $ 9.3 million in purchases under our share repurchase program, and $74.3 million in proceeds from a private placement completed in the fourth quarter. Financing activities in 2023 reflect the payment of our common and preferred share distributions, and a distribution to our Allocation Interests holders of $26.5 million related to our sale of ACI. Additionally, financing activities in 2023 reflects cash paid to noncontrolling shareholders related to our recapitalization of BOA in December 2023 ($11.7 million in distributions to noncontrolling shareholders at BOA).</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u w:val="single" w:color="auto"/>
          <w:color w:val="auto"/>
        </w:rPr>
        <w:t>2022</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provided by financing activities totaled approximately $556.9 million for the year ended December 31, 2022, as compared to cash flows provided by financing activities of $273.2 million for the year ended December 31, 2021. During the year ended December 31, 2022, we entered into our 2022 Credit Facility which provides for a $400 million term loan. The net amount of cash provided by debt proceeds under our 2022 Credit Facility in 2022, including the 2022 Term Loan and draws on our revolving credit facility, was $550.0 million, which was used primarily to fund our acquisition of PrimaLoft in July 2022. Financing activities also reflect the payment of our common and preferred share distributions. Additionally, financing activities in 2022 reflects cash received from noncontrolling shareholders related to our acquisition of PrimaLoft in 2022 ($35.3 million in cash proceeds provided by noncontrolling shareholders), and paid to noncontrolling shareholders related to our recapitalization of Ergobaby in February 2022 ($ 11.3 million in distributions to noncontrolling shareholders at Ergobaby). In September 2021, we filed a prospectus supplement and entered into a Sales Agreement for an At-the-Market program pursuant to which we may sell common shares of the Trust. We received $83.9 million in net cash proceeds from the sale of Trust common shares under this program in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Liabilities and Intercompany loans to our businesses</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the total liabilities and intercompany debt of our business as of December 31, 2024:</w:t>
      </w:r>
    </w:p>
    <w:p>
      <w:pPr>
        <w:spacing w:after="0" w:line="197"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33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Intercompany Loans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59"/>
              <w:spacing w:after="0"/>
              <w:rPr>
                <w:sz w:val="20"/>
                <w:szCs w:val="20"/>
                <w:color w:val="auto"/>
              </w:rPr>
            </w:pPr>
            <w:r>
              <w:rPr>
                <w:rFonts w:ascii="Arial" w:cs="Arial" w:eastAsia="Arial" w:hAnsi="Arial"/>
                <w:sz w:val="15"/>
                <w:szCs w:val="15"/>
                <w:b w:val="1"/>
                <w:bCs w:val="1"/>
                <w:color w:val="auto"/>
              </w:rPr>
              <w:t>Total Liabilities</w:t>
            </w:r>
          </w:p>
        </w:tc>
      </w:tr>
      <w:tr>
        <w:trPr>
          <w:trHeight w:val="210"/>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132,159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309,564</w:t>
            </w:r>
          </w:p>
        </w:tc>
      </w:tr>
      <w:tr>
        <w:trPr>
          <w:trHeight w:val="215"/>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BOA</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168,251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232,840</w:t>
            </w:r>
          </w:p>
        </w:tc>
      </w:tr>
      <w:tr>
        <w:trPr>
          <w:trHeight w:val="217"/>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716,599</w:t>
            </w:r>
          </w:p>
        </w:tc>
      </w:tr>
      <w:tr>
        <w:trPr>
          <w:trHeight w:val="215"/>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PrimaLoft</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156,600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211,251</w:t>
            </w:r>
          </w:p>
        </w:tc>
      </w:tr>
      <w:tr>
        <w:trPr>
          <w:trHeight w:val="217"/>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Honey Pot Co.</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142,711</w:t>
            </w:r>
          </w:p>
        </w:tc>
      </w:tr>
      <w:tr>
        <w:trPr>
          <w:trHeight w:val="215"/>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Velocity Outdoor</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48,350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57,692</w:t>
            </w:r>
          </w:p>
        </w:tc>
      </w:tr>
      <w:tr>
        <w:trPr>
          <w:trHeight w:val="217"/>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Altor Solutions</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274,460</w:t>
            </w:r>
          </w:p>
        </w:tc>
      </w:tr>
      <w:tr>
        <w:trPr>
          <w:trHeight w:val="215"/>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75,627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124,841</w:t>
            </w:r>
          </w:p>
        </w:tc>
      </w:tr>
      <w:tr>
        <w:trPr>
          <w:trHeight w:val="216"/>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77,142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149,415</w:t>
            </w:r>
          </w:p>
        </w:tc>
      </w:tr>
      <w:tr>
        <w:trPr>
          <w:trHeight w:val="209"/>
        </w:trPr>
        <w:tc>
          <w:tcPr>
            <w:tcW w:w="3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1,580,141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2,219,373</w:t>
            </w:r>
          </w:p>
        </w:tc>
      </w:tr>
      <w:tr>
        <w:trPr>
          <w:trHeight w:val="210"/>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(1,580,141)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269,985</w:t>
            </w:r>
          </w:p>
        </w:tc>
      </w:tr>
      <w:tr>
        <w:trPr>
          <w:trHeight w:val="210"/>
        </w:trPr>
        <w:tc>
          <w:tcPr>
            <w:tcW w:w="330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2,489,358</w:t>
            </w:r>
          </w:p>
        </w:tc>
      </w:tr>
      <w:tr>
        <w:trPr>
          <w:trHeight w:val="20"/>
        </w:trPr>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loan has a scheduled maturity and each business is entitled to repay all or a portion of the principal amount of the outstanding loans, without penalty, prior to maturity. 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the businesses that we acquire and manage allows us the ability to distribute cash to the parent company through monthly interest payments and amortization of the principle on these intercompany loans. Certain of our businesses have paid down their respective intercompany debt balances through the cash flow generated by these businesses and we have recapitalized, and expect to continue to recapitalize, these businesses in the normal course of our business. The recapitalization process involves funding the intercompany debt using either cash on hand at the parent or our revolving credit facility, and serves the purpose of optimizing the capital structure at our subsidiaries and providing the noncontrolling shareholders with a distribution on their ownership interest in a cash flow positive business.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made several amendments to the Lugano intercompany credit agreement to allow Lugano to continue to expand its operations and build inventory to support its salon expansion. Amendments were made to the Lugano intercompany credit agreement in the first, second, third and fourth quarter of 2024, the second, third and fourth quarter of 2023 and the second and fourth quarter of 2022. We expect to continue to fund Lugano to support profitable sales growth.</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first quarter of 2024, we amended the PrimaLoft intercompany credit agreement to amend the fixed charge ratio and leverage ratio covenants contained within its intercompany credit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04" w:name="page105"/>
    <w:bookmarkEnd w:id="104"/>
    <w:p>
      <w:pPr>
        <w:jc w:val="both"/>
        <w:spacing w:after="0" w:line="268" w:lineRule="auto"/>
        <w:rPr>
          <w:sz w:val="20"/>
          <w:szCs w:val="20"/>
          <w:color w:val="auto"/>
        </w:rPr>
      </w:pPr>
      <w:r>
        <w:rPr>
          <w:rFonts w:ascii="Arial" w:cs="Arial" w:eastAsia="Arial" w:hAnsi="Arial"/>
          <w:sz w:val="18"/>
          <w:szCs w:val="18"/>
          <w:color w:val="auto"/>
        </w:rPr>
        <w:t>In the second quarter of 2024, we amended the Velocity intercompany credit agreement to reflect the sale of the Crosman division. The amendment revises the principal payments due under the credit facility and waives the fixed charge coverage covenant for the quarters ended June 30, 2024 and September 30, 2024.</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third quarter of 2024, we amended the Arnold intercompany credit agreement to increase the amount of the term loan outstanding under the credit agreement and to increase the amount of capital expenditures permitted under the credit agreement. Arnold was in the process of relocating two of their product divisions to a new facility and expected to incur approximately $10 million in capital expenditures and $ 7 - $8 million in expenses during the third and fourth quarter of 2024 and the first quarter of 2025, with a majority of the spend in the fourth quarter of 2024. Arnold exceeded the capital expenditure spend that was permitted under the amendment and was granted a waiver at December 31, 2024.</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fourth quarter of 2024, we amended the Altor intercompany credit agreement to increase the amount of the term loan to finance the acquisition of Lifoam on October 1, 2024, and extended the term of the intercompany credit agreement by an additional three years.</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second quarter of 2023, we amended the Velocity intercompany credit agreement to extend the term of the facility and to increase the borrowing availability under the facility.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fourth quarter of 2023, we amended the Ergo Credit Agreement to permit the fixed charge coverage ratio to remain at the September 30, 2023 level through the period ending December 31, 2024.</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2023, we completed a recapitalization at BOA whereby the LLC entered into an amendment to the intercompany loan agreement with BOA (the "BOA Credit Agreement"). The BOA Credit Agreement was amended to provide for additional term loan borrowings of $165.9 million to fund a distribution to shareholders. The LLC received a distribution of $131.0 million related to their ownership of the outstanding shares of BOA on the date of the distribution. Noncontrolling shareholders received a distribution of $11.7 million, and the remaining amount of the recapitalization was used to repurchase employee stock options and to pay a bonus to employees who held phantom stock options and were not eligible to participate in the distribution to noncontrolling shareholders. BOA recorded compensation expense of $3.1 million related to the bonus paid to employees as part of the recapitalization.</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2022, we amended the 5.11 Credit agreement to increase the capital expenditures allowable under the agreement to account for additional growth capital expenditure opportunities primarily related to retail expansion, and amended the financial covenants to reflect the increased allowable expenditure. The 5.11 credit agreement was amended again in both the third and fourth quarters of 2022 to increase the amount available under the revolving credit facility, as well as to increase the capital expenditures allowable under the credit agreement.</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third quarter of 2022, we amended the Velocity intercompany credit agreement to increase the amount of the Velocity term loan to allow for the financing of an add-on acquisition. Additionally, during the third quarter of 2022, we amended the Altor credit agreement to allow for additional capital expenditures related to Altor's Ohio plant relocation.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of our subsidiaries were in compliance with the financial covenants included within their intercompany credit arrangements at December 31, 2024 except Velocity and Arnold. Velocity was issued a waiver for the fourth quarter of 2024 related to the fixed charge coverage ratio in their intercompany credit agreement. Arnold received a waiver for the fourth quarter of 2024 related to the fixed charge ratio and capital expenditures covenant in their intercompany credit agreement.</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source of cash is from the receipt of interest and principal on our outstanding loans to our businesses. Accordingly, we are dependent upon the earnings and cash flow of these businesses, which are available for (i) operating expenses; (ii) payment of interest and principal on our outstanding debt; (iii) payments to CGM due or potentially due pursuant to the MSA and the LLC Agreement; (iv) cash distributions to our shareholders; and (v) pursuing future acquisitions. Payments made under (i) through (iii) above are required to be paid before distributions to shareholders and may be significant and exceed the funds held by us, which may require us to dispose of assets or incur debt to fund such expenditures. Each of our subsidiaries has various non-cancelable commitments in the ordinary course of business, including operating lease payments, and purchase obligations which include payments for materials and payments under employment agreements. On a consolidated basis at December 31, 2024, we had future lease obligations of $293.2 million and purchase obligations of $125.3 million.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5" w:name="page106"/>
    <w:bookmarkEnd w:id="105"/>
    <w:p>
      <w:pPr>
        <w:jc w:val="both"/>
        <w:ind w:right="20"/>
        <w:spacing w:after="0" w:line="287" w:lineRule="auto"/>
        <w:rPr>
          <w:sz w:val="20"/>
          <w:szCs w:val="20"/>
          <w:color w:val="auto"/>
        </w:rPr>
      </w:pPr>
      <w:r>
        <w:rPr>
          <w:rFonts w:ascii="Arial" w:cs="Arial" w:eastAsia="Arial" w:hAnsi="Arial"/>
          <w:sz w:val="18"/>
          <w:szCs w:val="18"/>
          <w:color w:val="auto"/>
        </w:rPr>
        <w:t>We believe that we currently have sufficient liquidity and capital resources to meet our existing obligations, including quarterly distributions to our shareholders, as approved by our Board, over the next twelve months and thereafter.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Credit Facility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12, 2022, we entered into the 2022 Credit Facility to amend and restate the 2021 Credit Facility. The 2022 Credit Facility provides for the 2022 Revolving Credit Facility and also permits the LLC, prior to the applicable maturity date, to increase the revolving loan commitment and/or obtain term loans in an aggregate amount of up to $250 million, subject to certain customary restrictions and conditions. All amounts outstanding under the 2022 Revolving Credit Facility will become due on July 12, 2027, which is the maturity date of loans advanced under the 2022 Revolving Credit Facility. The 2022 Credit Facility also provides for the “2022 Term Loan. The 2022 Term Loan requires quarterly payments ranging from $2.5 million to $7.5 million, commencing September 30, 2022, with a final payment of all remaining principal and interest due on July 12, 2027, which is the 2022 Term Loan’s maturity date.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2022 Credit Facility is secured by all of the assets of the Company, including all of its equity interests in, and loans to, its consolidated subsidiaries. At December 31, 2024, we had letters of credit totaling $3.5 million outstanding under the 2022 Revolving Credit Facility. We had approximately $486.6 million in borrowing base availability under this facility at December 31, 2024. (See "</w:t>
      </w:r>
      <w:r>
        <w:rPr>
          <w:rFonts w:ascii="Arial" w:cs="Arial" w:eastAsia="Arial" w:hAnsi="Arial"/>
          <w:sz w:val="18"/>
          <w:szCs w:val="18"/>
          <w:u w:val="single" w:color="auto"/>
          <w:color w:val="0000FF"/>
        </w:rPr>
        <w:t>Note H - Debt</w:t>
      </w:r>
      <w:r>
        <w:rPr>
          <w:rFonts w:ascii="Arial" w:cs="Arial" w:eastAsia="Arial" w:hAnsi="Arial"/>
          <w:sz w:val="18"/>
          <w:szCs w:val="18"/>
          <w:color w:val="auto"/>
        </w:rPr>
        <w:t>" to the consolidated financial statements for more detail regarding our 2022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Subsequent Developments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2025, the Company entered into an amendment of the 2022 Credit Facility to provide for (a) an additional advance of the term loan in the aggregate amount of $200 million on the date of the amendment, and (b) delayed draw term loan commitments in the aggregate amount of $100 million, which may be reduced or terminated by the Company upon five business days’ notice and pursuant to which the Company may make no more than two draws by July 9, 2025. The initial $200 million draw was used to reduce the amount outstanding under the 2022 Revolving Credit Facility and for general corporate purposes.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Credit Facility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2021, we entered into a Second Amended and Restated Credit Agreement to amend and restate the 2018 Credit Facility. The 2021 Credit Facility provided for revolving loans, swing line loans and letters of credit up to a maximum aggregate amount of $600 million and also permitted the LLC, prior to the applicable maturity date, to increase the revolving loan commitment and/or obtain term loans in an aggregate amount of up to $250 million, subject to certain customary restrictions and conditions. The Company repaid the outstanding amounts under the 2021 credit facility in the third quarter of 2022 in connection with entering into the 2022 Credit Facility.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2032 Notes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17, 2021, we consummated the issuance and sale of $300 million aggregate principal amount of our 5.000% Senior Notes due 2032 (the "2032 Notes") offered pursuant to a private offering to qualified institutional buyers in accordance with Rule 144A under the Securities Act, and to non-U.S. persons under Regulation S under the Securities Act. The 2032 Notes were issued pursuant to an indenture, dated as of November 17, 2021 (as further amended, the “2032 Notes Indenture”), between the Company and U.S. Bank National Association, as trustee. The 2032 Notes bear interest at the rate of 5.000% per annum and will mature on January 15, 2032. Interest on the 2032 Notes is payable in cash on July 15th and January 15th of each year. The 2032 Notes are general unsecured obligations of the Company and are not guaranteed by our subsidiaries. The proceeds from the sale of the 2032 Notes were used to repay debt outstanding under the 2021 Credit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Notes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March 23, 2021, we consummated the issuance and sale of $1 billion aggregate principal amount of our 5.250% Senior Notes due 2029 (the “2029 Notes”) offered pursuant to a private offering to qualified institutional buyers in accordance with Rule 144A under the Securities</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Act, and to non-U.S. persons under Regulation S under the Securities Act. The 2029 Notes were issued pursuant to an indenture, dated as of March 23, 2021 (as further amended, the “2029 Notes Indenture”), between the Company and U.S. Bank National Association, as trustee. The 2029 Notes bear interest at the rate of 5.250% per annum and will mature on April 15, 2029. Interest on the 2029</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6" w:name="page107"/>
    <w:bookmarkEnd w:id="106"/>
    <w:p>
      <w:pPr>
        <w:jc w:val="both"/>
        <w:spacing w:after="0" w:line="287" w:lineRule="auto"/>
        <w:rPr>
          <w:sz w:val="20"/>
          <w:szCs w:val="20"/>
          <w:color w:val="auto"/>
        </w:rPr>
      </w:pPr>
      <w:r>
        <w:rPr>
          <w:rFonts w:ascii="Arial" w:cs="Arial" w:eastAsia="Arial" w:hAnsi="Arial"/>
          <w:sz w:val="18"/>
          <w:szCs w:val="18"/>
          <w:color w:val="auto"/>
        </w:rPr>
        <w:t>Notes is payable in cash on April 15th and October 15th of each year. The 2029 Notes are general unsecured obligations of the Company and are not guaranteed by our subsidiaries.</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proceeds from the sale of the 2029 Notes was used to repay debt outstanding under the 2018 Credit Facility in connection with our entry into the 2021 Credit Facility, as described above, and to redeem our 8.000% Senior Notes due 2026 (the “2026 Notes”).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2029 Notes Indenture and the 2032 Notes Indenture contain several restrictive covenants including, but not limited to, limitations on the following: (i) the incurrence of additional indebtedness, (ii) restricted payments, (iii) the purchase, redemption or retirement of capital stock or subordinated debt, (iv) dividends and other payments affecting restricted subsidiaries, (v) transactions with affiliates, (vi) asset sales and mergers and consolidations, (vii) future subsidiary guarantees and (viii) incurring liens, (ix) entering into sale-leaseback transactions and (x) making certain investments, subject in each case to certain exceptions.</w:t>
      </w:r>
    </w:p>
    <w:p>
      <w:pPr>
        <w:spacing w:after="0" w:line="1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reflects required and actual financial ratios as of December 31, 2024 included as part of the affirmative covenants in our 2022 Credit Facility:</w:t>
      </w:r>
    </w:p>
    <w:p>
      <w:pPr>
        <w:spacing w:after="0" w:line="198" w:lineRule="exact"/>
        <w:rPr>
          <w:sz w:val="20"/>
          <w:szCs w:val="20"/>
          <w:color w:val="auto"/>
        </w:rPr>
      </w:pPr>
    </w:p>
    <w:tbl>
      <w:tblPr>
        <w:tblLayout w:type="fixed"/>
        <w:tblInd w:w="1060" w:type="dxa"/>
        <w:tblCellMar>
          <w:top w:w="0" w:type="dxa"/>
          <w:left w:w="0" w:type="dxa"/>
          <w:bottom w:w="0" w:type="dxa"/>
          <w:right w:w="0" w:type="dxa"/>
        </w:tblCellMar>
      </w:tblPr>
      <w:tr>
        <w:trPr>
          <w:trHeight w:val="217"/>
        </w:trPr>
        <w:tc>
          <w:tcPr>
            <w:tcW w:w="414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 of Required Covenant Ratio</w:t>
            </w:r>
          </w:p>
        </w:tc>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Covenant Ratio Requirement</w:t>
            </w: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Actual Ratio</w:t>
            </w:r>
          </w:p>
        </w:tc>
      </w:tr>
      <w:tr>
        <w:trPr>
          <w:trHeight w:val="74"/>
        </w:trPr>
        <w:tc>
          <w:tcPr>
            <w:tcW w:w="39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4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r>
      <w:tr>
        <w:trPr>
          <w:trHeight w:val="21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Fixed Charge Coverage Ratio</w:t>
            </w:r>
          </w:p>
        </w:tc>
        <w:tc>
          <w:tcPr>
            <w:tcW w:w="3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Greater than or equal to 1.50:1.00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5"/>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Total Secured Debt to EBITDA Ratio</w:t>
            </w:r>
          </w:p>
        </w:tc>
        <w:tc>
          <w:tcPr>
            <w:tcW w:w="3700" w:type="dxa"/>
            <w:vAlign w:val="bottom"/>
            <w:gridSpan w:val="2"/>
          </w:tcPr>
          <w:p>
            <w:pPr>
              <w:spacing w:after="0"/>
              <w:rPr>
                <w:sz w:val="20"/>
                <w:szCs w:val="20"/>
                <w:color w:val="auto"/>
              </w:rPr>
            </w:pPr>
            <w:r>
              <w:rPr>
                <w:rFonts w:ascii="Arial" w:cs="Arial" w:eastAsia="Arial" w:hAnsi="Arial"/>
                <w:sz w:val="16"/>
                <w:szCs w:val="16"/>
                <w:color w:val="auto"/>
              </w:rPr>
              <w:t>Less than or equal to 3.50:1.00</w:t>
            </w:r>
          </w:p>
        </w:tc>
        <w:tc>
          <w:tcPr>
            <w:tcW w:w="1300" w:type="dxa"/>
            <w:vAlign w:val="bottom"/>
          </w:tcPr>
          <w:p>
            <w:pPr>
              <w:jc w:val="right"/>
              <w:spacing w:after="0"/>
              <w:rPr>
                <w:sz w:val="20"/>
                <w:szCs w:val="20"/>
                <w:color w:val="auto"/>
              </w:rPr>
            </w:pPr>
            <w:r>
              <w:rPr>
                <w:rFonts w:ascii="Arial" w:cs="Arial" w:eastAsia="Arial" w:hAnsi="Arial"/>
                <w:sz w:val="16"/>
                <w:szCs w:val="16"/>
                <w:color w:val="auto"/>
              </w:rPr>
              <w:t>0.92</w:t>
            </w:r>
          </w:p>
        </w:tc>
      </w:tr>
      <w:tr>
        <w:trPr>
          <w:trHeight w:val="217"/>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Debt to EBITDA Ratio</w:t>
            </w:r>
          </w:p>
        </w:tc>
        <w:tc>
          <w:tcPr>
            <w:tcW w:w="3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than or equal to 5.00:1.00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bl>
    <w:p>
      <w:pPr>
        <w:spacing w:after="0" w:line="2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intend to use the availability under our 2022 Credit Facility and cash on hand to pursue acquisitions of additional businesses, to fund distributions (if and to the extent approved by our Board) and to provide for other working capital needs.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incurred interest expense totaling $106.7 million in the year ended December 31, 2024, as compared to $105.2 million in the year ended December 31, 2023 and $83.5 million for the year ended December 31,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on our outstanding debt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86360</wp:posOffset>
            </wp:positionV>
            <wp:extent cx="65665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23" w:lineRule="exact"/>
        <w:rPr>
          <w:sz w:val="20"/>
          <w:szCs w:val="20"/>
          <w:color w:val="auto"/>
        </w:rPr>
      </w:pPr>
    </w:p>
    <w:p>
      <w:pPr>
        <w:ind w:left="7060"/>
        <w:spacing w:after="0"/>
        <w:rPr>
          <w:sz w:val="20"/>
          <w:szCs w:val="20"/>
          <w:color w:val="auto"/>
        </w:rPr>
      </w:pPr>
      <w:r>
        <w:rPr>
          <w:rFonts w:ascii="Arial" w:cs="Arial" w:eastAsia="Arial" w:hAnsi="Arial"/>
          <w:sz w:val="15"/>
          <w:szCs w:val="15"/>
          <w:b w:val="1"/>
          <w:bCs w:val="1"/>
          <w:color w:val="auto"/>
        </w:rPr>
        <w:t>Years ended December 31,</w:t>
      </w:r>
    </w:p>
    <w:p>
      <w:pPr>
        <w:spacing w:after="0" w:line="36" w:lineRule="exact"/>
        <w:rPr>
          <w:sz w:val="20"/>
          <w:szCs w:val="20"/>
          <w:color w:val="auto"/>
        </w:rPr>
      </w:pPr>
    </w:p>
    <w:tbl>
      <w:tblPr>
        <w:tblLayout w:type="fixed"/>
        <w:tblInd w:w="460" w:type="dxa"/>
        <w:tblCellMar>
          <w:top w:w="0" w:type="dxa"/>
          <w:left w:w="0" w:type="dxa"/>
          <w:bottom w:w="0" w:type="dxa"/>
          <w:right w:w="0" w:type="dxa"/>
        </w:tblCellMar>
      </w:tblPr>
      <w:tr>
        <w:trPr>
          <w:trHeight w:val="196"/>
        </w:trPr>
        <w:tc>
          <w:tcPr>
            <w:tcW w:w="4820" w:type="dxa"/>
            <w:vAlign w:val="bottom"/>
            <w:tcBorders>
              <w:top w:val="single" w:sz="8" w:color="auto"/>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5"/>
                <w:szCs w:val="15"/>
                <w:b w:val="1"/>
                <w:bCs w:val="1"/>
                <w:color w:val="auto"/>
              </w:rPr>
              <w:t>2022</w:t>
            </w: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credit facilities</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13,842</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Interest on Senior Notes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67,500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67,500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67,500</w:t>
            </w: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Unused fee on Revolving Credit Facility</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Other interest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(1,951)</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0"/>
        </w:trPr>
        <w:tc>
          <w:tcPr>
            <w:tcW w:w="4820" w:type="dxa"/>
            <w:vAlign w:val="bottom"/>
          </w:tcPr>
          <w:p>
            <w:pPr>
              <w:ind w:left="340"/>
              <w:spacing w:after="0"/>
              <w:rPr>
                <w:sz w:val="20"/>
                <w:szCs w:val="20"/>
                <w:color w:val="auto"/>
              </w:rPr>
            </w:pPr>
            <w:r>
              <w:rPr>
                <w:rFonts w:ascii="Arial" w:cs="Arial" w:eastAsia="Arial" w:hAnsi="Arial"/>
                <w:sz w:val="16"/>
                <w:szCs w:val="16"/>
                <w:color w:val="auto"/>
              </w:rPr>
              <w:t>Interest expense, net</w:t>
            </w: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106,683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105,179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83,482</w:t>
            </w:r>
          </w:p>
        </w:tc>
      </w:tr>
      <w:tr>
        <w:trPr>
          <w:trHeight w:val="20"/>
        </w:trPr>
        <w:tc>
          <w:tcPr>
            <w:tcW w:w="4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Effective September 1, 2021, the Trust elected to be treated as a corporation for U.S. federal income tax purposes (the “tax reclassification”). Prior to the tax reclassification, the Trust had been taxed as a partnership for U.S. federal income tax purposes since January 1, 2007. The LLC was treated as a partnership prior to the Trust’s tax reclassification and it will continue to be treated as a partnership following the Trust’s tax reclassification.</w:t>
      </w:r>
    </w:p>
    <w:p>
      <w:pPr>
        <w:spacing w:after="0" w:line="12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Each of the Company’s majority owned subsidiaries are subject to Federal, state and in some cases, foreign income taxes. We recorded an income tax provision of $49.0 million with an annual effective rate of 53.7% during the year ended December 31, 2024, an income tax provision of $22.6 million with an annual effective tax rate of (102)% during the year ended December 31, 2023, and $41.4 million in income tax benefit with an effective tax rate of 71.8% during the year ended December 31, 2022.</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7" w:name="page108"/>
    <w:bookmarkEnd w:id="107"/>
    <w:p>
      <w:pPr>
        <w:jc w:val="both"/>
        <w:spacing w:after="0" w:line="287" w:lineRule="auto"/>
        <w:rPr>
          <w:sz w:val="20"/>
          <w:szCs w:val="20"/>
          <w:color w:val="auto"/>
        </w:rPr>
      </w:pPr>
      <w:r>
        <w:rPr>
          <w:rFonts w:ascii="Arial" w:cs="Arial" w:eastAsia="Arial" w:hAnsi="Arial"/>
          <w:sz w:val="18"/>
          <w:szCs w:val="18"/>
          <w:color w:val="auto"/>
        </w:rPr>
        <w:t>The components of our income tax (benefit) expense as a percentage of income from continuing operations before income taxes for the years ended December 31, 2024, 2023 and 2022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57785</wp:posOffset>
            </wp:positionV>
            <wp:extent cx="70980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78" w:lineRule="exact"/>
        <w:rPr>
          <w:sz w:val="20"/>
          <w:szCs w:val="20"/>
          <w:color w:val="auto"/>
        </w:rPr>
      </w:pPr>
    </w:p>
    <w:p>
      <w:pPr>
        <w:ind w:left="7760"/>
        <w:spacing w:after="0"/>
        <w:rPr>
          <w:sz w:val="20"/>
          <w:szCs w:val="20"/>
          <w:color w:val="auto"/>
        </w:rPr>
      </w:pPr>
      <w:r>
        <w:rPr>
          <w:rFonts w:ascii="Arial" w:cs="Arial" w:eastAsia="Arial" w:hAnsi="Arial"/>
          <w:sz w:val="15"/>
          <w:szCs w:val="15"/>
          <w:b w:val="1"/>
          <w:bCs w:val="1"/>
          <w:color w:val="auto"/>
        </w:rPr>
        <w:t>Year ended December 31,</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140" w:type="dxa"/>
            <w:vAlign w:val="bottom"/>
            <w:tcBorders>
              <w:top w:val="single" w:sz="8" w:color="auto"/>
            </w:tcBorders>
            <w:gridSpan w:val="2"/>
          </w:tcPr>
          <w:p>
            <w:pPr>
              <w:ind w:left="6740"/>
              <w:spacing w:after="0"/>
              <w:rPr>
                <w:sz w:val="20"/>
                <w:szCs w:val="20"/>
                <w:color w:val="auto"/>
              </w:rPr>
            </w:pPr>
            <w:r>
              <w:rPr>
                <w:rFonts w:ascii="Arial" w:cs="Arial" w:eastAsia="Arial" w:hAnsi="Arial"/>
                <w:sz w:val="15"/>
                <w:szCs w:val="15"/>
                <w:b w:val="1"/>
                <w:bCs w:val="1"/>
                <w:color w:val="auto"/>
              </w:rPr>
              <w:t>2024</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2022</w:t>
            </w:r>
          </w:p>
        </w:tc>
      </w:tr>
      <w:tr>
        <w:trPr>
          <w:trHeight w:val="19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United States Federal Statutory Rate</w:t>
            </w:r>
          </w:p>
        </w:tc>
        <w:tc>
          <w:tcPr>
            <w:tcW w:w="10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1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21.0 %</w:t>
            </w:r>
          </w:p>
        </w:tc>
      </w:tr>
      <w:tr>
        <w:trPr>
          <w:trHeight w:val="201"/>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State income taxes (net of Federal benefits)</w:t>
            </w:r>
          </w:p>
        </w:tc>
        <w:tc>
          <w:tcPr>
            <w:tcW w:w="580" w:type="dxa"/>
            <w:vAlign w:val="bottom"/>
          </w:tcPr>
          <w:p>
            <w:pPr>
              <w:jc w:val="right"/>
              <w:ind w:right="124"/>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7"/>
                <w:szCs w:val="17"/>
                <w:color w:val="auto"/>
              </w:rPr>
            </w:pP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(14.3)</w:t>
            </w:r>
          </w:p>
        </w:tc>
        <w:tc>
          <w:tcPr>
            <w:tcW w:w="120" w:type="dxa"/>
            <w:vAlign w:val="bottom"/>
          </w:tcPr>
          <w:p>
            <w:pPr>
              <w:spacing w:after="0"/>
              <w:rPr>
                <w:sz w:val="17"/>
                <w:szCs w:val="17"/>
                <w:color w:val="auto"/>
              </w:rPr>
            </w:pPr>
          </w:p>
        </w:tc>
        <w:tc>
          <w:tcPr>
            <w:tcW w:w="1620" w:type="dxa"/>
            <w:vAlign w:val="bottom"/>
          </w:tcPr>
          <w:p>
            <w:pPr>
              <w:jc w:val="right"/>
              <w:ind w:right="144"/>
              <w:spacing w:after="0"/>
              <w:rPr>
                <w:sz w:val="20"/>
                <w:szCs w:val="20"/>
                <w:color w:val="auto"/>
              </w:rPr>
            </w:pPr>
            <w:r>
              <w:rPr>
                <w:rFonts w:ascii="Arial" w:cs="Arial" w:eastAsia="Arial" w:hAnsi="Arial"/>
                <w:sz w:val="15"/>
                <w:szCs w:val="15"/>
                <w:color w:val="auto"/>
              </w:rPr>
              <w:t>7.7</w:t>
            </w:r>
          </w:p>
        </w:tc>
      </w:tr>
      <w:tr>
        <w:trPr>
          <w:trHeight w:val="20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Foreign income taxes</w:t>
            </w:r>
          </w:p>
        </w:tc>
        <w:tc>
          <w:tcPr>
            <w:tcW w:w="5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(19.3)</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3.8</w:t>
            </w:r>
          </w:p>
        </w:tc>
      </w:tr>
      <w:tr>
        <w:trPr>
          <w:trHeight w:val="201"/>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Impairment expense</w:t>
            </w:r>
          </w:p>
        </w:tc>
        <w:tc>
          <w:tcPr>
            <w:tcW w:w="580" w:type="dxa"/>
            <w:vAlign w:val="bottom"/>
          </w:tcPr>
          <w:p>
            <w:pPr>
              <w:jc w:val="right"/>
              <w:ind w:right="124"/>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(70.7)</w:t>
            </w:r>
          </w:p>
        </w:tc>
        <w:tc>
          <w:tcPr>
            <w:tcW w:w="120" w:type="dxa"/>
            <w:vAlign w:val="bottom"/>
          </w:tcPr>
          <w:p>
            <w:pPr>
              <w:spacing w:after="0"/>
              <w:rPr>
                <w:sz w:val="17"/>
                <w:szCs w:val="17"/>
                <w:color w:val="auto"/>
              </w:rPr>
            </w:pPr>
          </w:p>
        </w:tc>
        <w:tc>
          <w:tcPr>
            <w:tcW w:w="162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20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Impact of subsidiary employee stock options</w:t>
            </w:r>
          </w:p>
        </w:tc>
        <w:tc>
          <w:tcPr>
            <w:tcW w:w="5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16.0</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0.2</w:t>
            </w:r>
          </w:p>
        </w:tc>
      </w:tr>
      <w:tr>
        <w:trPr>
          <w:trHeight w:val="201"/>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Non-deductible acquisition costs</w:t>
            </w:r>
          </w:p>
        </w:tc>
        <w:tc>
          <w:tcPr>
            <w:tcW w:w="580" w:type="dxa"/>
            <w:vAlign w:val="bottom"/>
          </w:tcPr>
          <w:p>
            <w:pPr>
              <w:jc w:val="right"/>
              <w:ind w:right="124"/>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1620" w:type="dxa"/>
            <w:vAlign w:val="bottom"/>
          </w:tcPr>
          <w:p>
            <w:pPr>
              <w:jc w:val="right"/>
              <w:ind w:right="144"/>
              <w:spacing w:after="0"/>
              <w:rPr>
                <w:sz w:val="20"/>
                <w:szCs w:val="20"/>
                <w:color w:val="auto"/>
              </w:rPr>
            </w:pPr>
            <w:r>
              <w:rPr>
                <w:rFonts w:ascii="Arial" w:cs="Arial" w:eastAsia="Arial" w:hAnsi="Arial"/>
                <w:sz w:val="15"/>
                <w:szCs w:val="15"/>
                <w:color w:val="auto"/>
              </w:rPr>
              <w:t>0.9</w:t>
            </w:r>
          </w:p>
        </w:tc>
      </w:tr>
      <w:tr>
        <w:trPr>
          <w:trHeight w:val="20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Non-recognition of various carryforwards at subsidiaries</w:t>
            </w:r>
          </w:p>
        </w:tc>
        <w:tc>
          <w:tcPr>
            <w:tcW w:w="5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22.4</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27.6</w:t>
            </w:r>
          </w:p>
        </w:tc>
      </w:tr>
      <w:tr>
        <w:trPr>
          <w:trHeight w:val="201"/>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United States tax on foreign income</w:t>
            </w: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1620" w:type="dxa"/>
            <w:vAlign w:val="bottom"/>
          </w:tcPr>
          <w:p>
            <w:pPr>
              <w:jc w:val="right"/>
              <w:ind w:right="144"/>
              <w:spacing w:after="0"/>
              <w:rPr>
                <w:sz w:val="20"/>
                <w:szCs w:val="20"/>
                <w:color w:val="auto"/>
              </w:rPr>
            </w:pPr>
            <w:r>
              <w:rPr>
                <w:rFonts w:ascii="Arial" w:cs="Arial" w:eastAsia="Arial" w:hAnsi="Arial"/>
                <w:sz w:val="15"/>
                <w:szCs w:val="15"/>
                <w:color w:val="auto"/>
              </w:rPr>
              <w:t>0.6</w:t>
            </w:r>
          </w:p>
        </w:tc>
      </w:tr>
      <w:tr>
        <w:trPr>
          <w:trHeight w:val="20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Dividend (net of dividend received deduction)</w:t>
            </w:r>
          </w:p>
        </w:tc>
        <w:tc>
          <w:tcPr>
            <w:tcW w:w="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(42.1)</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5.5</w:t>
            </w:r>
          </w:p>
        </w:tc>
      </w:tr>
      <w:tr>
        <w:trPr>
          <w:trHeight w:val="201"/>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Tax effect on loss on Crosman</w:t>
            </w:r>
          </w:p>
        </w:tc>
        <w:tc>
          <w:tcPr>
            <w:tcW w:w="580" w:type="dxa"/>
            <w:vAlign w:val="bottom"/>
          </w:tcPr>
          <w:p>
            <w:pPr>
              <w:jc w:val="right"/>
              <w:ind w:right="124"/>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7"/>
                <w:szCs w:val="17"/>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20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Utilization of tax credits</w:t>
            </w:r>
          </w:p>
        </w:tc>
        <w:tc>
          <w:tcPr>
            <w:tcW w:w="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(5.4)</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20.0</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(13.0)</w:t>
            </w:r>
          </w:p>
        </w:tc>
      </w:tr>
      <w:tr>
        <w:trPr>
          <w:trHeight w:val="201"/>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Effect of classification of assets held for sale</w:t>
            </w:r>
          </w:p>
        </w:tc>
        <w:tc>
          <w:tcPr>
            <w:tcW w:w="6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44"/>
              <w:spacing w:after="0"/>
              <w:rPr>
                <w:sz w:val="20"/>
                <w:szCs w:val="20"/>
                <w:color w:val="auto"/>
              </w:rPr>
            </w:pPr>
            <w:r>
              <w:rPr>
                <w:rFonts w:ascii="Arial" w:cs="Arial" w:eastAsia="Arial" w:hAnsi="Arial"/>
                <w:sz w:val="15"/>
                <w:szCs w:val="15"/>
                <w:color w:val="auto"/>
              </w:rPr>
              <w:t>14.9</w:t>
            </w:r>
          </w:p>
        </w:tc>
      </w:tr>
      <w:tr>
        <w:trPr>
          <w:trHeight w:val="203"/>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2.6</w:t>
            </w:r>
          </w:p>
        </w:tc>
      </w:tr>
      <w:tr>
        <w:trPr>
          <w:trHeight w:val="197"/>
        </w:trPr>
        <w:tc>
          <w:tcPr>
            <w:tcW w:w="7140" w:type="dxa"/>
            <w:vAlign w:val="bottom"/>
            <w:gridSpan w:val="2"/>
          </w:tcPr>
          <w:p>
            <w:pPr>
              <w:ind w:left="340"/>
              <w:spacing w:after="0"/>
              <w:rPr>
                <w:sz w:val="20"/>
                <w:szCs w:val="20"/>
                <w:color w:val="auto"/>
              </w:rPr>
            </w:pPr>
            <w:r>
              <w:rPr>
                <w:rFonts w:ascii="Arial" w:cs="Arial" w:eastAsia="Arial" w:hAnsi="Arial"/>
                <w:sz w:val="15"/>
                <w:szCs w:val="15"/>
                <w:color w:val="auto"/>
              </w:rPr>
              <w:t>Effective income tax rate</w:t>
            </w:r>
          </w:p>
        </w:tc>
        <w:tc>
          <w:tcPr>
            <w:tcW w:w="580" w:type="dxa"/>
            <w:vAlign w:val="bottom"/>
          </w:tcPr>
          <w:p>
            <w:pPr>
              <w:jc w:val="right"/>
              <w:spacing w:after="0"/>
              <w:rPr>
                <w:sz w:val="20"/>
                <w:szCs w:val="20"/>
                <w:color w:val="auto"/>
              </w:rPr>
            </w:pPr>
            <w:r>
              <w:rPr>
                <w:rFonts w:ascii="Arial" w:cs="Arial" w:eastAsia="Arial" w:hAnsi="Arial"/>
                <w:sz w:val="15"/>
                <w:szCs w:val="15"/>
                <w:color w:val="auto"/>
              </w:rPr>
              <w:t>53.7 %</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(102.0)%</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71.8 %</w:t>
            </w:r>
          </w:p>
        </w:tc>
      </w:tr>
      <w:tr>
        <w:trPr>
          <w:trHeight w:val="20"/>
        </w:trPr>
        <w:tc>
          <w:tcPr>
            <w:tcW w:w="6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Non-GAAP financial measures are provided as additional information to investors in order to provide them with an alternative method for assessing our financial condition and operating results. These measures are not intended to replace the presentation of financial results in accordance with U.S. GAAP, and may be different from or otherwise inconsistent with non-GAAP financial measures used by other companies. The presentation of these non-GAAP financial measures supplements other metrics we use to internally evaluate our subsidiary businesses and facilitate the comparison of past and present operations.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tables below reconcile the most directly comparable GAAP financial measures to Adjusted earnings before Interest, Income Taxes, Depreciation and Amortization ("Adjusted EBITDA") and Adjusted Earnings.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 EBITDA is calculated as net income (loss) from continuing operations before interest expense, income tax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loss on debt extinguishment, depreciation expense and amortization expense. Amortization expenses consist of amortization of intangibles and debt charges, including debt issuance costs. Adjusted EBITDA is calculated utilizing the same calculation as described in arriving at EBITDA further adjusted 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impairment charges, which reflect write downs to goodwill or other intangible assets; (iv) changes in the fair value of contingent consideration subsequent to initial purchase accounting, (v) integration service fees, which reflect fees paid by newly acquired companies to the Manager for integration services performed during the first year of ownership; and (vi) items of other income or expense that are material to a subsidiary and non-recurring in nature.</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Adjusted Earnings </w:t>
      </w:r>
      <w:r>
        <w:rPr>
          <w:rFonts w:ascii="Arial" w:cs="Arial" w:eastAsia="Arial" w:hAnsi="Arial"/>
          <w:sz w:val="18"/>
          <w:szCs w:val="18"/>
          <w:color w:val="auto"/>
        </w:rPr>
        <w:t>–– Adjusted earnings is calculated as net income (loss) adjusted to include the cost of the distributions to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and adjusted to exclude the impact of certain costs, expenses, gains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8" w:name="page109"/>
    <w:bookmarkEnd w:id="108"/>
    <w:p>
      <w:pPr>
        <w:jc w:val="both"/>
        <w:spacing w:after="0" w:line="259" w:lineRule="auto"/>
        <w:rPr>
          <w:sz w:val="20"/>
          <w:szCs w:val="20"/>
          <w:color w:val="auto"/>
        </w:rPr>
      </w:pPr>
      <w:r>
        <w:rPr>
          <w:rFonts w:ascii="Arial" w:cs="Arial" w:eastAsia="Arial" w:hAnsi="Arial"/>
          <w:sz w:val="18"/>
          <w:szCs w:val="18"/>
          <w:color w:val="auto"/>
        </w:rPr>
        <w:t>losses and other specified items the exclusion of which management believes provides insight regarding our ongoing operating performance. Depending on the period presented, these adjusted measures exclude the impact of certain of the following items: gains (losses) and income (loss) from discontinued operations, income (loss) from noncontrolling interest, amortization expense, subsidiary stock compensation expense, acquisition-related expenses and items of other income or expense that may be material to a subsidiary and non-recurring in nature.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and Adjusted Earnings are non-GAAP measures used by the Company to assess its performance. We believe that Adjusted EBITDA and Adjusted Earnings provide useful information to investors and reflect important financial measures that are used by management in the monthly analysis of our operating results and in preparation of our annual budgets. We believe that investors’ understanding of our performance is enhanced by disclosing these performance measures as this presentation allows investors to view the performance of our businesses in a manner similar to the methods used by us and the management of our subsidiary businesses, provides additional insight into our operating results and provides a measure for evaluating targeted businesses for acquisition.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and Adjusted Earnings exclude the effects of items which reflect the impact of long-term investment decisions, rather than the performance of near-term operations. When compared to net income (loss) and net income (loss) from continuing operations, Adjusted Earnings and Adjusted EBITDA, respectively, are each limited in that they do not reflect the periodic costs of certain capital assets used in generating revenues of our subsidiary businesses or the non-cash charges associated with impairments, as well as certain cash charges. The presentation of Adjusted Earnings provides insight into our operating results. Adjusted EBITDA and Adjusted Earnings are not meant to be a substitute for GAAP, and may be different from or otherwise inconsistent with non-GAAP financial measures used by other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(loss) from continuing operations to Adjusted EBITDA</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tables reconcile Adjusted EBITDA to net income (loss) from continuing operations,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9" w:name="page110"/>
    <w:bookmarkEnd w:id="109"/>
    <w:p>
      <w:pPr>
        <w:jc w:val="center"/>
        <w:ind w:right="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534035</wp:posOffset>
            </wp:positionH>
            <wp:positionV relativeFrom="page">
              <wp:posOffset>868680</wp:posOffset>
            </wp:positionV>
            <wp:extent cx="64890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89065" cy="8255"/>
                    </a:xfrm>
                    <a:prstGeom prst="rect">
                      <a:avLst/>
                    </a:prstGeom>
                    <a:noFill/>
                  </pic:spPr>
                </pic:pic>
              </a:graphicData>
            </a:graphic>
          </wp:anchor>
        </w:drawing>
        <w:t>Adjusted EBITDA</w:t>
      </w:r>
    </w:p>
    <w:p>
      <w:pPr>
        <w:spacing w:after="0" w:line="4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Year ended December 31, 2024</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6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68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3"/>
                <w:szCs w:val="13"/>
                <w:b w:val="1"/>
                <w:bCs w:val="1"/>
                <w:color w:val="auto"/>
              </w:rPr>
              <w:t>5.11</w:t>
            </w: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3"/>
                <w:szCs w:val="13"/>
                <w:b w:val="1"/>
                <w:bCs w:val="1"/>
                <w:color w:val="auto"/>
              </w:rPr>
              <w:t>BOA</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Lugano</w:t>
            </w:r>
          </w:p>
        </w:tc>
        <w:tc>
          <w:tcPr>
            <w:tcW w:w="7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PrimaLoft</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THP</w:t>
            </w:r>
          </w:p>
        </w:tc>
        <w:tc>
          <w:tcPr>
            <w:tcW w:w="78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3"/>
                <w:szCs w:val="13"/>
                <w:b w:val="1"/>
                <w:bCs w:val="1"/>
                <w:color w:val="auto"/>
              </w:rPr>
              <w:t>Velocity</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Altor</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Arnold</w:t>
            </w:r>
          </w:p>
        </w:tc>
        <w:tc>
          <w:tcPr>
            <w:tcW w:w="7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Sterno</w:t>
            </w:r>
          </w:p>
        </w:tc>
        <w:tc>
          <w:tcPr>
            <w:tcW w:w="9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88"/>
        </w:trPr>
        <w:tc>
          <w:tcPr>
            <w:tcW w:w="16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rPr>
              <w:t>Outdoor</w:t>
            </w: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2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income (loss) from</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(35,634)</w:t>
            </w: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$ 20,634</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$ 20,791</w:t>
            </w: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94,390</w:t>
            </w: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(10,575)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(9,761)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(54,851)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5,635</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(2,969)</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$ 14,638</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42,298</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Arial" w:cs="Arial" w:eastAsia="Arial" w:hAnsi="Arial"/>
                <w:sz w:val="14"/>
                <w:szCs w:val="14"/>
                <w:color w:val="auto"/>
              </w:rPr>
              <w:t>Adjusted for:</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Provision (benefit) for</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(2,095)</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4,526</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4,962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31,304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6,810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2,280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2,986</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4,874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49,012</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w:t>
            </w: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2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106,414</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371</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106,683</w:t>
            </w: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Intercompany</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(157,585)</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13,366</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56,013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17,916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10,552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9,255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10,771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7,121</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12,466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w:t>
            </w: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677</w:t>
            </w:r>
          </w:p>
        </w:tc>
        <w:tc>
          <w:tcPr>
            <w:tcW w:w="8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22,734</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21,594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10,334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21,318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18,974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8,042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21,553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9,265</w:t>
            </w:r>
          </w:p>
        </w:tc>
        <w:tc>
          <w:tcPr>
            <w:tcW w:w="8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18,473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152,964</w:t>
            </w:r>
          </w:p>
        </w:tc>
        <w:tc>
          <w:tcPr>
            <w:tcW w:w="0" w:type="dxa"/>
            <w:vAlign w:val="bottom"/>
          </w:tcPr>
          <w:p>
            <w:pPr>
              <w:spacing w:after="0"/>
              <w:rPr>
                <w:sz w:val="1"/>
                <w:szCs w:val="1"/>
                <w:color w:val="auto"/>
              </w:rPr>
            </w:pPr>
          </w:p>
        </w:tc>
      </w:tr>
      <w:tr>
        <w:trPr>
          <w:trHeight w:val="189"/>
        </w:trPr>
        <w:tc>
          <w:tcPr>
            <w:tcW w:w="1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amortization</w:t>
            </w: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EBITDA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(88,223)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61,246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192,044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16,774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50,451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350,957</w:t>
            </w:r>
          </w:p>
        </w:tc>
        <w:tc>
          <w:tcPr>
            <w:tcW w:w="0" w:type="dxa"/>
            <w:vAlign w:val="bottom"/>
          </w:tcPr>
          <w:p>
            <w:pPr>
              <w:spacing w:after="0"/>
              <w:rPr>
                <w:sz w:val="1"/>
                <w:szCs w:val="1"/>
                <w:color w:val="auto"/>
              </w:rPr>
            </w:pPr>
          </w:p>
        </w:tc>
      </w:tr>
      <w:tr>
        <w:trPr>
          <w:trHeight w:val="148"/>
        </w:trPr>
        <w:tc>
          <w:tcPr>
            <w:tcW w:w="1620" w:type="dxa"/>
            <w:vAlign w:val="bottom"/>
          </w:tcPr>
          <w:p>
            <w:pPr>
              <w:ind w:left="220"/>
              <w:spacing w:after="0" w:line="149" w:lineRule="exact"/>
              <w:rPr>
                <w:sz w:val="20"/>
                <w:szCs w:val="20"/>
                <w:color w:val="auto"/>
              </w:rPr>
            </w:pPr>
            <w:r>
              <w:rPr>
                <w:rFonts w:ascii="Arial" w:cs="Arial" w:eastAsia="Arial" w:hAnsi="Arial"/>
                <w:sz w:val="14"/>
                <w:szCs w:val="14"/>
                <w:color w:val="auto"/>
              </w:rPr>
              <w:t>Other (income)</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181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24,557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2,746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28,120</w:t>
            </w:r>
          </w:p>
        </w:tc>
        <w:tc>
          <w:tcPr>
            <w:tcW w:w="0" w:type="dxa"/>
            <w:vAlign w:val="bottom"/>
          </w:tcPr>
          <w:p>
            <w:pPr>
              <w:spacing w:after="0"/>
              <w:rPr>
                <w:sz w:val="1"/>
                <w:szCs w:val="1"/>
                <w:color w:val="auto"/>
              </w:rPr>
            </w:pPr>
          </w:p>
        </w:tc>
      </w:tr>
      <w:tr>
        <w:trPr>
          <w:trHeight w:val="189"/>
        </w:trPr>
        <w:tc>
          <w:tcPr>
            <w:tcW w:w="1620" w:type="dxa"/>
            <w:vAlign w:val="bottom"/>
          </w:tcPr>
          <w:p>
            <w:pPr>
              <w:ind w:left="220"/>
              <w:spacing w:after="0"/>
              <w:rPr>
                <w:sz w:val="20"/>
                <w:szCs w:val="20"/>
                <w:color w:val="auto"/>
              </w:rPr>
            </w:pPr>
            <w:r>
              <w:rPr>
                <w:rFonts w:ascii="Arial" w:cs="Arial" w:eastAsia="Arial" w:hAnsi="Arial"/>
                <w:sz w:val="14"/>
                <w:szCs w:val="14"/>
                <w:color w:val="auto"/>
              </w:rPr>
              <w:t>expense</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2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shareholder</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2,129</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2,382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16,345</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compensation</w:t>
            </w:r>
          </w:p>
        </w:tc>
        <w:tc>
          <w:tcPr>
            <w:tcW w:w="8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20" w:type="dxa"/>
            <w:vAlign w:val="bottom"/>
          </w:tcPr>
          <w:p>
            <w:pPr>
              <w:ind w:left="220"/>
              <w:spacing w:after="0"/>
              <w:rPr>
                <w:sz w:val="20"/>
                <w:szCs w:val="20"/>
                <w:color w:val="auto"/>
              </w:rPr>
            </w:pPr>
            <w:r>
              <w:rPr>
                <w:rFonts w:ascii="Arial" w:cs="Arial" w:eastAsia="Arial" w:hAnsi="Arial"/>
                <w:sz w:val="14"/>
                <w:szCs w:val="14"/>
                <w:color w:val="auto"/>
              </w:rPr>
              <w:t>Impairment expense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8,182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8,182</w:t>
            </w:r>
          </w:p>
        </w:tc>
        <w:tc>
          <w:tcPr>
            <w:tcW w:w="0" w:type="dxa"/>
            <w:vAlign w:val="bottom"/>
          </w:tcPr>
          <w:p>
            <w:pPr>
              <w:spacing w:after="0"/>
              <w:rPr>
                <w:sz w:val="1"/>
                <w:szCs w:val="1"/>
                <w:color w:val="auto"/>
              </w:rPr>
            </w:pPr>
          </w:p>
        </w:tc>
      </w:tr>
      <w:tr>
        <w:trPr>
          <w:trHeight w:val="207"/>
        </w:trPr>
        <w:tc>
          <w:tcPr>
            <w:tcW w:w="1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expenses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5,351</w:t>
            </w:r>
          </w:p>
        </w:tc>
        <w:tc>
          <w:tcPr>
            <w:tcW w:w="0" w:type="dxa"/>
            <w:vAlign w:val="bottom"/>
          </w:tcPr>
          <w:p>
            <w:pPr>
              <w:spacing w:after="0"/>
              <w:rPr>
                <w:sz w:val="1"/>
                <w:szCs w:val="1"/>
                <w:color w:val="auto"/>
              </w:rPr>
            </w:pPr>
          </w:p>
        </w:tc>
      </w:tr>
      <w:tr>
        <w:trPr>
          <w:trHeight w:val="148"/>
        </w:trPr>
        <w:tc>
          <w:tcPr>
            <w:tcW w:w="1620" w:type="dxa"/>
            <w:vAlign w:val="bottom"/>
          </w:tcPr>
          <w:p>
            <w:pPr>
              <w:ind w:left="220"/>
              <w:spacing w:after="0" w:line="149" w:lineRule="exact"/>
              <w:rPr>
                <w:sz w:val="20"/>
                <w:szCs w:val="20"/>
                <w:color w:val="auto"/>
              </w:rPr>
            </w:pPr>
            <w:r>
              <w:rPr>
                <w:rFonts w:ascii="Arial" w:cs="Arial" w:eastAsia="Arial" w:hAnsi="Arial"/>
                <w:sz w:val="14"/>
                <w:szCs w:val="14"/>
                <w:color w:val="auto"/>
              </w:rPr>
              <w:t>Integration services</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2,625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189"/>
        </w:trPr>
        <w:tc>
          <w:tcPr>
            <w:tcW w:w="1620" w:type="dxa"/>
            <w:vAlign w:val="bottom"/>
          </w:tcPr>
          <w:p>
            <w:pPr>
              <w:ind w:left="220"/>
              <w:spacing w:after="0"/>
              <w:rPr>
                <w:sz w:val="20"/>
                <w:szCs w:val="20"/>
                <w:color w:val="auto"/>
              </w:rPr>
            </w:pPr>
            <w:r>
              <w:rPr>
                <w:rFonts w:ascii="Arial" w:cs="Arial" w:eastAsia="Arial" w:hAnsi="Arial"/>
                <w:sz w:val="14"/>
                <w:szCs w:val="14"/>
                <w:color w:val="auto"/>
              </w:rPr>
              <w:t>fee</w:t>
            </w:r>
          </w:p>
        </w:tc>
        <w:tc>
          <w:tcPr>
            <w:tcW w:w="80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10,426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13,188</w:t>
            </w:r>
          </w:p>
        </w:tc>
        <w:tc>
          <w:tcPr>
            <w:tcW w:w="0" w:type="dxa"/>
            <w:vAlign w:val="bottom"/>
          </w:tcPr>
          <w:p>
            <w:pPr>
              <w:spacing w:after="0"/>
              <w:rPr>
                <w:sz w:val="1"/>
                <w:szCs w:val="1"/>
                <w:color w:val="auto"/>
              </w:rPr>
            </w:pPr>
          </w:p>
        </w:tc>
      </w:tr>
      <w:tr>
        <w:trPr>
          <w:trHeight w:val="200"/>
        </w:trPr>
        <w:tc>
          <w:tcPr>
            <w:tcW w:w="1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Adjusted EBITDA</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(87,761)</w:t>
            </w: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$ 63,415</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$ 73,645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194,700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27,411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24,690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3,950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46,541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27,209</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$ 50,968</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424,768</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left="140"/>
        <w:spacing w:after="0" w:line="268" w:lineRule="auto"/>
        <w:rPr>
          <w:sz w:val="20"/>
          <w:szCs w:val="20"/>
          <w:color w:val="auto"/>
        </w:rPr>
      </w:pPr>
      <w:r>
        <w:rPr>
          <w:rFonts w:ascii="Arial" w:cs="Arial" w:eastAsia="Arial" w:hAnsi="Arial"/>
          <w:sz w:val="18"/>
          <w:szCs w:val="18"/>
          <w:color w:val="auto"/>
        </w:rPr>
        <w:t>Other represents non-recurring operating expenses that are included by management in the calculation of Adjusted EBITDA when analyzing monthly operating results of our subsidiaries. In the current year, the calculation of Adjusted EBITDA for Arnold includes the add-back of certain expenses that have been incurred related to the relocation of two of Arnold's facilities in the United States.</w:t>
      </w:r>
    </w:p>
    <w:p>
      <w:pPr>
        <w:spacing w:after="0" w:line="200" w:lineRule="exact"/>
        <w:rPr>
          <w:sz w:val="20"/>
          <w:szCs w:val="20"/>
          <w:color w:val="auto"/>
        </w:rPr>
      </w:pPr>
    </w:p>
    <w:p>
      <w:pPr>
        <w:spacing w:after="0" w:line="38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67945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376"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551180</wp:posOffset>
            </wp:positionH>
            <wp:positionV relativeFrom="page">
              <wp:posOffset>868680</wp:posOffset>
            </wp:positionV>
            <wp:extent cx="64465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46520" cy="8255"/>
                    </a:xfrm>
                    <a:prstGeom prst="rect">
                      <a:avLst/>
                    </a:prstGeom>
                    <a:noFill/>
                  </pic:spPr>
                </pic:pic>
              </a:graphicData>
            </a:graphic>
          </wp:anchor>
        </w:drawing>
        <w:t>Adjusted EBITDA</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Corporate</w:t>
            </w: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3"/>
                <w:szCs w:val="13"/>
                <w:b w:val="1"/>
                <w:bCs w:val="1"/>
                <w:color w:val="auto"/>
              </w:rPr>
              <w:t>5.11</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BOA</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Lugano</w:t>
            </w:r>
          </w:p>
        </w:tc>
        <w:tc>
          <w:tcPr>
            <w:tcW w:w="8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rPr>
              <w:t>PrimaLoft</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rPr>
              <w:t>Velocity</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Altor</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Arnold</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Sterno</w:t>
            </w:r>
          </w:p>
        </w:tc>
        <w:tc>
          <w:tcPr>
            <w:tcW w:w="9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88"/>
        </w:trPr>
        <w:tc>
          <w:tcPr>
            <w:tcW w:w="20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Outdoor</w:t>
            </w: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2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Net income (loss) from</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(60,454)</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21,690</w:t>
            </w: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16,496</w:t>
            </w: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52,315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(69,883)</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16,504</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10,434</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8,115</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(44,828)</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20"/>
              <w:spacing w:after="0"/>
              <w:rPr>
                <w:sz w:val="20"/>
                <w:szCs w:val="20"/>
                <w:color w:val="auto"/>
              </w:rPr>
            </w:pPr>
            <w:r>
              <w:rPr>
                <w:rFonts w:ascii="Arial" w:cs="Arial" w:eastAsia="Arial" w:hAnsi="Arial"/>
                <w:sz w:val="14"/>
                <w:szCs w:val="14"/>
                <w:color w:val="auto"/>
              </w:rPr>
              <w:t>Adjusted for:</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Provision (benefit) for</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4,994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14,589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(5,673)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(5,616)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5,890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22,639</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w:t>
            </w: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720" w:type="dxa"/>
            <w:vAlign w:val="bottom"/>
          </w:tcPr>
          <w:p>
            <w:pPr>
              <w:jc w:val="right"/>
              <w:spacing w:after="0"/>
              <w:rPr>
                <w:sz w:val="20"/>
                <w:szCs w:val="20"/>
                <w:color w:val="auto"/>
              </w:rPr>
            </w:pPr>
            <w:r>
              <w:rPr>
                <w:rFonts w:ascii="Arial" w:cs="Arial" w:eastAsia="Arial" w:hAnsi="Arial"/>
                <w:sz w:val="14"/>
                <w:szCs w:val="14"/>
                <w:color w:val="auto"/>
              </w:rPr>
              <w:t>104,855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105,179</w:t>
            </w:r>
          </w:p>
        </w:tc>
        <w:tc>
          <w:tcPr>
            <w:tcW w:w="0" w:type="dxa"/>
            <w:vAlign w:val="bottom"/>
          </w:tcPr>
          <w:p>
            <w:pPr>
              <w:spacing w:after="0"/>
              <w:rPr>
                <w:sz w:val="1"/>
                <w:szCs w:val="1"/>
                <w:color w:val="auto"/>
              </w:rPr>
            </w:pPr>
          </w:p>
        </w:tc>
      </w:tr>
      <w:tr>
        <w:trPr>
          <w:trHeight w:val="207"/>
        </w:trPr>
        <w:tc>
          <w:tcPr>
            <w:tcW w:w="2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Intercompany interest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2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26,009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22,932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9,229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21,478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13,282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16,741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8,441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19,959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139,569</w:t>
            </w:r>
          </w:p>
        </w:tc>
        <w:tc>
          <w:tcPr>
            <w:tcW w:w="0" w:type="dxa"/>
            <w:vAlign w:val="bottom"/>
          </w:tcPr>
          <w:p>
            <w:pPr>
              <w:spacing w:after="0"/>
              <w:rPr>
                <w:sz w:val="1"/>
                <w:szCs w:val="1"/>
                <w:color w:val="auto"/>
              </w:rPr>
            </w:pPr>
          </w:p>
        </w:tc>
      </w:tr>
      <w:tr>
        <w:trPr>
          <w:trHeight w:val="189"/>
        </w:trPr>
        <w:tc>
          <w:tcPr>
            <w:tcW w:w="2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amortization</w:t>
            </w: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EBITDA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72,929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49,853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45,834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222,559</w:t>
            </w:r>
          </w:p>
        </w:tc>
        <w:tc>
          <w:tcPr>
            <w:tcW w:w="0" w:type="dxa"/>
            <w:vAlign w:val="bottom"/>
          </w:tcPr>
          <w:p>
            <w:pPr>
              <w:spacing w:after="0"/>
              <w:rPr>
                <w:sz w:val="1"/>
                <w:szCs w:val="1"/>
                <w:color w:val="auto"/>
              </w:rPr>
            </w:pPr>
          </w:p>
        </w:tc>
      </w:tr>
      <w:tr>
        <w:trPr>
          <w:trHeight w:val="198"/>
        </w:trPr>
        <w:tc>
          <w:tcPr>
            <w:tcW w:w="2020" w:type="dxa"/>
            <w:vAlign w:val="bottom"/>
          </w:tcPr>
          <w:p>
            <w:pPr>
              <w:ind w:left="220"/>
              <w:spacing w:after="0"/>
              <w:rPr>
                <w:sz w:val="20"/>
                <w:szCs w:val="20"/>
                <w:color w:val="auto"/>
              </w:rPr>
            </w:pPr>
            <w:r>
              <w:rPr>
                <w:rFonts w:ascii="Arial" w:cs="Arial" w:eastAsia="Arial" w:hAnsi="Arial"/>
                <w:sz w:val="14"/>
                <w:szCs w:val="14"/>
                <w:color w:val="auto"/>
              </w:rPr>
              <w:t>Other (income) expense</w:t>
            </w:r>
          </w:p>
        </w:tc>
        <w:tc>
          <w:tcPr>
            <w:tcW w:w="72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153"/>
        </w:trPr>
        <w:tc>
          <w:tcPr>
            <w:tcW w:w="202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Non-controlling</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2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shareholder</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1,191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9,451</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compensation</w:t>
            </w: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220"/>
              <w:spacing w:after="0"/>
              <w:rPr>
                <w:sz w:val="20"/>
                <w:szCs w:val="20"/>
                <w:color w:val="auto"/>
              </w:rPr>
            </w:pPr>
            <w:r>
              <w:rPr>
                <w:rFonts w:ascii="Arial" w:cs="Arial" w:eastAsia="Arial" w:hAnsi="Arial"/>
                <w:sz w:val="14"/>
                <w:szCs w:val="14"/>
                <w:color w:val="auto"/>
              </w:rPr>
              <w:t>Impairment expense</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57,810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31,590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89,400</w:t>
            </w:r>
          </w:p>
        </w:tc>
        <w:tc>
          <w:tcPr>
            <w:tcW w:w="0" w:type="dxa"/>
            <w:vAlign w:val="bottom"/>
          </w:tcPr>
          <w:p>
            <w:pPr>
              <w:spacing w:after="0"/>
              <w:rPr>
                <w:sz w:val="1"/>
                <w:szCs w:val="1"/>
                <w:color w:val="auto"/>
              </w:rPr>
            </w:pPr>
          </w:p>
        </w:tc>
      </w:tr>
      <w:tr>
        <w:trPr>
          <w:trHeight w:val="207"/>
        </w:trPr>
        <w:tc>
          <w:tcPr>
            <w:tcW w:w="2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Integration services fee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198"/>
        </w:trPr>
        <w:tc>
          <w:tcPr>
            <w:tcW w:w="2020" w:type="dxa"/>
            <w:vAlign w:val="bottom"/>
          </w:tcPr>
          <w:p>
            <w:pPr>
              <w:ind w:left="220"/>
              <w:spacing w:after="0"/>
              <w:rPr>
                <w:sz w:val="20"/>
                <w:szCs w:val="20"/>
                <w:color w:val="auto"/>
              </w:rPr>
            </w:pPr>
            <w:r>
              <w:rPr>
                <w:rFonts w:ascii="Arial" w:cs="Arial" w:eastAsia="Arial" w:hAnsi="Arial"/>
                <w:sz w:val="14"/>
                <w:szCs w:val="14"/>
                <w:color w:val="auto"/>
              </w:rPr>
              <w:t>Other</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3,072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4,506</w:t>
            </w:r>
          </w:p>
        </w:tc>
        <w:tc>
          <w:tcPr>
            <w:tcW w:w="0" w:type="dxa"/>
            <w:vAlign w:val="bottom"/>
          </w:tcPr>
          <w:p>
            <w:pPr>
              <w:spacing w:after="0"/>
              <w:rPr>
                <w:sz w:val="1"/>
                <w:szCs w:val="1"/>
                <w:color w:val="auto"/>
              </w:rPr>
            </w:pPr>
          </w:p>
        </w:tc>
      </w:tr>
      <w:tr>
        <w:trPr>
          <w:trHeight w:val="225"/>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Adjusted EBITDA</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(80,168)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73,605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56,042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12,777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326,512</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67945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860" w:top="1376" w:right="87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482600</wp:posOffset>
            </wp:positionH>
            <wp:positionV relativeFrom="page">
              <wp:posOffset>868680</wp:posOffset>
            </wp:positionV>
            <wp:extent cx="65836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83680" cy="8255"/>
                    </a:xfrm>
                    <a:prstGeom prst="rect">
                      <a:avLst/>
                    </a:prstGeom>
                    <a:noFill/>
                  </pic:spPr>
                </pic:pic>
              </a:graphicData>
            </a:graphic>
          </wp:anchor>
        </w:drawing>
        <w:t>Adjusted EBITDA</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5.11</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BOA</w:t>
            </w:r>
          </w:p>
        </w:tc>
        <w:tc>
          <w:tcPr>
            <w:tcW w:w="76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Lugano</w:t>
            </w:r>
          </w:p>
        </w:tc>
        <w:tc>
          <w:tcPr>
            <w:tcW w:w="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PrimaLoft</w:t>
            </w:r>
          </w:p>
        </w:tc>
        <w:tc>
          <w:tcPr>
            <w:tcW w:w="82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Velocity</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Altor</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Arnold</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Sterno</w:t>
            </w:r>
          </w:p>
        </w:tc>
        <w:tc>
          <w:tcPr>
            <w:tcW w:w="9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Outdoor</w:t>
            </w: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Net income (loss) from</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(84,103)</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22,633</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42,613</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27,934</w:t>
            </w: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(17,741)</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4,127</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9,662</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7,683</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3,406</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16,214</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20"/>
              <w:spacing w:after="0"/>
              <w:rPr>
                <w:sz w:val="20"/>
                <w:szCs w:val="20"/>
                <w:color w:val="auto"/>
              </w:rPr>
            </w:pPr>
            <w:r>
              <w:rPr>
                <w:rFonts w:ascii="Arial" w:cs="Arial" w:eastAsia="Arial" w:hAnsi="Arial"/>
                <w:sz w:val="14"/>
                <w:szCs w:val="14"/>
                <w:color w:val="auto"/>
              </w:rPr>
              <w:t>Adjusted for:</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8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Provision (benefit) for</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12,119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6,527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11,889</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1,562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3,329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41,367</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w:t>
            </w: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83,243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83,482</w:t>
            </w:r>
          </w:p>
        </w:tc>
        <w:tc>
          <w:tcPr>
            <w:tcW w:w="0" w:type="dxa"/>
            <w:vAlign w:val="bottom"/>
          </w:tcPr>
          <w:p>
            <w:pPr>
              <w:spacing w:after="0"/>
              <w:rPr>
                <w:sz w:val="1"/>
                <w:szCs w:val="1"/>
                <w:color w:val="auto"/>
              </w:rPr>
            </w:pPr>
          </w:p>
        </w:tc>
      </w:tr>
      <w:tr>
        <w:trPr>
          <w:trHeight w:val="207"/>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Intercompany interest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18,153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80" w:type="dxa"/>
            <w:vAlign w:val="bottom"/>
          </w:tcPr>
          <w:p>
            <w:pPr>
              <w:ind w:left="220"/>
              <w:spacing w:after="0"/>
              <w:rPr>
                <w:sz w:val="20"/>
                <w:szCs w:val="20"/>
                <w:color w:val="auto"/>
              </w:rPr>
            </w:pPr>
            <w:r>
              <w:rPr>
                <w:rFonts w:ascii="Arial" w:cs="Arial" w:eastAsia="Arial" w:hAnsi="Arial"/>
                <w:sz w:val="14"/>
                <w:szCs w:val="14"/>
                <w:color w:val="auto"/>
              </w:rPr>
              <w:t>Loss on debt extinguishment</w:t>
            </w:r>
          </w:p>
        </w:tc>
        <w:tc>
          <w:tcPr>
            <w:tcW w:w="16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53"/>
        </w:trPr>
        <w:tc>
          <w:tcPr>
            <w:tcW w:w="208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Depreciation and</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1,492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22,972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21,993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11,533</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10,465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13,374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16,403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8,041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20,293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126,566</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EBITDA</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(72,866)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66,491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78,518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64,145</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29,574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39,981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24,597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41,372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268,163</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148"/>
        </w:trPr>
        <w:tc>
          <w:tcPr>
            <w:tcW w:w="2080" w:type="dxa"/>
            <w:vAlign w:val="bottom"/>
          </w:tcPr>
          <w:p>
            <w:pPr>
              <w:ind w:left="220"/>
              <w:spacing w:after="0" w:line="149" w:lineRule="exact"/>
              <w:rPr>
                <w:sz w:val="20"/>
                <w:szCs w:val="20"/>
                <w:color w:val="auto"/>
              </w:rPr>
            </w:pPr>
            <w:r>
              <w:rPr>
                <w:rFonts w:ascii="Arial" w:cs="Arial" w:eastAsia="Arial" w:hAnsi="Arial"/>
                <w:sz w:val="14"/>
                <w:szCs w:val="14"/>
                <w:color w:val="auto"/>
              </w:rPr>
              <w:t>Non-controlling shareholder</w:t>
            </w:r>
          </w:p>
        </w:tc>
        <w:tc>
          <w:tcPr>
            <w:tcW w:w="16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1,511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2,511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1,179</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2,142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971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844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10,519</w:t>
            </w:r>
          </w:p>
        </w:tc>
        <w:tc>
          <w:tcPr>
            <w:tcW w:w="0" w:type="dxa"/>
            <w:vAlign w:val="bottom"/>
          </w:tcPr>
          <w:p>
            <w:pPr>
              <w:spacing w:after="0"/>
              <w:rPr>
                <w:sz w:val="1"/>
                <w:szCs w:val="1"/>
                <w:color w:val="auto"/>
              </w:rPr>
            </w:pPr>
          </w:p>
        </w:tc>
      </w:tr>
      <w:tr>
        <w:trPr>
          <w:trHeight w:val="189"/>
        </w:trPr>
        <w:tc>
          <w:tcPr>
            <w:tcW w:w="2080" w:type="dxa"/>
            <w:vAlign w:val="bottom"/>
          </w:tcPr>
          <w:p>
            <w:pPr>
              <w:ind w:left="220"/>
              <w:spacing w:after="0"/>
              <w:rPr>
                <w:sz w:val="20"/>
                <w:szCs w:val="20"/>
                <w:color w:val="auto"/>
              </w:rPr>
            </w:pPr>
            <w:r>
              <w:rPr>
                <w:rFonts w:ascii="Arial" w:cs="Arial" w:eastAsia="Arial" w:hAnsi="Arial"/>
                <w:sz w:val="14"/>
                <w:szCs w:val="14"/>
                <w:color w:val="auto"/>
              </w:rPr>
              <w:t>compensation</w:t>
            </w: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expenses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6,118</w:t>
            </w:r>
          </w:p>
        </w:tc>
        <w:tc>
          <w:tcPr>
            <w:tcW w:w="0" w:type="dxa"/>
            <w:vAlign w:val="bottom"/>
          </w:tcPr>
          <w:p>
            <w:pPr>
              <w:spacing w:after="0"/>
              <w:rPr>
                <w:sz w:val="1"/>
                <w:szCs w:val="1"/>
                <w:color w:val="auto"/>
              </w:rPr>
            </w:pPr>
          </w:p>
        </w:tc>
      </w:tr>
      <w:tr>
        <w:trPr>
          <w:trHeight w:val="198"/>
        </w:trPr>
        <w:tc>
          <w:tcPr>
            <w:tcW w:w="2080" w:type="dxa"/>
            <w:vAlign w:val="bottom"/>
          </w:tcPr>
          <w:p>
            <w:pPr>
              <w:ind w:left="220"/>
              <w:spacing w:after="0"/>
              <w:rPr>
                <w:sz w:val="20"/>
                <w:szCs w:val="20"/>
                <w:color w:val="auto"/>
              </w:rPr>
            </w:pPr>
            <w:r>
              <w:rPr>
                <w:rFonts w:ascii="Arial" w:cs="Arial" w:eastAsia="Arial" w:hAnsi="Arial"/>
                <w:sz w:val="14"/>
                <w:szCs w:val="14"/>
                <w:color w:val="auto"/>
              </w:rPr>
              <w:t>Integration services fee</w:t>
            </w:r>
          </w:p>
        </w:tc>
        <w:tc>
          <w:tcPr>
            <w:tcW w:w="1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1,688</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4,063</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w:t>
            </w:r>
          </w:p>
        </w:tc>
        <w:tc>
          <w:tcPr>
            <w:tcW w:w="0" w:type="dxa"/>
            <w:vAlign w:val="bottom"/>
          </w:tcPr>
          <w:p>
            <w:pPr>
              <w:spacing w:after="0"/>
              <w:rPr>
                <w:sz w:val="1"/>
                <w:szCs w:val="1"/>
                <w:color w:val="auto"/>
              </w:rPr>
            </w:pPr>
          </w:p>
        </w:tc>
      </w:tr>
      <w:tr>
        <w:trPr>
          <w:trHeight w:val="200"/>
        </w:trPr>
        <w:tc>
          <w:tcPr>
            <w:tcW w:w="2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(72,924)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67,785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82,072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67,014</w:t>
            </w:r>
          </w:p>
        </w:tc>
        <w:tc>
          <w:tcPr>
            <w:tcW w:w="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6,660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33,184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42,284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24,617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41,816</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292,508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67945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760" w:top="1376" w:right="7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u w:val="single" w:color="auto"/>
          <w:color w:val="auto"/>
        </w:rPr>
        <w:t>Reconciliation of Net income (loss) to Adjusted Earnings and Adjusted EBITDA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Adjusted Earnings to Net income (loss), which we consider the most comparable GAAP financial measure,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Adjusted Earnings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5"/>
          </w:tcPr>
          <w:p>
            <w:pPr>
              <w:ind w:left="54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rPr>
              <w:t>Year ended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March 31, 2024</w:t>
            </w: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June 30, 2024</w:t>
            </w:r>
          </w:p>
        </w:tc>
        <w:tc>
          <w:tcPr>
            <w:tcW w:w="140" w:type="dxa"/>
            <w:vAlign w:val="bottom"/>
          </w:tcPr>
          <w:p>
            <w:pPr>
              <w:spacing w:after="0"/>
              <w:rPr>
                <w:sz w:val="12"/>
                <w:szCs w:val="12"/>
                <w:color w:val="auto"/>
              </w:rPr>
            </w:pPr>
          </w:p>
        </w:tc>
        <w:tc>
          <w:tcPr>
            <w:tcW w:w="1340" w:type="dxa"/>
            <w:vAlign w:val="bottom"/>
            <w:gridSpan w:val="2"/>
          </w:tcPr>
          <w:p>
            <w:pPr>
              <w:ind w:left="40"/>
              <w:spacing w:after="0" w:line="142" w:lineRule="exact"/>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2"/>
                <w:szCs w:val="12"/>
                <w:color w:val="auto"/>
              </w:rPr>
            </w:pPr>
          </w:p>
        </w:tc>
        <w:tc>
          <w:tcPr>
            <w:tcW w:w="1240" w:type="dxa"/>
            <w:vAlign w:val="bottom"/>
          </w:tcPr>
          <w:p>
            <w:pPr>
              <w:jc w:val="right"/>
              <w:ind w:right="124"/>
              <w:spacing w:after="0" w:line="142" w:lineRule="exact"/>
              <w:rPr>
                <w:sz w:val="20"/>
                <w:szCs w:val="20"/>
                <w:color w:val="auto"/>
              </w:rPr>
            </w:pPr>
            <w:r>
              <w:rPr>
                <w:rFonts w:ascii="Arial" w:cs="Arial" w:eastAsia="Arial" w:hAnsi="Arial"/>
                <w:sz w:val="15"/>
                <w:szCs w:val="15"/>
                <w:b w:val="1"/>
                <w:bCs w:val="1"/>
                <w:color w:val="auto"/>
              </w:rPr>
              <w:t>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63"/>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44"/>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5,781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(13,723)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31,461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23,831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47,350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20"/>
              <w:spacing w:after="0"/>
              <w:rPr>
                <w:sz w:val="20"/>
                <w:szCs w:val="20"/>
                <w:color w:val="auto"/>
              </w:rPr>
            </w:pPr>
            <w:r>
              <w:rPr>
                <w:rFonts w:ascii="Arial" w:cs="Arial" w:eastAsia="Arial" w:hAnsi="Arial"/>
                <w:sz w:val="15"/>
                <w:szCs w:val="15"/>
                <w:color w:val="auto"/>
              </w:rPr>
              <w:t>Income (loss) from discontinued options, net of tax</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872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(7,006)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(6,905)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 on sale of discontinued operations, net of tax</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Arial" w:cs="Arial" w:eastAsia="Arial" w:hAnsi="Arial"/>
                <w:sz w:val="15"/>
                <w:szCs w:val="15"/>
                <w:color w:val="auto"/>
              </w:rPr>
              <w:t>Net income (loss) from continuing operations</w:t>
            </w: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2,119</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(14,595)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32,549</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22,225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42,298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54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Less: income from continuing operations</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attributable to 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6,041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9,989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13,631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37,426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540" w:type="dxa"/>
            <w:vAlign w:val="bottom"/>
          </w:tcPr>
          <w:p>
            <w:pPr>
              <w:ind w:left="20"/>
              <w:spacing w:after="0" w:line="129" w:lineRule="exact"/>
              <w:rPr>
                <w:sz w:val="20"/>
                <w:szCs w:val="20"/>
                <w:color w:val="auto"/>
              </w:rPr>
            </w:pPr>
            <w:r>
              <w:rPr>
                <w:rFonts w:ascii="Arial" w:cs="Arial" w:eastAsia="Arial" w:hAnsi="Arial"/>
                <w:sz w:val="14"/>
                <w:szCs w:val="14"/>
                <w:color w:val="auto"/>
              </w:rPr>
              <w:t>Net income (loss) attributable to Holdings -</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5"/>
                <w:szCs w:val="15"/>
                <w:color w:val="auto"/>
              </w:rPr>
              <w:t>continuing operations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(5,646)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(20,636)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22,560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8,594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4,872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Distributions paid: preferred shares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(6,101)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(6,345)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(6,967)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(25,458)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540" w:type="dxa"/>
            <w:vAlign w:val="bottom"/>
            <w:shd w:val="clear" w:color="auto" w:fill="CCEEFF"/>
          </w:tcPr>
          <w:p>
            <w:pPr>
              <w:ind w:left="240"/>
              <w:spacing w:after="0" w:line="150" w:lineRule="exact"/>
              <w:rPr>
                <w:sz w:val="20"/>
                <w:szCs w:val="20"/>
                <w:color w:val="auto"/>
              </w:rPr>
            </w:pPr>
            <w:r>
              <w:rPr>
                <w:rFonts w:ascii="Arial" w:cs="Arial" w:eastAsia="Arial" w:hAnsi="Arial"/>
                <w:sz w:val="15"/>
                <w:szCs w:val="15"/>
                <w:color w:val="auto"/>
              </w:rPr>
              <w:t>Amortization expense - intangible assets and</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inventory step-up</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26,642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24,956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105,055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Impairment expense</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8,182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8,182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(gain) on sale of Crosman</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24,606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40"/>
              <w:spacing w:after="0"/>
              <w:rPr>
                <w:sz w:val="20"/>
                <w:szCs w:val="20"/>
                <w:color w:val="auto"/>
              </w:rPr>
            </w:pPr>
            <w:r>
              <w:rPr>
                <w:rFonts w:ascii="Arial" w:cs="Arial" w:eastAsia="Arial" w:hAnsi="Arial"/>
                <w:sz w:val="15"/>
                <w:szCs w:val="15"/>
                <w:color w:val="auto"/>
              </w:rPr>
              <w:t>Tax effect - loss on sale of Crosman</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7,254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7,254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Non-controlling shareholder compensation</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Acquisition expenses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3,479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5,351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Integration services fee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964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11,820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13,188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Adjusted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36,450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47,159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161,632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20"/>
              <w:spacing w:after="0"/>
              <w:rPr>
                <w:sz w:val="20"/>
                <w:szCs w:val="20"/>
                <w:color w:val="auto"/>
              </w:rPr>
            </w:pPr>
            <w:r>
              <w:rPr>
                <w:rFonts w:ascii="Arial" w:cs="Arial" w:eastAsia="Arial" w:hAnsi="Arial"/>
                <w:sz w:val="15"/>
                <w:szCs w:val="15"/>
                <w:color w:val="auto"/>
              </w:rPr>
              <w:t>Plus (less):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Depreciation expense</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10,339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10,180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43,891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Income tax provision</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9,996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19,830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10,619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8,567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49,012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26,561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27,358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106,683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Amortization of debt issuance costs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1,004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1,005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4,018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540" w:type="dxa"/>
            <w:vAlign w:val="bottom"/>
            <w:shd w:val="clear" w:color="auto" w:fill="CCEEFF"/>
          </w:tcPr>
          <w:p>
            <w:pPr>
              <w:ind w:left="240"/>
              <w:spacing w:after="0" w:line="150" w:lineRule="exact"/>
              <w:rPr>
                <w:sz w:val="20"/>
                <w:szCs w:val="20"/>
                <w:color w:val="auto"/>
              </w:rPr>
            </w:pPr>
            <w:r>
              <w:rPr>
                <w:rFonts w:ascii="Arial" w:cs="Arial" w:eastAsia="Arial" w:hAnsi="Arial"/>
                <w:sz w:val="15"/>
                <w:szCs w:val="15"/>
                <w:color w:val="auto"/>
              </w:rPr>
              <w:t>Income from continuing operations attributable</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 noncontrolling interest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9,989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37,426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Distributions paid - preferred shares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6,101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6,345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6,967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25,458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Tax effect - gain on sale of Crosman</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1,375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3,902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93,426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100,447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112,715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118,180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424,768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563"/>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5"/>
          </w:tcPr>
          <w:p>
            <w:pPr>
              <w:ind w:left="54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March 31, 2023</w:t>
            </w: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June 30, 2023</w:t>
            </w:r>
          </w:p>
        </w:tc>
        <w:tc>
          <w:tcPr>
            <w:tcW w:w="140" w:type="dxa"/>
            <w:vAlign w:val="bottom"/>
          </w:tcPr>
          <w:p>
            <w:pPr>
              <w:spacing w:after="0"/>
              <w:rPr>
                <w:sz w:val="12"/>
                <w:szCs w:val="12"/>
                <w:color w:val="auto"/>
              </w:rPr>
            </w:pPr>
          </w:p>
        </w:tc>
        <w:tc>
          <w:tcPr>
            <w:tcW w:w="1340" w:type="dxa"/>
            <w:vAlign w:val="bottom"/>
            <w:gridSpan w:val="2"/>
          </w:tcPr>
          <w:p>
            <w:pPr>
              <w:ind w:left="40"/>
              <w:spacing w:after="0" w:line="142" w:lineRule="exact"/>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2"/>
                <w:szCs w:val="12"/>
                <w:color w:val="auto"/>
              </w:rPr>
            </w:pPr>
          </w:p>
        </w:tc>
        <w:tc>
          <w:tcPr>
            <w:tcW w:w="1240" w:type="dxa"/>
            <w:vAlign w:val="bottom"/>
          </w:tcPr>
          <w:p>
            <w:pPr>
              <w:jc w:val="right"/>
              <w:ind w:right="124"/>
              <w:spacing w:after="0" w:line="142" w:lineRule="exact"/>
              <w:rPr>
                <w:sz w:val="20"/>
                <w:szCs w:val="20"/>
                <w:color w:val="auto"/>
              </w:rPr>
            </w:pPr>
            <w:r>
              <w:rPr>
                <w:rFonts w:ascii="Arial" w:cs="Arial" w:eastAsia="Arial" w:hAnsi="Arial"/>
                <w:sz w:val="15"/>
                <w:szCs w:val="15"/>
                <w:b w:val="1"/>
                <w:bCs w:val="1"/>
                <w:color w:val="auto"/>
              </w:rPr>
              <w:t>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64"/>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44"/>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109,601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17,123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139,441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262,405</w:t>
            </w:r>
          </w:p>
        </w:tc>
        <w:tc>
          <w:tcPr>
            <w:tcW w:w="0" w:type="dxa"/>
            <w:vAlign w:val="bottom"/>
          </w:tcPr>
          <w:p>
            <w:pPr>
              <w:spacing w:after="0"/>
              <w:rPr>
                <w:sz w:val="1"/>
                <w:szCs w:val="1"/>
                <w:color w:val="auto"/>
              </w:rPr>
            </w:pPr>
          </w:p>
        </w:tc>
      </w:tr>
      <w:tr>
        <w:trPr>
          <w:trHeight w:val="201"/>
        </w:trPr>
        <w:tc>
          <w:tcPr>
            <w:tcW w:w="3540" w:type="dxa"/>
            <w:vAlign w:val="bottom"/>
          </w:tcPr>
          <w:p>
            <w:pPr>
              <w:ind w:left="20"/>
              <w:spacing w:after="0"/>
              <w:rPr>
                <w:sz w:val="20"/>
                <w:szCs w:val="20"/>
                <w:color w:val="auto"/>
              </w:rPr>
            </w:pPr>
            <w:r>
              <w:rPr>
                <w:rFonts w:ascii="Arial" w:cs="Arial" w:eastAsia="Arial" w:hAnsi="Arial"/>
                <w:sz w:val="15"/>
                <w:szCs w:val="15"/>
                <w:color w:val="auto"/>
              </w:rPr>
              <w:t>Income (loss) from discontinued options, net of tax</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10,939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5,437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10,858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(3,026)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24,208</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 on sale of discontinued operations, net of tax</w:t>
            </w: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97,989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4,232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1,274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179,530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283,025</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Arial" w:cs="Arial" w:eastAsia="Arial" w:hAnsi="Arial"/>
                <w:sz w:val="15"/>
                <w:szCs w:val="15"/>
                <w:color w:val="auto"/>
              </w:rPr>
              <w:t>Net income (loss) from continuing operations</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7,454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(15,892)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(37,063)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(44,828)</w:t>
            </w:r>
          </w:p>
        </w:tc>
        <w:tc>
          <w:tcPr>
            <w:tcW w:w="0" w:type="dxa"/>
            <w:vAlign w:val="bottom"/>
          </w:tcPr>
          <w:p>
            <w:pPr>
              <w:spacing w:after="0"/>
              <w:rPr>
                <w:sz w:val="1"/>
                <w:szCs w:val="1"/>
                <w:color w:val="auto"/>
              </w:rPr>
            </w:pPr>
          </w:p>
        </w:tc>
      </w:tr>
      <w:tr>
        <w:trPr>
          <w:trHeight w:val="150"/>
        </w:trPr>
        <w:tc>
          <w:tcPr>
            <w:tcW w:w="354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Less: income from continuing operations</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attributable to 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3,428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5,769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16,423</w:t>
            </w:r>
          </w:p>
        </w:tc>
        <w:tc>
          <w:tcPr>
            <w:tcW w:w="0" w:type="dxa"/>
            <w:vAlign w:val="bottom"/>
          </w:tcPr>
          <w:p>
            <w:pPr>
              <w:spacing w:after="0"/>
              <w:rPr>
                <w:sz w:val="1"/>
                <w:szCs w:val="1"/>
                <w:color w:val="auto"/>
              </w:rPr>
            </w:pPr>
          </w:p>
        </w:tc>
      </w:tr>
      <w:tr>
        <w:trPr>
          <w:trHeight w:val="129"/>
        </w:trPr>
        <w:tc>
          <w:tcPr>
            <w:tcW w:w="3540" w:type="dxa"/>
            <w:vAlign w:val="bottom"/>
          </w:tcPr>
          <w:p>
            <w:pPr>
              <w:ind w:left="20"/>
              <w:spacing w:after="0" w:line="129" w:lineRule="exact"/>
              <w:rPr>
                <w:sz w:val="20"/>
                <w:szCs w:val="20"/>
                <w:color w:val="auto"/>
              </w:rPr>
            </w:pPr>
            <w:r>
              <w:rPr>
                <w:rFonts w:ascii="Arial" w:cs="Arial" w:eastAsia="Arial" w:hAnsi="Arial"/>
                <w:sz w:val="14"/>
                <w:szCs w:val="14"/>
                <w:color w:val="auto"/>
              </w:rPr>
              <w:t>Net income (loss) attributable to Holdings -</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5"/>
                <w:szCs w:val="15"/>
                <w:color w:val="auto"/>
              </w:rPr>
              <w:t>continuing operations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(3,725)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4,026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(21,661)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(39,891)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(61,251)</w:t>
            </w: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Distributions paid: preferred shares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(24,181)</w:t>
            </w:r>
          </w:p>
        </w:tc>
        <w:tc>
          <w:tcPr>
            <w:tcW w:w="0" w:type="dxa"/>
            <w:vAlign w:val="bottom"/>
          </w:tcPr>
          <w:p>
            <w:pPr>
              <w:spacing w:after="0"/>
              <w:rPr>
                <w:sz w:val="1"/>
                <w:szCs w:val="1"/>
                <w:color w:val="auto"/>
              </w:rPr>
            </w:pPr>
          </w:p>
        </w:tc>
      </w:tr>
      <w:tr>
        <w:trPr>
          <w:trHeight w:val="150"/>
        </w:trPr>
        <w:tc>
          <w:tcPr>
            <w:tcW w:w="3540" w:type="dxa"/>
            <w:vAlign w:val="bottom"/>
            <w:shd w:val="clear" w:color="auto" w:fill="CCEEFF"/>
          </w:tcPr>
          <w:p>
            <w:pPr>
              <w:ind w:left="240"/>
              <w:spacing w:after="0" w:line="150" w:lineRule="exact"/>
              <w:rPr>
                <w:sz w:val="20"/>
                <w:szCs w:val="20"/>
                <w:color w:val="auto"/>
              </w:rPr>
            </w:pPr>
            <w:r>
              <w:rPr>
                <w:rFonts w:ascii="Arial" w:cs="Arial" w:eastAsia="Arial" w:hAnsi="Arial"/>
                <w:sz w:val="15"/>
                <w:szCs w:val="15"/>
                <w:color w:val="auto"/>
              </w:rPr>
              <w:t>Amortization expense - intangible assets and</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inventory step-up</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22,111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22,090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89,572</w:t>
            </w: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Impairment expense</w:t>
            </w:r>
          </w:p>
        </w:tc>
        <w:tc>
          <w:tcPr>
            <w:tcW w:w="1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32,568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56,832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89,400</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Tax effect - impairment expense</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(3,330)</w:t>
            </w: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Non-controlling interest - impairment expense</w:t>
            </w:r>
          </w:p>
        </w:tc>
        <w:tc>
          <w:tcPr>
            <w:tcW w:w="1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(5,382)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(5,382)</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Non-controlling shareholder compensation</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9,451</w:t>
            </w: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Integration services fee</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1,188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2,375</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4,506</w:t>
            </w: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Arial" w:cs="Arial" w:eastAsia="Arial" w:hAnsi="Arial"/>
                <w:sz w:val="15"/>
                <w:szCs w:val="15"/>
                <w:b w:val="1"/>
                <w:bCs w:val="1"/>
                <w:color w:val="auto"/>
              </w:rPr>
              <w:t>Adjusted earnings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16,461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24,522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25,431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34,746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101,160</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Plus (less):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Depreciation expense</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11,006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11,958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11,853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11,142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45,959</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 tax provision</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22,639</w:t>
            </w: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26,180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26,613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27,559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24,828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105,180</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Amortization of debt issuance costs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4,038</w:t>
            </w:r>
          </w:p>
        </w:tc>
        <w:tc>
          <w:tcPr>
            <w:tcW w:w="0" w:type="dxa"/>
            <w:vAlign w:val="bottom"/>
          </w:tcPr>
          <w:p>
            <w:pPr>
              <w:spacing w:after="0"/>
              <w:rPr>
                <w:sz w:val="1"/>
                <w:szCs w:val="1"/>
                <w:color w:val="auto"/>
              </w:rPr>
            </w:pPr>
          </w:p>
        </w:tc>
      </w:tr>
      <w:tr>
        <w:trPr>
          <w:trHeight w:val="149"/>
        </w:trPr>
        <w:tc>
          <w:tcPr>
            <w:tcW w:w="3540" w:type="dxa"/>
            <w:vAlign w:val="bottom"/>
          </w:tcPr>
          <w:p>
            <w:pPr>
              <w:ind w:left="240"/>
              <w:spacing w:after="0" w:line="149" w:lineRule="exact"/>
              <w:rPr>
                <w:sz w:val="20"/>
                <w:szCs w:val="20"/>
                <w:color w:val="auto"/>
              </w:rPr>
            </w:pPr>
            <w:r>
              <w:rPr>
                <w:rFonts w:ascii="Arial" w:cs="Arial" w:eastAsia="Arial" w:hAnsi="Arial"/>
                <w:sz w:val="15"/>
                <w:szCs w:val="15"/>
                <w:color w:val="auto"/>
              </w:rPr>
              <w:t>Income from continuing operations attributable</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40"/>
              <w:spacing w:after="0"/>
              <w:rPr>
                <w:sz w:val="20"/>
                <w:szCs w:val="20"/>
                <w:color w:val="auto"/>
              </w:rPr>
            </w:pPr>
            <w:r>
              <w:rPr>
                <w:rFonts w:ascii="Arial" w:cs="Arial" w:eastAsia="Arial" w:hAnsi="Arial"/>
                <w:sz w:val="15"/>
                <w:szCs w:val="15"/>
                <w:color w:val="auto"/>
              </w:rPr>
              <w:t>to noncontrolling interest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3,428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5,769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2,828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16,423</w:t>
            </w: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Distributions paid - preferred shares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24,181</w:t>
            </w:r>
          </w:p>
        </w:tc>
        <w:tc>
          <w:tcPr>
            <w:tcW w:w="0" w:type="dxa"/>
            <w:vAlign w:val="bottom"/>
          </w:tcPr>
          <w:p>
            <w:pPr>
              <w:spacing w:after="0"/>
              <w:rPr>
                <w:sz w:val="1"/>
                <w:szCs w:val="1"/>
                <w:color w:val="auto"/>
              </w:rPr>
            </w:pPr>
          </w:p>
        </w:tc>
      </w:tr>
      <w:tr>
        <w:trPr>
          <w:trHeight w:val="201"/>
        </w:trPr>
        <w:tc>
          <w:tcPr>
            <w:tcW w:w="3540" w:type="dxa"/>
            <w:vAlign w:val="bottom"/>
          </w:tcPr>
          <w:p>
            <w:pPr>
              <w:ind w:left="240"/>
              <w:spacing w:after="0"/>
              <w:rPr>
                <w:sz w:val="20"/>
                <w:szCs w:val="20"/>
                <w:color w:val="auto"/>
              </w:rPr>
            </w:pPr>
            <w:r>
              <w:rPr>
                <w:rFonts w:ascii="Arial" w:cs="Arial" w:eastAsia="Arial" w:hAnsi="Arial"/>
                <w:sz w:val="15"/>
                <w:szCs w:val="15"/>
                <w:color w:val="auto"/>
              </w:rPr>
              <w:t>Tax effect - impairment expense</w:t>
            </w:r>
          </w:p>
        </w:tc>
        <w:tc>
          <w:tcPr>
            <w:tcW w:w="1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4,308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Arial" w:cs="Arial" w:eastAsia="Arial" w:hAnsi="Arial"/>
                <w:sz w:val="15"/>
                <w:szCs w:val="15"/>
                <w:color w:val="auto"/>
              </w:rPr>
              <w:t>3,330</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Non-controlling interest - impairment expense</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5,382</w:t>
            </w:r>
          </w:p>
        </w:tc>
        <w:tc>
          <w:tcPr>
            <w:tcW w:w="0" w:type="dxa"/>
            <w:vAlign w:val="bottom"/>
          </w:tcPr>
          <w:p>
            <w:pPr>
              <w:spacing w:after="0"/>
              <w:rPr>
                <w:sz w:val="1"/>
                <w:szCs w:val="1"/>
                <w:color w:val="auto"/>
              </w:rPr>
            </w:pPr>
          </w:p>
        </w:tc>
      </w:tr>
      <w:tr>
        <w:trPr>
          <w:trHeight w:val="201"/>
        </w:trPr>
        <w:tc>
          <w:tcPr>
            <w:tcW w:w="35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(1,780)</w:t>
            </w:r>
          </w:p>
        </w:tc>
        <w:tc>
          <w:tcPr>
            <w:tcW w:w="0" w:type="dxa"/>
            <w:vAlign w:val="bottom"/>
          </w:tcPr>
          <w:p>
            <w:pPr>
              <w:spacing w:after="0"/>
              <w:rPr>
                <w:sz w:val="1"/>
                <w:szCs w:val="1"/>
                <w:color w:val="auto"/>
              </w:rPr>
            </w:pPr>
          </w:p>
        </w:tc>
      </w:tr>
      <w:tr>
        <w:trPr>
          <w:trHeight w:val="22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71,406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78,087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85,383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91,636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326,512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1" w:right="47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5"/>
          </w:tcPr>
          <w:p>
            <w:pPr>
              <w:ind w:left="54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June 30, 2022</w:t>
            </w:r>
          </w:p>
        </w:tc>
        <w:tc>
          <w:tcPr>
            <w:tcW w:w="140" w:type="dxa"/>
            <w:vAlign w:val="bottom"/>
          </w:tcPr>
          <w:p>
            <w:pPr>
              <w:spacing w:after="0"/>
              <w:rPr>
                <w:sz w:val="12"/>
                <w:szCs w:val="12"/>
                <w:color w:val="auto"/>
              </w:rPr>
            </w:pPr>
          </w:p>
        </w:tc>
        <w:tc>
          <w:tcPr>
            <w:tcW w:w="1360" w:type="dxa"/>
            <w:vAlign w:val="bottom"/>
            <w:gridSpan w:val="2"/>
          </w:tcPr>
          <w:p>
            <w:pPr>
              <w:ind w:left="40"/>
              <w:spacing w:after="0" w:line="142"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2"/>
                <w:szCs w:val="12"/>
                <w:color w:val="auto"/>
              </w:rPr>
            </w:pPr>
          </w:p>
        </w:tc>
        <w:tc>
          <w:tcPr>
            <w:tcW w:w="1260" w:type="dxa"/>
            <w:vAlign w:val="bottom"/>
          </w:tcPr>
          <w:p>
            <w:pPr>
              <w:jc w:val="right"/>
              <w:ind w:right="124"/>
              <w:spacing w:after="0" w:line="142" w:lineRule="exact"/>
              <w:rPr>
                <w:sz w:val="20"/>
                <w:szCs w:val="20"/>
                <w:color w:val="auto"/>
              </w:rPr>
            </w:pPr>
            <w:r>
              <w:rPr>
                <w:rFonts w:ascii="Arial" w:cs="Arial" w:eastAsia="Arial" w:hAnsi="Arial"/>
                <w:sz w:val="15"/>
                <w:szCs w:val="15"/>
                <w:b w:val="1"/>
                <w:bCs w:val="1"/>
                <w:color w:val="auto"/>
              </w:rPr>
              <w:t>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64"/>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64"/>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29,740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30,957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2,585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(11,844)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51,438</w:t>
            </w:r>
          </w:p>
        </w:tc>
        <w:tc>
          <w:tcPr>
            <w:tcW w:w="0" w:type="dxa"/>
            <w:vAlign w:val="bottom"/>
          </w:tcPr>
          <w:p>
            <w:pPr>
              <w:spacing w:after="0"/>
              <w:rPr>
                <w:sz w:val="1"/>
                <w:szCs w:val="1"/>
                <w:color w:val="auto"/>
              </w:rPr>
            </w:pPr>
          </w:p>
        </w:tc>
      </w:tr>
      <w:tr>
        <w:trPr>
          <w:trHeight w:val="201"/>
        </w:trPr>
        <w:tc>
          <w:tcPr>
            <w:tcW w:w="3460" w:type="dxa"/>
            <w:vAlign w:val="bottom"/>
          </w:tcPr>
          <w:p>
            <w:pPr>
              <w:ind w:left="20"/>
              <w:spacing w:after="0"/>
              <w:rPr>
                <w:sz w:val="20"/>
                <w:szCs w:val="20"/>
                <w:color w:val="auto"/>
              </w:rPr>
            </w:pPr>
            <w:r>
              <w:rPr>
                <w:rFonts w:ascii="Arial" w:cs="Arial" w:eastAsia="Arial" w:hAnsi="Arial"/>
                <w:sz w:val="15"/>
                <w:szCs w:val="15"/>
                <w:color w:val="auto"/>
              </w:rPr>
              <w:t>Income from discontinued options, net of tax</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12,380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7,476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11,160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(5,185)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25,831</w:t>
            </w: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 on discontinued options, net of tax</w:t>
            </w: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5,993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1,479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2,500</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9,393</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Arial" w:cs="Arial" w:eastAsia="Arial" w:hAnsi="Arial"/>
                <w:sz w:val="15"/>
                <w:szCs w:val="15"/>
                <w:color w:val="auto"/>
              </w:rPr>
              <w:t>Net income (loss) from continuing operations</w:t>
            </w:r>
          </w:p>
        </w:tc>
        <w:tc>
          <w:tcPr>
            <w:tcW w:w="140" w:type="dxa"/>
            <w:vAlign w:val="bottom"/>
          </w:tcPr>
          <w:p>
            <w:pPr>
              <w:spacing w:after="0"/>
              <w:rPr>
                <w:sz w:val="16"/>
                <w:szCs w:val="16"/>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11,367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24,060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(10,054)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(9,159)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16,214</w:t>
            </w:r>
          </w:p>
        </w:tc>
        <w:tc>
          <w:tcPr>
            <w:tcW w:w="0" w:type="dxa"/>
            <w:vAlign w:val="bottom"/>
          </w:tcPr>
          <w:p>
            <w:pPr>
              <w:spacing w:after="0"/>
              <w:rPr>
                <w:sz w:val="1"/>
                <w:szCs w:val="1"/>
                <w:color w:val="auto"/>
              </w:rPr>
            </w:pPr>
          </w:p>
        </w:tc>
      </w:tr>
      <w:tr>
        <w:trPr>
          <w:trHeight w:val="150"/>
        </w:trPr>
        <w:tc>
          <w:tcPr>
            <w:tcW w:w="346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Less: income from continuing operations</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4,658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3,436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2,180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13,793</w:t>
            </w:r>
          </w:p>
        </w:tc>
        <w:tc>
          <w:tcPr>
            <w:tcW w:w="0" w:type="dxa"/>
            <w:vAlign w:val="bottom"/>
          </w:tcPr>
          <w:p>
            <w:pPr>
              <w:spacing w:after="0"/>
              <w:rPr>
                <w:sz w:val="1"/>
                <w:szCs w:val="1"/>
                <w:color w:val="auto"/>
              </w:rPr>
            </w:pPr>
          </w:p>
        </w:tc>
      </w:tr>
      <w:tr>
        <w:trPr>
          <w:trHeight w:val="129"/>
        </w:trPr>
        <w:tc>
          <w:tcPr>
            <w:tcW w:w="3460" w:type="dxa"/>
            <w:vAlign w:val="bottom"/>
          </w:tcPr>
          <w:p>
            <w:pPr>
              <w:ind w:left="20"/>
              <w:spacing w:after="0" w:line="129" w:lineRule="exact"/>
              <w:rPr>
                <w:sz w:val="20"/>
                <w:szCs w:val="20"/>
                <w:color w:val="auto"/>
              </w:rPr>
            </w:pPr>
            <w:r>
              <w:rPr>
                <w:rFonts w:ascii="Arial" w:cs="Arial" w:eastAsia="Arial" w:hAnsi="Arial"/>
                <w:sz w:val="14"/>
                <w:szCs w:val="14"/>
                <w:color w:val="auto"/>
              </w:rPr>
              <w:t>Net income (loss) attributable to Holdings -</w:t>
            </w: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5"/>
                <w:szCs w:val="15"/>
                <w:color w:val="auto"/>
              </w:rPr>
              <w:t>continuing operations</w:t>
            </w:r>
          </w:p>
        </w:tc>
        <w:tc>
          <w:tcPr>
            <w:tcW w:w="14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6,709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20,541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(13,490)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(11,339)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2,421</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tcPr>
          <w:p>
            <w:pPr>
              <w:ind w:left="240"/>
              <w:spacing w:after="0"/>
              <w:rPr>
                <w:sz w:val="20"/>
                <w:szCs w:val="20"/>
                <w:color w:val="auto"/>
              </w:rPr>
            </w:pPr>
            <w:r>
              <w:rPr>
                <w:rFonts w:ascii="Arial" w:cs="Arial" w:eastAsia="Arial" w:hAnsi="Arial"/>
                <w:sz w:val="15"/>
                <w:szCs w:val="15"/>
                <w:color w:val="auto"/>
              </w:rPr>
              <w:t>Distributions paid: preferred shares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(6,045)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(6,045)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(24,181)</w:t>
            </w:r>
          </w:p>
        </w:tc>
        <w:tc>
          <w:tcPr>
            <w:tcW w:w="0" w:type="dxa"/>
            <w:vAlign w:val="bottom"/>
          </w:tcPr>
          <w:p>
            <w:pPr>
              <w:spacing w:after="0"/>
              <w:rPr>
                <w:sz w:val="1"/>
                <w:szCs w:val="1"/>
                <w:color w:val="auto"/>
              </w:rPr>
            </w:pPr>
          </w:p>
        </w:tc>
      </w:tr>
      <w:tr>
        <w:trPr>
          <w:trHeight w:val="150"/>
        </w:trPr>
        <w:tc>
          <w:tcPr>
            <w:tcW w:w="3460" w:type="dxa"/>
            <w:vAlign w:val="bottom"/>
            <w:shd w:val="clear" w:color="auto" w:fill="CCEEFF"/>
          </w:tcPr>
          <w:p>
            <w:pPr>
              <w:ind w:left="240"/>
              <w:spacing w:after="0" w:line="150" w:lineRule="exact"/>
              <w:rPr>
                <w:sz w:val="20"/>
                <w:szCs w:val="20"/>
                <w:color w:val="auto"/>
              </w:rPr>
            </w:pPr>
            <w:r>
              <w:rPr>
                <w:rFonts w:ascii="Arial" w:cs="Arial" w:eastAsia="Arial" w:hAnsi="Arial"/>
                <w:sz w:val="15"/>
                <w:szCs w:val="15"/>
                <w:color w:val="auto"/>
              </w:rPr>
              <w:t>Amortization expense - intangible assets and</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inventory step-up</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17,830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22,537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24,589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83,351</w:t>
            </w:r>
          </w:p>
        </w:tc>
        <w:tc>
          <w:tcPr>
            <w:tcW w:w="0" w:type="dxa"/>
            <w:vAlign w:val="bottom"/>
          </w:tcPr>
          <w:p>
            <w:pPr>
              <w:spacing w:after="0"/>
              <w:rPr>
                <w:sz w:val="1"/>
                <w:szCs w:val="1"/>
                <w:color w:val="auto"/>
              </w:rPr>
            </w:pPr>
          </w:p>
        </w:tc>
      </w:tr>
      <w:tr>
        <w:trPr>
          <w:trHeight w:val="201"/>
        </w:trPr>
        <w:tc>
          <w:tcPr>
            <w:tcW w:w="3460" w:type="dxa"/>
            <w:vAlign w:val="bottom"/>
          </w:tcPr>
          <w:p>
            <w:pPr>
              <w:ind w:left="240"/>
              <w:spacing w:after="0"/>
              <w:rPr>
                <w:sz w:val="20"/>
                <w:szCs w:val="20"/>
                <w:color w:val="auto"/>
              </w:rPr>
            </w:pPr>
            <w:r>
              <w:rPr>
                <w:rFonts w:ascii="Arial" w:cs="Arial" w:eastAsia="Arial" w:hAnsi="Arial"/>
                <w:sz w:val="15"/>
                <w:szCs w:val="15"/>
                <w:color w:val="auto"/>
              </w:rPr>
              <w:t>Loss on debt extinguishment</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534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534</w:t>
            </w: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Non-controlling shareholder compensation</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1,992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10,519</w:t>
            </w:r>
          </w:p>
        </w:tc>
        <w:tc>
          <w:tcPr>
            <w:tcW w:w="0" w:type="dxa"/>
            <w:vAlign w:val="bottom"/>
          </w:tcPr>
          <w:p>
            <w:pPr>
              <w:spacing w:after="0"/>
              <w:rPr>
                <w:sz w:val="1"/>
                <w:szCs w:val="1"/>
                <w:color w:val="auto"/>
              </w:rPr>
            </w:pPr>
          </w:p>
        </w:tc>
      </w:tr>
      <w:tr>
        <w:trPr>
          <w:trHeight w:val="201"/>
        </w:trPr>
        <w:tc>
          <w:tcPr>
            <w:tcW w:w="3460" w:type="dxa"/>
            <w:vAlign w:val="bottom"/>
          </w:tcPr>
          <w:p>
            <w:pPr>
              <w:ind w:left="240"/>
              <w:spacing w:after="0"/>
              <w:rPr>
                <w:sz w:val="20"/>
                <w:szCs w:val="20"/>
                <w:color w:val="auto"/>
              </w:rPr>
            </w:pPr>
            <w:r>
              <w:rPr>
                <w:rFonts w:ascii="Arial" w:cs="Arial" w:eastAsia="Arial" w:hAnsi="Arial"/>
                <w:sz w:val="15"/>
                <w:szCs w:val="15"/>
                <w:color w:val="auto"/>
              </w:rPr>
              <w:t>Acquisition expenses</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5,902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6,118</w:t>
            </w: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Integration services fee</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4,063</w:t>
            </w:r>
          </w:p>
        </w:tc>
        <w:tc>
          <w:tcPr>
            <w:tcW w:w="0" w:type="dxa"/>
            <w:vAlign w:val="bottom"/>
          </w:tcPr>
          <w:p>
            <w:pPr>
              <w:spacing w:after="0"/>
              <w:rPr>
                <w:sz w:val="1"/>
                <w:szCs w:val="1"/>
                <w:color w:val="auto"/>
              </w:rPr>
            </w:pPr>
          </w:p>
        </w:tc>
      </w:tr>
      <w:tr>
        <w:trPr>
          <w:trHeight w:val="201"/>
        </w:trPr>
        <w:tc>
          <w:tcPr>
            <w:tcW w:w="3460" w:type="dxa"/>
            <w:vAlign w:val="bottom"/>
          </w:tcPr>
          <w:p>
            <w:pPr>
              <w:ind w:left="240"/>
              <w:spacing w:after="0"/>
              <w:rPr>
                <w:sz w:val="20"/>
                <w:szCs w:val="20"/>
                <w:color w:val="auto"/>
              </w:rPr>
            </w:pPr>
            <w:r>
              <w:rPr>
                <w:rFonts w:ascii="Arial" w:cs="Arial" w:eastAsia="Arial" w:hAnsi="Arial"/>
                <w:sz w:val="15"/>
                <w:szCs w:val="15"/>
                <w:color w:val="auto"/>
              </w:rPr>
              <w:t>Corporate tax effect</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(4,338)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16,457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12,119</w:t>
            </w: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1,330</w:t>
            </w: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Arial" w:cs="Arial" w:eastAsia="Arial" w:hAnsi="Arial"/>
                <w:sz w:val="15"/>
                <w:szCs w:val="15"/>
                <w:b w:val="1"/>
                <w:bCs w:val="1"/>
                <w:color w:val="auto"/>
              </w:rPr>
              <w:t>Adjusted earnings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21,265</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31,917</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30,173</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12,919</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96,274</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Plus (less):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tcPr>
          <w:p>
            <w:pPr>
              <w:ind w:left="240"/>
              <w:spacing w:after="0"/>
              <w:rPr>
                <w:sz w:val="20"/>
                <w:szCs w:val="20"/>
                <w:color w:val="auto"/>
              </w:rPr>
            </w:pPr>
            <w:r>
              <w:rPr>
                <w:rFonts w:ascii="Arial" w:cs="Arial" w:eastAsia="Arial" w:hAnsi="Arial"/>
                <w:sz w:val="15"/>
                <w:szCs w:val="15"/>
                <w:color w:val="auto"/>
              </w:rPr>
              <w:t>Depreciation expense</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9,316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9,609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10,004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10,546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39,475</w:t>
            </w: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 tax provision</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19,294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41,367</w:t>
            </w:r>
          </w:p>
        </w:tc>
        <w:tc>
          <w:tcPr>
            <w:tcW w:w="0" w:type="dxa"/>
            <w:vAlign w:val="bottom"/>
          </w:tcPr>
          <w:p>
            <w:pPr>
              <w:spacing w:after="0"/>
              <w:rPr>
                <w:sz w:val="1"/>
                <w:szCs w:val="1"/>
                <w:color w:val="auto"/>
              </w:rPr>
            </w:pPr>
          </w:p>
        </w:tc>
      </w:tr>
      <w:tr>
        <w:trPr>
          <w:trHeight w:val="201"/>
        </w:trPr>
        <w:tc>
          <w:tcPr>
            <w:tcW w:w="3460" w:type="dxa"/>
            <w:vAlign w:val="bottom"/>
          </w:tcPr>
          <w:p>
            <w:pPr>
              <w:ind w:left="240"/>
              <w:spacing w:after="0"/>
              <w:rPr>
                <w:sz w:val="20"/>
                <w:szCs w:val="20"/>
                <w:color w:val="auto"/>
              </w:rPr>
            </w:pPr>
            <w:r>
              <w:rPr>
                <w:rFonts w:ascii="Arial" w:cs="Arial" w:eastAsia="Arial" w:hAnsi="Arial"/>
                <w:sz w:val="15"/>
                <w:szCs w:val="15"/>
                <w:color w:val="auto"/>
              </w:rPr>
              <w:t>Corporate tax effect</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4,338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(16,457)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(12,119)</w:t>
            </w: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17,418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22,796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25,761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83,482</w:t>
            </w:r>
          </w:p>
        </w:tc>
        <w:tc>
          <w:tcPr>
            <w:tcW w:w="0" w:type="dxa"/>
            <w:vAlign w:val="bottom"/>
          </w:tcPr>
          <w:p>
            <w:pPr>
              <w:spacing w:after="0"/>
              <w:rPr>
                <w:sz w:val="1"/>
                <w:szCs w:val="1"/>
                <w:color w:val="auto"/>
              </w:rPr>
            </w:pPr>
          </w:p>
        </w:tc>
      </w:tr>
      <w:tr>
        <w:trPr>
          <w:trHeight w:val="201"/>
        </w:trPr>
        <w:tc>
          <w:tcPr>
            <w:tcW w:w="3460" w:type="dxa"/>
            <w:vAlign w:val="bottom"/>
          </w:tcPr>
          <w:p>
            <w:pPr>
              <w:ind w:left="240"/>
              <w:spacing w:after="0"/>
              <w:rPr>
                <w:sz w:val="20"/>
                <w:szCs w:val="20"/>
                <w:color w:val="auto"/>
              </w:rPr>
            </w:pPr>
            <w:r>
              <w:rPr>
                <w:rFonts w:ascii="Arial" w:cs="Arial" w:eastAsia="Arial" w:hAnsi="Arial"/>
                <w:sz w:val="15"/>
                <w:szCs w:val="15"/>
                <w:color w:val="auto"/>
              </w:rPr>
              <w:t>Amortization of debt issuance costs</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866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1,004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1,005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3,740</w:t>
            </w:r>
          </w:p>
        </w:tc>
        <w:tc>
          <w:tcPr>
            <w:tcW w:w="0" w:type="dxa"/>
            <w:vAlign w:val="bottom"/>
          </w:tcPr>
          <w:p>
            <w:pPr>
              <w:spacing w:after="0"/>
              <w:rPr>
                <w:sz w:val="1"/>
                <w:szCs w:val="1"/>
                <w:color w:val="auto"/>
              </w:rPr>
            </w:pPr>
          </w:p>
        </w:tc>
      </w:tr>
      <w:tr>
        <w:trPr>
          <w:trHeight w:val="150"/>
        </w:trPr>
        <w:tc>
          <w:tcPr>
            <w:tcW w:w="3460" w:type="dxa"/>
            <w:vAlign w:val="bottom"/>
            <w:shd w:val="clear" w:color="auto" w:fill="CCEEFF"/>
          </w:tcPr>
          <w:p>
            <w:pPr>
              <w:ind w:left="240"/>
              <w:spacing w:after="0" w:line="150" w:lineRule="exact"/>
              <w:rPr>
                <w:sz w:val="20"/>
                <w:szCs w:val="20"/>
                <w:color w:val="auto"/>
              </w:rPr>
            </w:pPr>
            <w:r>
              <w:rPr>
                <w:rFonts w:ascii="Arial" w:cs="Arial" w:eastAsia="Arial" w:hAnsi="Arial"/>
                <w:sz w:val="15"/>
                <w:szCs w:val="15"/>
                <w:color w:val="auto"/>
              </w:rPr>
              <w:t>Income from continuing operations attributable</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 noncontrolling interest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13,793</w:t>
            </w:r>
          </w:p>
        </w:tc>
        <w:tc>
          <w:tcPr>
            <w:tcW w:w="0" w:type="dxa"/>
            <w:vAlign w:val="bottom"/>
          </w:tcPr>
          <w:p>
            <w:pPr>
              <w:spacing w:after="0"/>
              <w:rPr>
                <w:sz w:val="1"/>
                <w:szCs w:val="1"/>
                <w:color w:val="auto"/>
              </w:rPr>
            </w:pPr>
          </w:p>
        </w:tc>
      </w:tr>
      <w:tr>
        <w:trPr>
          <w:trHeight w:val="201"/>
        </w:trPr>
        <w:tc>
          <w:tcPr>
            <w:tcW w:w="3460" w:type="dxa"/>
            <w:vAlign w:val="bottom"/>
          </w:tcPr>
          <w:p>
            <w:pPr>
              <w:ind w:left="240"/>
              <w:spacing w:after="0"/>
              <w:rPr>
                <w:sz w:val="20"/>
                <w:szCs w:val="20"/>
                <w:color w:val="auto"/>
              </w:rPr>
            </w:pPr>
            <w:r>
              <w:rPr>
                <w:rFonts w:ascii="Arial" w:cs="Arial" w:eastAsia="Arial" w:hAnsi="Arial"/>
                <w:sz w:val="15"/>
                <w:szCs w:val="15"/>
                <w:color w:val="auto"/>
              </w:rPr>
              <w:t>Distributions paid - preferred shares</w:t>
            </w: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6,045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6,045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6,045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24,181</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1,916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1,346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2,315</w:t>
            </w:r>
          </w:p>
        </w:tc>
        <w:tc>
          <w:tcPr>
            <w:tcW w:w="0" w:type="dxa"/>
            <w:vAlign w:val="bottom"/>
          </w:tcPr>
          <w:p>
            <w:pPr>
              <w:spacing w:after="0"/>
              <w:rPr>
                <w:sz w:val="1"/>
                <w:szCs w:val="1"/>
                <w:color w:val="auto"/>
              </w:rPr>
            </w:pPr>
          </w:p>
        </w:tc>
      </w:tr>
      <w:tr>
        <w:trPr>
          <w:trHeight w:val="197"/>
        </w:trPr>
        <w:tc>
          <w:tcPr>
            <w:tcW w:w="3460" w:type="dxa"/>
            <w:vAlign w:val="bottom"/>
          </w:tcPr>
          <w:p>
            <w:pPr>
              <w:ind w:left="20"/>
              <w:spacing w:after="0"/>
              <w:rPr>
                <w:sz w:val="20"/>
                <w:szCs w:val="20"/>
                <w:color w:val="auto"/>
              </w:rPr>
            </w:pPr>
            <w:r>
              <w:rPr>
                <w:rFonts w:ascii="Arial" w:cs="Arial" w:eastAsia="Arial" w:hAnsi="Arial"/>
                <w:sz w:val="15"/>
                <w:szCs w:val="15"/>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66,909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79,567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78,211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67,821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292,508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1" w:right="55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i w:val="1"/>
          <w:iCs w:val="1"/>
          <w:u w:val="single" w:color="auto"/>
          <w:color w:val="auto"/>
        </w:rPr>
        <w:t>Seasonality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net sales by quarter as a percentage of our annual net sales.</w:t>
      </w:r>
    </w:p>
    <w:p>
      <w:pPr>
        <w:spacing w:after="0" w:line="197"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28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Year Ended December 31,</w:t>
            </w:r>
          </w:p>
        </w:tc>
        <w:tc>
          <w:tcPr>
            <w:tcW w:w="1560" w:type="dxa"/>
            <w:vAlign w:val="bottom"/>
            <w:tcBorders>
              <w:top w:val="single" w:sz="8" w:color="auto"/>
              <w:bottom w:val="single" w:sz="8" w:color="auto"/>
            </w:tcBorders>
          </w:tcPr>
          <w:p>
            <w:pPr>
              <w:spacing w:after="0"/>
              <w:rPr>
                <w:sz w:val="18"/>
                <w:szCs w:val="18"/>
                <w:color w:val="auto"/>
              </w:rPr>
            </w:pPr>
          </w:p>
        </w:tc>
      </w:tr>
      <w:tr>
        <w:trPr>
          <w:trHeight w:val="196"/>
        </w:trPr>
        <w:tc>
          <w:tcPr>
            <w:tcW w:w="3040" w:type="dxa"/>
            <w:vAlign w:val="bottom"/>
            <w:gridSpan w:val="2"/>
          </w:tcPr>
          <w:p>
            <w:pPr>
              <w:ind w:left="20"/>
              <w:spacing w:after="0"/>
              <w:rPr>
                <w:sz w:val="20"/>
                <w:szCs w:val="20"/>
                <w:color w:val="auto"/>
              </w:rPr>
            </w:pPr>
            <w:r>
              <w:rPr>
                <w:rFonts w:ascii="Arial" w:cs="Arial" w:eastAsia="Arial" w:hAnsi="Arial"/>
                <w:sz w:val="15"/>
                <w:szCs w:val="15"/>
                <w:b w:val="1"/>
                <w:bCs w:val="1"/>
                <w:color w:val="auto"/>
              </w:rPr>
              <w:t>Quarter ended</w:t>
            </w:r>
          </w:p>
        </w:tc>
        <w:tc>
          <w:tcPr>
            <w:tcW w:w="1540" w:type="dxa"/>
            <w:vAlign w:val="bottom"/>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760" w:type="dxa"/>
            <w:vAlign w:val="bottom"/>
            <w:gridSpan w:val="2"/>
          </w:tcPr>
          <w:p>
            <w:pPr>
              <w:jc w:val="right"/>
              <w:ind w:right="544"/>
              <w:spacing w:after="0"/>
              <w:rPr>
                <w:sz w:val="20"/>
                <w:szCs w:val="20"/>
                <w:color w:val="auto"/>
              </w:rPr>
            </w:pPr>
            <w:r>
              <w:rPr>
                <w:rFonts w:ascii="Arial" w:cs="Arial" w:eastAsia="Arial" w:hAnsi="Arial"/>
                <w:sz w:val="15"/>
                <w:szCs w:val="15"/>
                <w:b w:val="1"/>
                <w:bCs w:val="1"/>
                <w:color w:val="auto"/>
              </w:rPr>
              <w:t>2023</w:t>
            </w:r>
          </w:p>
        </w:tc>
        <w:tc>
          <w:tcPr>
            <w:tcW w:w="200" w:type="dxa"/>
            <w:vAlign w:val="bottom"/>
          </w:tcPr>
          <w:p>
            <w:pPr>
              <w:spacing w:after="0"/>
              <w:rPr>
                <w:sz w:val="17"/>
                <w:szCs w:val="17"/>
                <w:color w:val="auto"/>
              </w:rPr>
            </w:pPr>
          </w:p>
        </w:tc>
        <w:tc>
          <w:tcPr>
            <w:tcW w:w="1560" w:type="dxa"/>
            <w:vAlign w:val="bottom"/>
          </w:tcPr>
          <w:p>
            <w:pPr>
              <w:jc w:val="right"/>
              <w:ind w:right="544"/>
              <w:spacing w:after="0"/>
              <w:rPr>
                <w:sz w:val="20"/>
                <w:szCs w:val="20"/>
                <w:color w:val="auto"/>
              </w:rPr>
            </w:pPr>
            <w:r>
              <w:rPr>
                <w:rFonts w:ascii="Arial" w:cs="Arial" w:eastAsia="Arial" w:hAnsi="Arial"/>
                <w:sz w:val="15"/>
                <w:szCs w:val="15"/>
                <w:b w:val="1"/>
                <w:bCs w:val="1"/>
                <w:color w:val="auto"/>
              </w:rPr>
              <w:t>2022</w:t>
            </w:r>
          </w:p>
        </w:tc>
      </w:tr>
      <w:tr>
        <w:trPr>
          <w:trHeight w:val="196"/>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March 31st</w:t>
            </w:r>
          </w:p>
        </w:tc>
        <w:tc>
          <w:tcPr>
            <w:tcW w:w="2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23.0 %</w:t>
            </w:r>
          </w:p>
        </w:tc>
        <w:tc>
          <w:tcPr>
            <w:tcW w:w="2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23.5 %</w:t>
            </w:r>
          </w:p>
        </w:tc>
        <w:tc>
          <w:tcPr>
            <w:tcW w:w="2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22.8 %</w:t>
            </w:r>
          </w:p>
        </w:tc>
      </w:tr>
      <w:tr>
        <w:trPr>
          <w:trHeight w:val="201"/>
        </w:trPr>
        <w:tc>
          <w:tcPr>
            <w:tcW w:w="3040" w:type="dxa"/>
            <w:vAlign w:val="bottom"/>
            <w:gridSpan w:val="2"/>
          </w:tcPr>
          <w:p>
            <w:pPr>
              <w:ind w:left="20"/>
              <w:spacing w:after="0"/>
              <w:rPr>
                <w:sz w:val="20"/>
                <w:szCs w:val="20"/>
                <w:color w:val="auto"/>
              </w:rPr>
            </w:pPr>
            <w:r>
              <w:rPr>
                <w:rFonts w:ascii="Arial" w:cs="Arial" w:eastAsia="Arial" w:hAnsi="Arial"/>
                <w:sz w:val="15"/>
                <w:szCs w:val="15"/>
                <w:color w:val="auto"/>
              </w:rPr>
              <w:t>June 30th</w:t>
            </w:r>
          </w:p>
        </w:tc>
        <w:tc>
          <w:tcPr>
            <w:tcW w:w="1540" w:type="dxa"/>
            <w:vAlign w:val="bottom"/>
          </w:tcPr>
          <w:p>
            <w:pPr>
              <w:jc w:val="right"/>
              <w:spacing w:after="0"/>
              <w:rPr>
                <w:sz w:val="20"/>
                <w:szCs w:val="20"/>
                <w:color w:val="auto"/>
              </w:rPr>
            </w:pPr>
            <w:r>
              <w:rPr>
                <w:rFonts w:ascii="Arial" w:cs="Arial" w:eastAsia="Arial" w:hAnsi="Arial"/>
                <w:sz w:val="15"/>
                <w:szCs w:val="15"/>
                <w:color w:val="auto"/>
              </w:rPr>
              <w:t>23.4 %</w:t>
            </w: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23.4 %</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24.0 %</w:t>
            </w:r>
          </w:p>
        </w:tc>
      </w:tr>
      <w:tr>
        <w:trPr>
          <w:trHeight w:val="204"/>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September 30th</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25.3 %</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26.7 %</w:t>
            </w:r>
          </w:p>
        </w:tc>
      </w:tr>
      <w:tr>
        <w:trPr>
          <w:trHeight w:val="200"/>
        </w:trPr>
        <w:tc>
          <w:tcPr>
            <w:tcW w:w="3040" w:type="dxa"/>
            <w:vAlign w:val="bottom"/>
            <w:gridSpan w:val="2"/>
          </w:tcPr>
          <w:p>
            <w:pPr>
              <w:ind w:left="20"/>
              <w:spacing w:after="0"/>
              <w:rPr>
                <w:sz w:val="20"/>
                <w:szCs w:val="20"/>
                <w:color w:val="auto"/>
              </w:rPr>
            </w:pPr>
            <w:r>
              <w:rPr>
                <w:rFonts w:ascii="Arial" w:cs="Arial" w:eastAsia="Arial" w:hAnsi="Arial"/>
                <w:sz w:val="15"/>
                <w:szCs w:val="15"/>
                <w:color w:val="auto"/>
              </w:rPr>
              <w:t>December 31st</w:t>
            </w:r>
          </w:p>
        </w:tc>
        <w:tc>
          <w:tcPr>
            <w:tcW w:w="1540" w:type="dxa"/>
            <w:vAlign w:val="bottom"/>
          </w:tcPr>
          <w:p>
            <w:pPr>
              <w:jc w:val="right"/>
              <w:spacing w:after="0"/>
              <w:rPr>
                <w:sz w:val="20"/>
                <w:szCs w:val="20"/>
                <w:color w:val="auto"/>
              </w:rPr>
            </w:pPr>
            <w:r>
              <w:rPr>
                <w:rFonts w:ascii="Arial" w:cs="Arial" w:eastAsia="Arial" w:hAnsi="Arial"/>
                <w:sz w:val="15"/>
                <w:szCs w:val="15"/>
                <w:color w:val="auto"/>
              </w:rPr>
              <w:t>28.2 %</w:t>
            </w: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27.7 %</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26.5 %</w:t>
            </w:r>
          </w:p>
        </w:tc>
      </w:tr>
    </w:tbl>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Transactions and Certain Transactions Involving our Businesses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related party transactions with our Manager, CGM including the following:</w:t>
      </w:r>
    </w:p>
    <w:p>
      <w:pPr>
        <w:spacing w:after="0" w:line="6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Management Services Agreement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LLC Agreement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Integration Services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 Reimbursement and Fees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entered into the MSA with CGM effective May 16, 2006. Our Chief Executive Officer is a managing member of CGM. The MSA provides for, among other things, CGM to perform services for us in exchange for a management fee paid quarterly and equal to 0.5% of our adjusted net assets. The management fee is required to be paid prior to the payment of any distributions to shareholders. For the years ended December 31, 2024, 2023, and 2022, we incurred $74.8 million, $67.9 million, and $62.1 million, respectively, in management fees to CGM.</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MSA, CGM is entitled to enter into off-setting management service agreements with each of the operating segments. The amount of the fee is negotiated between CGM and the operating management of each segment and is based upon the value of the services to be provided. The fees paid directly to CGM by the segments offset on a dollar for dollar basis the amount due CGM by the LLC under the MSA.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CGM entered into a waiver to exclude cash balances held at the LLC from the calculation of the management fee.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2022, CGM entered into a waiver of the MSA for the period through June 30, 2023 to receive a 1% annual management fee related to PrimaLoft, rather than the 2% called for under the MSA, which resulted in a lower management fee at September 30, 2022, December 31, 2022, March 31, 2023 and June 30, 2023 than would normally have been due. At June 30, 2022 and March 31, 2022, CGM entered into a waiver to exclude cash balances held at the LLC from the calculation of the management fee.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Developments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15, 2025, the LLC and CGM entered into the MSA amendment to, beginning with the first fiscal quarter for 2025, restructure the management fee under MSA to consist of a base management fee and an incentive management fee. Pursuant to the MSA Amendment, the base management fee will be (i) 2% the Company’s adjusted net assets when the adjusted net assets are less than or equal to $3.5 billion (the “Initial Threshold Fee”),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16" w:name="page117"/>
    <w:bookmarkEnd w:id="116"/>
    <w:p>
      <w:pPr>
        <w:jc w:val="both"/>
        <w:spacing w:after="0" w:line="268" w:lineRule="auto"/>
        <w:rPr>
          <w:sz w:val="20"/>
          <w:szCs w:val="20"/>
          <w:color w:val="auto"/>
        </w:rPr>
      </w:pPr>
      <w:r>
        <w:rPr>
          <w:rFonts w:ascii="Arial" w:cs="Arial" w:eastAsia="Arial" w:hAnsi="Arial"/>
          <w:sz w:val="18"/>
          <w:szCs w:val="18"/>
          <w:color w:val="auto"/>
        </w:rPr>
        <w:t>subject to approval by the Compensation Committee of the Board. The MSA Amendment also eliminates the payment of integration services fee by the Company’s subsidiaries to the Manager and excludes excess cash held by the Company and the Company’s subsidiaries, subject to certain exceptions, from the calculation of the adjusted net assets of the Company, along with certain other changes.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LLC Agreement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distinguished from its provision of providing management services to us, pursuant to the amended MSA, members of CGM are owners of 50.0% of the Allocation Interests in us through their ownership in Sostratus LLC. The LLC agreement gives the holders of Allocation Interests the right to distributions pursuant to a profit allocation formula upon the occurrence of a Sale Event or a Holding Event. The Allocation Interest Holders are entitled to receive and as such can elect to receive the positive contribution-based profit allocation payment for each of the business acquisitions during the 30-day period following the fifth anniversary of the date upon which we acquired a controlling interest in that business (Holding Event) and upon the sale of the business (Sale Event). Holders received $ 48.9 million in the year ended December 31, 2024 and $26.5 million in the year ended December 31, 2023 in distributions related to Sale and Holding Events that occurred during 2023. No allocation interest distributions were made in 2022. Refer to "</w:t>
      </w:r>
      <w:r>
        <w:rPr>
          <w:rFonts w:ascii="Arial" w:cs="Arial" w:eastAsia="Arial" w:hAnsi="Arial"/>
          <w:sz w:val="18"/>
          <w:szCs w:val="18"/>
          <w:u w:val="single" w:color="auto"/>
          <w:color w:val="0000FF"/>
        </w:rPr>
        <w:t>Note J - Stockholders' Equity</w:t>
      </w:r>
      <w:r>
        <w:rPr>
          <w:rFonts w:ascii="Arial" w:cs="Arial" w:eastAsia="Arial" w:hAnsi="Arial"/>
          <w:sz w:val="18"/>
          <w:szCs w:val="18"/>
          <w:color w:val="auto"/>
        </w:rPr>
        <w:t>" for a description of the profit allocation payments.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persons who are employees and partners of the Manager, including the Company’s Chief Executive Officer, beneficially own (through Sostratus LLC) 54.0% of the Allocation Interests at December 31, 2024 and 62.0% at December 31, 2023. Of the remaining 46.0% at December 31, 2024 and 38.0% at December 31, 2023, 5.0% is held by CGI Diversified Holdings LP, 5.0% is held by a former director on the Board, and the remaining percentage of Allocation Interests are held by the former founding partners of the Manager.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Integration services represent fees paid by newly acquired companies to the Manager for integration services performed during the first year of ownership. Under the Integration Services Agreement ("ISA"),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Honey Pot Co., which was acquired in January 2024, entered into an ISA with CGM whereby The Honey Pot Co. will pay CGM a total integration services fee of $3.5 million, payable quarterly over a twelve-month period beginning June 30, 2024.</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PrimaLoft, which was acquired in July 2022, entered into an ISA with CGM whereby PrimaLoft paid CGM a total integration services fee of $4.8 million, payable quarterly over a twelve-month period ended June 30, 2023.</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years ended December 31, 2024, 2023 and 2022, CGM received $2.6 million, $2.4 million, and $4.1 million, respectively, in total integration service fees.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Reimbursement and Fees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reimbursed CGM approximately $8.8 million, $6.4 million, and $ 6.5 million, principally for occupancy and staffing costs incurred by CGM on our behalf during the years ended December 31, 2024, 2023 and 2022,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its businesses have the following significant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During the years ended December 31, 2024, 2023 and 2022, 5.11 purchased approximately $1.4 million, $1.7 million, and $2.0 million, respectively, in inventory from the vendor.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Recapitalization</w:t>
      </w:r>
      <w:r>
        <w:rPr>
          <w:rFonts w:ascii="Arial" w:cs="Arial" w:eastAsia="Arial" w:hAnsi="Arial"/>
          <w:sz w:val="18"/>
          <w:szCs w:val="18"/>
          <w:i w:val="1"/>
          <w:iCs w:val="1"/>
          <w:color w:val="auto"/>
        </w:rPr>
        <w:t xml:space="preserve"> - </w:t>
      </w:r>
      <w:r>
        <w:rPr>
          <w:rFonts w:ascii="Arial" w:cs="Arial" w:eastAsia="Arial" w:hAnsi="Arial"/>
          <w:sz w:val="18"/>
          <w:szCs w:val="18"/>
          <w:color w:val="auto"/>
        </w:rPr>
        <w:t>In December 2023, we completed a recapitalization at BOA whereby the LLC entered into an amendment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loan agreement with BOA (the "BOA Credit Agreement"). The BOA Credit Agreement was amended to provide for additional term loan borrowings of $165.9 million to fund a distribution to</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7" w:name="page118"/>
    <w:bookmarkEnd w:id="117"/>
    <w:p>
      <w:pPr>
        <w:jc w:val="both"/>
        <w:spacing w:after="0" w:line="259" w:lineRule="auto"/>
        <w:rPr>
          <w:sz w:val="20"/>
          <w:szCs w:val="20"/>
          <w:color w:val="auto"/>
        </w:rPr>
      </w:pPr>
      <w:r>
        <w:rPr>
          <w:rFonts w:ascii="Arial" w:cs="Arial" w:eastAsia="Arial" w:hAnsi="Arial"/>
          <w:sz w:val="18"/>
          <w:szCs w:val="18"/>
          <w:color w:val="auto"/>
        </w:rPr>
        <w:t>shareholders. The LLC received a distribution of $ 131.0 million related to their ownership of the outstanding shares of BOA on the date of the distribution. Noncontrolling shareholders received a distribution of $11.7 million, and the remaining amount of the recapitalization was used to repurchase employee owned shares and to pay a bonus to employees who held phantom stock options and were not eligible to participate in the distribution to noncontrolling shareholders. BOA recorded compensation expense of $3.1 million related to the bonus paid to employees as part of the recapitalization.</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During the years ended December 31, 2024, 2023 and 2022, BOA purchased approximately $48.1 million, $42.1 million and $56.1 million, respectively, from this supplier.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Lugano</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Lugano purchases inventory from a vendor who is a related party to Lugano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Lugano. The related party relationship commenced in 2024. During the year ended December 31, 2024, Lugano purchased approximately $7.0 million in inventory from the vendor.</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Such estimates and judgments may involve varying degrees of uncertainty. Actual results could differ from these estimates under different assumptions and changes in other facts and circumstances, and potentially could result in materially different results. Our critical accounting estimates are discussed below. For a summary of our significant accounting policies, including those policies discussed below, refer to "</w:t>
      </w:r>
      <w:r>
        <w:rPr>
          <w:rFonts w:ascii="Arial" w:cs="Arial" w:eastAsia="Arial" w:hAnsi="Arial"/>
          <w:sz w:val="18"/>
          <w:szCs w:val="18"/>
          <w:u w:val="single" w:color="auto"/>
          <w:color w:val="0000FF"/>
        </w:rPr>
        <w:t>Note B - Summary of Significant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Accounting Policies</w:t>
      </w:r>
      <w:r>
        <w:rPr>
          <w:rFonts w:ascii="Arial" w:cs="Arial" w:eastAsia="Arial" w:hAnsi="Arial"/>
          <w:sz w:val="18"/>
          <w:szCs w:val="18"/>
          <w:color w:val="000000"/>
        </w:rPr>
        <w:t>"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acquisitions of our businesses are accounted for under the acquisition method of accounting. Accounting for business combinations requires the use of estimates and assumptions in determining the fair value of assets acquired and liabilities assumed in order to allocate the purchase price. The estimates of fair value of the assets acquired and liabilities assumed are based upon assumptions believed to be reasonable using established valuation methods, taking into consideration information supplied by the management of the acquired entities and other relevant information. Determining the fair value of assets acquired and liabilities assumed requires management's judgment and often involves the use of assumptions with respect to future cash inflows and outflows, discount rates, royalty rates, customer attrition rates, asset lives and market multiples, among other items. The determination of fair values requires significant judgment both by our management team and, when appropriate, valuations by independent third-party appraisers. We amortize intangible assets, such as trademarks and customer relationships, as well as property, plant and equipment, over their economic useful lives, unless those lives are indefinite. We consider factors such as historical information, our plans for the asset and similar assets held by our previously acquired businesses. The impact could result in either higher or lower amortization and/or depreciation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1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Goodwill represents the excess amount of the purchase price over the fair value of the assets acquired. Our indefinite-lived intangible assets consist of a trade name with a carrying value of approximately $30.8 million. Our goodwill and indefinite lived intangible assets are tested for impairment on an annual basis as of March 31</w:t>
      </w:r>
      <w:r>
        <w:rPr>
          <w:rFonts w:ascii="Arial" w:cs="Arial" w:eastAsia="Arial" w:hAnsi="Arial"/>
          <w:sz w:val="23"/>
          <w:szCs w:val="23"/>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or one level below the operating segment. Each of our businesses represents a reporting unit.</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 qualitative approach to test goodwill and indefinite lived intangible assets for impairment by first assessing qualitative factors to determine whether it is more-likely than-not that the fair value of a reporting unit is less than its carrying amount as a basis for determining whether it is necessary to perform quantitative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8" w:name="page119"/>
    <w:bookmarkEnd w:id="118"/>
    <w:p>
      <w:pPr>
        <w:jc w:val="both"/>
        <w:spacing w:after="0" w:line="253" w:lineRule="auto"/>
        <w:rPr>
          <w:sz w:val="20"/>
          <w:szCs w:val="20"/>
          <w:color w:val="auto"/>
        </w:rPr>
      </w:pPr>
      <w:r>
        <w:rPr>
          <w:rFonts w:ascii="Arial" w:cs="Arial" w:eastAsia="Arial" w:hAnsi="Arial"/>
          <w:sz w:val="18"/>
          <w:szCs w:val="18"/>
          <w:color w:val="auto"/>
        </w:rPr>
        <w:t>than not to exceed its carrying value, we will perform a quantitative test at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 The determination of fair value involves the use of significant estimates and assumptions, including revenue growth rates, operating margins, working capital requirements, capital expenditures and terminal growth rates and actual results could differ from these estimates. Future events and changing market conditions may impact our assumptions and result in changes to our estimates.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 goodwill and indefinite lived intangible asset impairment testing</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2024 Annual Impairment Testing - </w:t>
      </w:r>
      <w:r>
        <w:rPr>
          <w:rFonts w:ascii="Arial" w:cs="Arial" w:eastAsia="Arial" w:hAnsi="Arial"/>
          <w:sz w:val="18"/>
          <w:szCs w:val="18"/>
          <w:color w:val="auto"/>
        </w:rPr>
        <w:t>For the Company's annual impairment testing at March 31, 2024, the Company performed a qualitative</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our reporting units. The results of the qualitative analysis indicated that it was more-likely-than-not that the fair value of each of our reporting units except Velocity exceeded their carrying value. Based on our analysis, the Company determined that the Velocity operating segment required quantitative testing because we could not conclude that the fair value of this reporting unit significantly exceeded the carrying value based on qualitative factors alone. The Company performed a quantitative test of Velocity and the results of the testing indicated that the fair value of Velocity did not exceed the carrying value, resulting in goodwill impairment expense of $8.2 million as of March 31, 2024.</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2023 Annual Impairment Testing - </w:t>
      </w:r>
      <w:r>
        <w:rPr>
          <w:rFonts w:ascii="Arial" w:cs="Arial" w:eastAsia="Arial" w:hAnsi="Arial"/>
          <w:sz w:val="18"/>
          <w:szCs w:val="18"/>
          <w:color w:val="auto"/>
        </w:rPr>
        <w:t>For our annual impairment testing at March 31, 2023, we performed a qualitative assessment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The results of the qualitative analysis indicated that it was more-likely-than-not that the fair value of each of our reporting units except Velocity exceeded their carrying value. Based on our analysis, we determined that the Velocity operating segment required quantitative testing because we could not conclude that the fair value of this reporting unit significantly exceeded the carrying value based on qualitative factors alone. We performed the quantitative test of Velocity using an income approach to determine the fair value of the reporting unit. In developing the prospective financial information used in the income approach, we considered recent market conditions, taking into consideration the uncertainty associated with the current economic environment. The prospective financial information considered reporting unit specific facts and circumstances and was our best estimate of operational results and cash flows for the Velocity reporting unit as of the date of our impairment testing. The discount rate used in the income approach was 15.0%, and the results of the quantitative impairment testing indicated that the fair value of the Velocity reporting unit exceeded the carrying value by approximately 21%. The prospective financial information that was used to determine the fair values of the Velocity reporting unit required us to make assumptions regarding future operational results including revenue growth rates and gross margins.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2022 Annual Impairment Testing - </w:t>
      </w:r>
      <w:r>
        <w:rPr>
          <w:rFonts w:ascii="Arial" w:cs="Arial" w:eastAsia="Arial" w:hAnsi="Arial"/>
          <w:sz w:val="18"/>
          <w:szCs w:val="18"/>
          <w:color w:val="auto"/>
        </w:rPr>
        <w:t>For our annual impairment testing at March 31, 2022, we performed a qualitative assessment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The results of the qualitative analysis indicated that it was more-likely-than-not that the fair value of each of our reporting units exceeded their carrying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Interim Goodwill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Interim goodwill impairment testing</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PrimaLoft</w:t>
      </w:r>
      <w:r>
        <w:rPr>
          <w:rFonts w:ascii="Arial" w:cs="Arial" w:eastAsia="Arial" w:hAnsi="Arial"/>
          <w:sz w:val="18"/>
          <w:szCs w:val="18"/>
          <w:color w:val="auto"/>
        </w:rPr>
        <w:t xml:space="preserve"> - As a result of operating results that were below forecast amounts that were used as the basis for the purchase price allocation performed when PrimaLoft was acquired as well as the failure of certain financial covenants in the intercompany credit agreement, we determined that a triggering event had occurred at PrimaLoft in the fourth quarter of 2023 and performed an interim impairment test of goodwill as of December 31, 2023. We performed the quantitative impairment test using both an income approach and a market approach. The prospective information used in the income approach considered macroeconomic data, industry and reporting unit specific facts and circumstances and was our best estimate of operational results and cash flows for the PrimaLoft reporting unit as of the date of our impairment testing. The discount rate used in the income approach was 11.3%. The results of the quantitative impairment testing indicated that the fair value of the PrimaLoft reporting unit did not exceed its carrying value, resulting in goodwill impairment expense of $57.8 million in the year ended December 31, 2023 at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9" w:name="page120"/>
    <w:bookmarkEnd w:id="119"/>
    <w:p>
      <w:pPr>
        <w:jc w:val="both"/>
        <w:spacing w:after="0" w:line="287" w:lineRule="auto"/>
        <w:rPr>
          <w:sz w:val="20"/>
          <w:szCs w:val="20"/>
          <w:color w:val="auto"/>
        </w:rPr>
      </w:pPr>
      <w:r>
        <w:rPr>
          <w:rFonts w:ascii="Arial" w:cs="Arial" w:eastAsia="Arial" w:hAnsi="Arial"/>
          <w:sz w:val="18"/>
          <w:szCs w:val="18"/>
          <w:color w:val="auto"/>
        </w:rPr>
        <w:t>PrimaLoft. The fair value of the goodwill balance at PrimaLoft could be subject to additional impairment testing if actual cash flows and our estimates of future performance differ materially from those used in the impairment testing at December 31, 2023.</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Velocity</w:t>
      </w:r>
      <w:r>
        <w:rPr>
          <w:rFonts w:ascii="Arial" w:cs="Arial" w:eastAsia="Arial" w:hAnsi="Arial"/>
          <w:sz w:val="18"/>
          <w:szCs w:val="18"/>
          <w:color w:val="auto"/>
        </w:rPr>
        <w:t xml:space="preserve"> - As a result of operating results that were below the forecast that we used in the quantitative impairment test of Velocity Outdoor at March 31, 2023 (see above), we determined that a triggering event had occurred at Velocity in the third quarter of 2023 and performed an interim impairment test of goodwill as of August 31, 2023. We performed the quantitative test of Velocity using an income approach to determine the fair value of the reporting unit. In developing the prospective financial information used in the income approach, we considered recent market conditions, taking into consideration the uncertainty associated with the current economic environment. The prospective financial information considered reporting unit specific facts and circumstances and is our best estimate of operational results and cash flows for the Velocity reporting unit as of the date of our impairment testing. The discount rate used in the income approach was 17%, an increase of 2% as compared to the discount rate of 15% used in the March 2023 impairment testing for Velocity. The increase in the discount rate primarily reflects additional uncertainty associated with the prospective financial information used in the income approach. The results of the quantitative impairment testing indicated that the fair value of the Velocity reporting unit did not exceed the carrying value, resulting in a goodwill impairment and we recorded impairment expense of $31.6 million in the year ended December 31, 2023 at Velocity.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Definite-Lived Intangible Assets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Long-lived intangible assets subject to amortization, including customer relationships, non-compete agreements, permits and technology are amortized using the straight-line method over the estimated useful lives of the intangible assets, which we determine based on the consideration of several factors including the period of time the asset is expected to remain in service. We evaluate long-lived assets for potential impairment whenever events occur or circumstances indicate that the carrying amount of the assets may not be recoverable. The carrying amount of a long-lived asset is not recoverable if it exceeds the sum of the undiscounted cash flows expected to result from the use and eventual disposition of the asset. If the carrying amount of a long-lived asset is not recoverable and is greater than its fair value, the asset is impaired and an impairment loss must be recognized.</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determination of fair values and estimated useful lives requires significant judgment both by our management team and by outside experts engaged to assist in this process. This judgment could result in either a higher or lower value assigned to our reporting units and intangible assets. The impact could result in either higher or lower amortization and/or the incurrence of an impairment charge.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Interests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time of our Initial Public Offering, we issued Allocation Interests governed by our LLC agreement that entitle the holders (the "Holders") to receive distributions pursuant to a profit allocation formula upon the occurrence of certain events. The Holders are entitled to receive and as such can elect to receive the positive contribution based profit allocation payment for each of the business acquisitions during the 30-day period following the fifth anniversary of the date upon which we acquired a controlling interest in that business (a "Holding Event") and upon the sale of that business (a "Sale Event"). The payment to the Holders for a Sale Event is based on the pre-tax gain from the sale of the business. Payments of profit allocation to the Holders are accounted for as dividends declared on Allocation Interests and recorded in stockholders' equity once they are approved by our Board.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u w:val="single" w:color="auto"/>
          <w:color w:val="0000FF"/>
        </w:rPr>
        <w:t>Note B - Summary of Significant Accounting Policies</w:t>
      </w:r>
      <w:r>
        <w:rPr>
          <w:rFonts w:ascii="Arial" w:cs="Arial" w:eastAsia="Arial" w:hAnsi="Arial"/>
          <w:sz w:val="18"/>
          <w:szCs w:val="18"/>
          <w:color w:val="auto"/>
        </w:rPr>
        <w:t>" to our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b w:val="1"/>
          <w:bCs w:val="1"/>
          <w:color w:val="auto"/>
        </w:rPr>
        <w:t xml:space="preserve">ITEM 7A. </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Quantitative and Qualitative Disclosures about Market Risk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2024, our debt includes both fixed rate and variable rate instruments. We are exposed to interest rate risk primarily through borrowings under our 2022 Credit Facility because borrowings under this agreement are subject to variable interest rates based on SOFR. We had $375 million outstanding under the 2022 Term Loan and $110 million outstanding under our 2022 Revolving Credit Facility at December 31, 2024.</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one-month SOFR was at an average of 453 basis points at December 31, 2024, and the three-month SOFR was at an average of 469 basis points at December 31, 2024. We currently estimate that a 100 basis point increase in SOFR would not have a material impact on our results of operations, cash flows or financial condition. The effect of a 100 basis point increase on the outstanding borrowings subject to variable interest rates at December 31, 2024 would be approximately $4.8 million additional annual interest expense.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have additional borrowings under our Credit Facility in the future in order to finance our short term working capital needs and future acquisitions. These borrowings will be subject to variable interest rates.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Sensitivity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foreign currency exchange rate risk arising from transactions in the normal course of business at certain of our subsidiaries, such as sales to third-party customers, foreign plant operations, and purchases from suppliers. Foreign exchange transactions do not materially affect our operations as a significant portion of our operations are domestic.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credit risk associated with cash equivalents, investments, and trade receivables. We do not believe that our cash equivalents or investments present significant credit risks because the counterparties to the instruments consist of major financial institutions and we manage the notional amount of contracts entered into with any one counterparty. Our cash and cash equivalents at December 31, 2024 consists principally of (i) treasury backed securities, (ii) insured prime money market funds, and (iii) cash balances in several non-interest bearing checking accounts. Substantially all trade receivable balances of our businesses are unsecured. The concentration of credit risk with respect to trade receivables is limited by the large number of customers in our customer base and their dispersion across various industries and geographic areas. Although we have a large number of customers who are dispersed across different industries and geographic areas, a prolonged economic downturn could increase our exposure to credit risk on our trade receivables. We perform ongoing credit evaluations of our customers and maintain an allowance for potential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consolidated financial statements and financial statement schedules referred to in the index contained on page F-1 of this report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ectPr>
          <w:pgSz w:w="11900" w:h="16838" w:orient="portrait"/>
          <w:cols w:equalWidth="0" w:num="1">
            <w:col w:w="11160"/>
          </w:cols>
          <w:pgMar w:left="320" w:top="1007" w:right="419" w:bottom="1440" w:gutter="0" w:footer="0" w:header="0"/>
        </w:sectPr>
      </w:pP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7" w:right="41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2"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Management’s Evaluation of Disclosure Controls and Procedures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Exchange Act as of the end of the period covered by this report. Based on such evaluation, the Company’s Chief Executive Officer and Chief Financial Officer have concluded that, as of December 31, 2024, the Company’s disclosure controls and procedures were effective in recording, processing, summarizing and reporting, on a timely basis, information required to be disclosed by the Company in the reports that it files or submits under the Exchange Act and in ensuring that information required to be disclosed by the Company in such reports is accumulated and communicated to the Company’s management, including the Chief Executive Officer and Chief Financial Officer, as appropriate to allow timely discussions regarding required disclosure.</w:t>
      </w:r>
    </w:p>
    <w:p>
      <w:pPr>
        <w:spacing w:after="0" w:line="131"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Information with respect to </w:t>
      </w:r>
      <w:r>
        <w:rPr>
          <w:rFonts w:ascii="Arial" w:cs="Arial" w:eastAsia="Arial" w:hAnsi="Arial"/>
          <w:sz w:val="18"/>
          <w:szCs w:val="18"/>
          <w:i w:val="1"/>
          <w:iCs w:val="1"/>
          <w:color w:val="auto"/>
        </w:rPr>
        <w:t>Report of Management on Internal Control over Financial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Rules 13a-15(f) and 15d-15(f) of the Exchange Act). Our management assessed the effectiveness of our internal control over financial reporting as of December 31, 2024.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Based on our assessment under this framework, our management concluded that our internal control over financial reporting was effective as of December 31, 2024.</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audited financial statements of the Company included in this Annual Report on Form 10-K include the results of its subsidiaries from their respective dates of acquisition. Management's assessment of internal control over financial reporting for the year ended December 31, 2024 does not include an assessment of The Honey Pot Co., a majority owned subsidiary of the Company that was acquired during the year ended December 31, 2024. The financial statements of The Honey Pot Co., reflect total assets and net revenues constituting 10% and 5%, respectively, of the related consolidated financial statement amounts as of and for the year ended December 31, 2024. Refer to "</w:t>
      </w:r>
      <w:r>
        <w:rPr>
          <w:rFonts w:ascii="Arial" w:cs="Arial" w:eastAsia="Arial" w:hAnsi="Arial"/>
          <w:sz w:val="18"/>
          <w:szCs w:val="18"/>
          <w:u w:val="single" w:color="auto"/>
          <w:color w:val="0000FF"/>
        </w:rPr>
        <w:t>Note C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Acquisition of Business</w:t>
      </w:r>
      <w:r>
        <w:rPr>
          <w:rFonts w:ascii="Arial" w:cs="Arial" w:eastAsia="Arial" w:hAnsi="Arial"/>
          <w:sz w:val="18"/>
          <w:szCs w:val="18"/>
          <w:color w:val="000000"/>
        </w:rPr>
        <w:t>" for a description of the acquisition of The Honey Pot Co.</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effectiveness of our internal control over financial reporting as of December 31, 2024 has been audited by Grant Thornton LLP, an independent registered public accounting firm, as stated in their report that is included herein.</w:t>
      </w:r>
    </w:p>
    <w:p>
      <w:pPr>
        <w:spacing w:after="0" w:line="99" w:lineRule="exact"/>
        <w:rPr>
          <w:sz w:val="20"/>
          <w:szCs w:val="20"/>
          <w:color w:val="auto"/>
        </w:rPr>
      </w:pPr>
    </w:p>
    <w:p>
      <w:pPr>
        <w:ind w:firstLine="8"/>
        <w:spacing w:after="0" w:line="287" w:lineRule="auto"/>
        <w:tabs>
          <w:tab w:leader="none" w:pos="2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Information with respect to </w:t>
      </w:r>
      <w:r>
        <w:rPr>
          <w:rFonts w:ascii="Arial" w:cs="Arial" w:eastAsia="Arial" w:hAnsi="Arial"/>
          <w:sz w:val="18"/>
          <w:szCs w:val="18"/>
          <w:i w:val="1"/>
          <w:iCs w:val="1"/>
          <w:color w:val="auto"/>
        </w:rPr>
        <w:t>Report of Independent Registered Public Accounting Firm on Internal Control over Financial Reporting</w:t>
      </w:r>
      <w:r>
        <w:rPr>
          <w:rFonts w:ascii="Arial" w:cs="Arial" w:eastAsia="Arial" w:hAnsi="Arial"/>
          <w:sz w:val="18"/>
          <w:szCs w:val="18"/>
          <w:color w:val="auto"/>
        </w:rPr>
        <w:t xml:space="preserve"> is contained on page F-2 of this Annual Report on Form 10-K and is incorporated herein by reference.</w:t>
      </w:r>
    </w:p>
    <w:p>
      <w:pPr>
        <w:spacing w:after="0" w:line="100"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our fourth fiscal quarter to which this Annual Report on Form 10-K relates that have materially affected, or are reasonably likely to materially affect, the Company’s internal control over financial reporting.</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December 31, 2024, none of the Company’s directors or officers adopted or terminated a Rule 10b5-1 trading arrangement or a non-Rule 10b5-1 trading arrangement (each as defined in Item 408(c) of Regulation S-K).</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9C. </w:t>
      </w:r>
      <w:r>
        <w:rPr>
          <w:rFonts w:ascii="Arial" w:cs="Arial" w:eastAsia="Arial" w:hAnsi="Arial"/>
          <w:sz w:val="21"/>
          <w:szCs w:val="21"/>
          <w:b w:val="1"/>
          <w:bCs w:val="1"/>
          <w:color w:val="auto"/>
        </w:rPr>
        <w:t>Disclosure Regarding Foreign Jurisdictions That Prevent Inspections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0"/>
          <w:szCs w:val="20"/>
          <w:b w:val="1"/>
          <w:bCs w:val="1"/>
          <w:u w:val="single" w:color="auto"/>
          <w:color w:val="auto"/>
        </w:rPr>
        <w:t>PART III</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August 26, 2024, the Company announced the departure of its chief financial officer, Ryan J. Faulkingham and the appointment of his successor Stephen Keller.</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concerning our executive officers is incorporated herein by reference to information included in the Proxy Statement for our 2025 Annual Meeting of Shareholders under the caption “Board of Directors, Executive Officers and Committees”.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Information with respect to our directors and the nomination process is incorporated herein by reference to information included in the Proxy Statement for our 2025 Annual Meeting of Shareholders under the caption “Board of Directors, Executive Officers and Committees”.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regarding our corporate governance, including our audit committee and code of ethics, is incorporated herein by reference to information included in the Proxy Statement for our 2025 Annual Meeting of Shareholders under the caption “Corporate Governance”.</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regarding compliance with Section 16(a) of the Exchange Act is incorporated herein by reference to information included in the Proxy Statement for our 2025 Annual Meeting of Shareholders under the caption “Share Ownership of Directors, Nominees, Executive Officers and Principal Shareholders”.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with respect to executive compensation is incorporated herein by reference to information included in the Proxy Statement for our 2025 Annual Meeting of Shareholders under the captions “Our Pay”; “Compensation Discussion and Analysis”; and “Pay Versus Performance”.</w:t>
      </w:r>
    </w:p>
    <w:p>
      <w:pPr>
        <w:spacing w:after="0" w:line="166" w:lineRule="exact"/>
        <w:rPr>
          <w:sz w:val="20"/>
          <w:szCs w:val="20"/>
          <w:color w:val="auto"/>
        </w:rPr>
      </w:pPr>
    </w:p>
    <w:p>
      <w:pPr>
        <w:ind w:right="1220"/>
        <w:spacing w:after="0" w:line="284"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with respect to security ownership of certain beneficial owners and management is incorporated herein by reference to information included in the Proxy Statement for our 2025 Annual Meeting of Shareholders under the caption “Share Ownership of Directors, Nominees, Executive Officers and Principal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securities currently authorized for issuance under an equity compensation plan.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with respect to such contractual relationships and independence is incorporated herein by reference to the information in the Proxy Statement for our 2025 Annual Meeting of Shareholders under the caption “Certain Relationships and Related Person Transactions”.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with respect to principal accountant fees and services and pre-approval policies are incorporated herein by reference to information included in the Proxy Statement for our 2025 Annual Meeting of Shareholders under the caption “Our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25" w:name="page126"/>
    <w:bookmarkEnd w:id="125"/>
    <w:p>
      <w:pPr>
        <w:ind w:left="5240"/>
        <w:spacing w:after="0"/>
        <w:rPr>
          <w:sz w:val="20"/>
          <w:szCs w:val="20"/>
          <w:color w:val="auto"/>
        </w:rPr>
      </w:pPr>
      <w:r>
        <w:rPr>
          <w:rFonts w:ascii="Arial" w:cs="Arial" w:eastAsia="Arial" w:hAnsi="Arial"/>
          <w:sz w:val="20"/>
          <w:szCs w:val="20"/>
          <w:b w:val="1"/>
          <w:bCs w:val="1"/>
          <w:u w:val="single" w:color="auto"/>
          <w:color w:val="auto"/>
        </w:rPr>
        <w:t>PART IV</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Financial Statements</w:t>
      </w:r>
    </w:p>
    <w:p>
      <w:pPr>
        <w:spacing w:after="0" w:line="27" w:lineRule="exact"/>
        <w:rPr>
          <w:sz w:val="20"/>
          <w:szCs w:val="20"/>
          <w:color w:val="auto"/>
        </w:rPr>
      </w:pPr>
    </w:p>
    <w:p>
      <w:pPr>
        <w:ind w:left="1300"/>
        <w:spacing w:after="0" w:line="266" w:lineRule="auto"/>
        <w:rPr>
          <w:sz w:val="20"/>
          <w:szCs w:val="20"/>
          <w:color w:val="auto"/>
        </w:rPr>
      </w:pPr>
      <w:r>
        <w:rPr>
          <w:rFonts w:ascii="Arial" w:cs="Arial" w:eastAsia="Arial" w:hAnsi="Arial"/>
          <w:sz w:val="18"/>
          <w:szCs w:val="18"/>
          <w:color w:val="auto"/>
        </w:rPr>
        <w:t>For the Registrant, see “Index to Consolidated Financial Statements and Supplemental Financial Data” set forth on page F-1.</w:t>
      </w:r>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 Financial Statement Schedule</w:t>
      </w:r>
    </w:p>
    <w:p>
      <w:pPr>
        <w:spacing w:after="0" w:line="27" w:lineRule="exact"/>
        <w:rPr>
          <w:sz w:val="20"/>
          <w:szCs w:val="20"/>
          <w:color w:val="auto"/>
        </w:rPr>
      </w:pPr>
    </w:p>
    <w:p>
      <w:pPr>
        <w:ind w:left="1300" w:right="20"/>
        <w:spacing w:after="0" w:line="266" w:lineRule="auto"/>
        <w:rPr>
          <w:sz w:val="20"/>
          <w:szCs w:val="20"/>
          <w:color w:val="auto"/>
        </w:rPr>
      </w:pPr>
      <w:r>
        <w:rPr>
          <w:rFonts w:ascii="Arial" w:cs="Arial" w:eastAsia="Arial" w:hAnsi="Arial"/>
          <w:sz w:val="18"/>
          <w:szCs w:val="18"/>
          <w:color w:val="auto"/>
        </w:rPr>
        <w:t>For the Registrant, see “Index to Consolidated Financial Statements and Supplemental Financial Data” set forth on page S-1.</w:t>
      </w:r>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 Exhibits</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Registrant, see “Index to Exhibits”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73"/>
        </w:trPr>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120" w:type="dxa"/>
            <w:vAlign w:val="bottom"/>
            <w:gridSpan w:val="42"/>
          </w:tcPr>
          <w:p>
            <w:pPr>
              <w:ind w:left="220"/>
              <w:spacing w:after="0"/>
              <w:rPr>
                <w:sz w:val="20"/>
                <w:szCs w:val="20"/>
                <w:color w:val="auto"/>
              </w:rPr>
            </w:pPr>
            <w:r>
              <w:rPr>
                <w:rFonts w:ascii="Arial" w:cs="Arial" w:eastAsia="Arial" w:hAnsi="Arial"/>
                <w:sz w:val="20"/>
                <w:szCs w:val="20"/>
                <w:b w:val="1"/>
                <w:bCs w:val="1"/>
                <w:color w:val="auto"/>
              </w:rPr>
              <w:t>INDEX TO EXHIBITS</w:t>
            </w:r>
          </w:p>
        </w:tc>
        <w:tc>
          <w:tcPr>
            <w:tcW w:w="0" w:type="dxa"/>
            <w:vAlign w:val="bottom"/>
          </w:tcPr>
          <w:p>
            <w:pPr>
              <w:spacing w:after="0"/>
              <w:rPr>
                <w:sz w:val="1"/>
                <w:szCs w:val="1"/>
                <w:color w:val="auto"/>
              </w:rPr>
            </w:pPr>
          </w:p>
        </w:tc>
      </w:tr>
      <w:tr>
        <w:trPr>
          <w:trHeight w:val="506"/>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800" w:type="dxa"/>
            <w:vAlign w:val="bottom"/>
            <w:gridSpan w:val="37"/>
            <w:vMerge w:val="restart"/>
          </w:tcPr>
          <w:p>
            <w:pPr>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b w:val="1"/>
                <w:bCs w:val="1"/>
                <w:color w:val="auto"/>
                <w:w w:val="95"/>
              </w:rPr>
              <w:t>Number</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5800" w:type="dxa"/>
            <w:vAlign w:val="bottom"/>
            <w:gridSpan w:val="3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5"/>
                <w:szCs w:val="15"/>
                <w:color w:val="auto"/>
              </w:rPr>
              <w:t>2.1</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59">
              <w:r>
                <w:rPr>
                  <w:rFonts w:ascii="Arial" w:cs="Arial" w:eastAsia="Arial" w:hAnsi="Arial"/>
                  <w:sz w:val="15"/>
                  <w:szCs w:val="15"/>
                  <w:color w:val="0000FF"/>
                </w:rPr>
                <w:t>Stock and Note Purchase Agreement dated as of July 31, 2006, among Compass Group Diversified Holdings LLC, Compass Group Investments,</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120" w:type="dxa"/>
            <w:vAlign w:val="bottom"/>
            <w:tcBorders>
              <w:top w:val="single" w:sz="8" w:color="0000FF"/>
            </w:tcBorders>
            <w:gridSpan w:val="36"/>
          </w:tcPr>
          <w:p>
            <w:pPr>
              <w:spacing w:after="0" w:line="142" w:lineRule="exact"/>
              <w:rPr>
                <w:rFonts w:ascii="Arial" w:cs="Arial" w:eastAsia="Arial" w:hAnsi="Arial"/>
                <w:sz w:val="15"/>
                <w:szCs w:val="15"/>
                <w:color w:val="0000FF"/>
              </w:rPr>
            </w:pPr>
            <w:hyperlink r:id="rId159">
              <w:r>
                <w:rPr>
                  <w:rFonts w:ascii="Arial" w:cs="Arial" w:eastAsia="Arial" w:hAnsi="Arial"/>
                  <w:sz w:val="15"/>
                  <w:szCs w:val="15"/>
                  <w:color w:val="0000FF"/>
                </w:rPr>
                <w:t>Inc. and Compass Medical Mattress Partners, LP (incorporated by reference to Exhibit 2.1 of the Form 8-K filed on August 1, 2006 (File No. 000-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rPr>
            </w:pPr>
            <w:hyperlink r:id="rId159">
              <w:r>
                <w:rPr>
                  <w:rFonts w:ascii="Arial" w:cs="Arial" w:eastAsia="Arial" w:hAnsi="Arial"/>
                  <w:sz w:val="14"/>
                  <w:szCs w:val="14"/>
                  <w:color w:val="0000FF"/>
                </w:rPr>
                <w:t>51937)</w:t>
              </w:r>
              <w:r>
                <w:rPr>
                  <w:rFonts w:ascii="Arial" w:cs="Arial" w:eastAsia="Arial" w:hAnsi="Arial"/>
                  <w:sz w:val="14"/>
                  <w:szCs w:val="14"/>
                  <w:u w:val="single" w:color="auto"/>
                  <w:color w:val="0000FF"/>
                </w:rPr>
                <w:t>)</w:t>
              </w:r>
              <w:r>
                <w:rPr>
                  <w:rFonts w:ascii="Arial" w:cs="Arial" w:eastAsia="Arial" w:hAnsi="Arial"/>
                  <w:sz w:val="14"/>
                  <w:szCs w:val="14"/>
                  <w:color w:val="0000FF"/>
                </w:rPr>
                <w:t>.</w:t>
              </w:r>
            </w:hyperlink>
          </w:p>
        </w:tc>
        <w:tc>
          <w:tcPr>
            <w:tcW w:w="380" w:type="dxa"/>
            <w:vAlign w:val="bottom"/>
            <w:tcBorders>
              <w:top w:val="single" w:sz="8" w:color="0000FF"/>
            </w:tcBorders>
          </w:tcPr>
          <w:p>
            <w:pPr>
              <w:spacing w:after="0"/>
              <w:rPr>
                <w:sz w:val="11"/>
                <w:szCs w:val="11"/>
                <w:color w:val="auto"/>
              </w:rPr>
            </w:pPr>
          </w:p>
        </w:tc>
        <w:tc>
          <w:tcPr>
            <w:tcW w:w="19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18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2.2</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60">
              <w:r>
                <w:rPr>
                  <w:rFonts w:ascii="Arial" w:cs="Arial" w:eastAsia="Arial" w:hAnsi="Arial"/>
                  <w:sz w:val="15"/>
                  <w:szCs w:val="15"/>
                  <w:color w:val="0000FF"/>
                </w:rPr>
                <w:t>Stock Purchase Agreement dated June 24, 2008, among Compass Group Diversified Holdings LLC and the other shareholders party thereto,</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80" w:type="dxa"/>
            <w:vAlign w:val="bottom"/>
            <w:tcBorders>
              <w:top w:val="single" w:sz="8" w:color="0000FF"/>
              <w:bottom w:val="single" w:sz="8" w:color="0000FF"/>
            </w:tcBorders>
            <w:gridSpan w:val="34"/>
          </w:tcPr>
          <w:p>
            <w:pPr>
              <w:spacing w:after="0" w:line="142" w:lineRule="exact"/>
              <w:rPr>
                <w:rFonts w:ascii="Arial" w:cs="Arial" w:eastAsia="Arial" w:hAnsi="Arial"/>
                <w:sz w:val="15"/>
                <w:szCs w:val="15"/>
                <w:color w:val="0000FF"/>
              </w:rPr>
            </w:pPr>
            <w:hyperlink r:id="rId160">
              <w:r>
                <w:rPr>
                  <w:rFonts w:ascii="Arial" w:cs="Arial" w:eastAsia="Arial" w:hAnsi="Arial"/>
                  <w:sz w:val="15"/>
                  <w:szCs w:val="15"/>
                  <w:color w:val="0000FF"/>
                </w:rPr>
                <w:t>Compass Group Diversified Holdings LLC, as Sellers’ Representative, Aeroglide Holdings, Inc. and Bühler AG (incorporated by reference to Exhibit</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20" w:type="dxa"/>
            <w:vAlign w:val="bottom"/>
            <w:tcBorders>
              <w:bottom w:val="single" w:sz="8" w:color="0000FF"/>
            </w:tcBorders>
            <w:gridSpan w:val="11"/>
          </w:tcPr>
          <w:p>
            <w:pPr>
              <w:spacing w:after="0" w:line="129" w:lineRule="exact"/>
              <w:rPr>
                <w:rFonts w:ascii="Arial" w:cs="Arial" w:eastAsia="Arial" w:hAnsi="Arial"/>
                <w:sz w:val="14"/>
                <w:szCs w:val="14"/>
                <w:color w:val="0000FF"/>
              </w:rPr>
            </w:pPr>
            <w:hyperlink r:id="rId160">
              <w:r>
                <w:rPr>
                  <w:rFonts w:ascii="Arial" w:cs="Arial" w:eastAsia="Arial" w:hAnsi="Arial"/>
                  <w:sz w:val="14"/>
                  <w:szCs w:val="14"/>
                  <w:color w:val="0000FF"/>
                </w:rPr>
                <w:t>2.</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of the Form 8-K filed on June 26, 2008 (File No. 000-51937)).</w:t>
              </w:r>
            </w:hyperlink>
          </w:p>
        </w:tc>
        <w:tc>
          <w:tcPr>
            <w:tcW w:w="5740" w:type="dxa"/>
            <w:vAlign w:val="bottom"/>
            <w:gridSpan w:val="2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2.3</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61">
              <w:r>
                <w:rPr>
                  <w:rFonts w:ascii="Arial" w:cs="Arial" w:eastAsia="Arial" w:hAnsi="Arial"/>
                  <w:sz w:val="15"/>
                  <w:szCs w:val="15"/>
                  <w:color w:val="0000FF"/>
                </w:rPr>
                <w:t>Stock Purchase Agreement, dated October 17, 2011, by and among Recruit Co., LTD. and RGF Staffing USA, Inc., as Buyers, the shareholders of</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140" w:type="dxa"/>
            <w:vAlign w:val="bottom"/>
            <w:tcBorders>
              <w:top w:val="single" w:sz="8" w:color="0000FF"/>
              <w:bottom w:val="single" w:sz="8" w:color="0000FF"/>
            </w:tcBorders>
            <w:gridSpan w:val="37"/>
          </w:tcPr>
          <w:p>
            <w:pPr>
              <w:spacing w:after="0" w:line="142" w:lineRule="exact"/>
              <w:rPr>
                <w:rFonts w:ascii="Arial" w:cs="Arial" w:eastAsia="Arial" w:hAnsi="Arial"/>
                <w:sz w:val="15"/>
                <w:szCs w:val="15"/>
                <w:color w:val="0000FF"/>
              </w:rPr>
            </w:pPr>
            <w:hyperlink r:id="rId161">
              <w:r>
                <w:rPr>
                  <w:rFonts w:ascii="Arial" w:cs="Arial" w:eastAsia="Arial" w:hAnsi="Arial"/>
                  <w:sz w:val="15"/>
                  <w:szCs w:val="15"/>
                  <w:color w:val="0000FF"/>
                </w:rPr>
                <w:t>Staffmark Holdings, Inc., as Sellers, Staffmark Holdings, Inc. and Compass Group Diversified Holdings LLC as Seller Representative (incorporated</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80" w:type="dxa"/>
            <w:vAlign w:val="bottom"/>
            <w:tcBorders>
              <w:bottom w:val="single" w:sz="8" w:color="0000FF"/>
            </w:tcBorders>
            <w:gridSpan w:val="15"/>
          </w:tcPr>
          <w:p>
            <w:pPr>
              <w:spacing w:after="0" w:line="129" w:lineRule="exact"/>
              <w:rPr>
                <w:rFonts w:ascii="Arial" w:cs="Arial" w:eastAsia="Arial" w:hAnsi="Arial"/>
                <w:sz w:val="14"/>
                <w:szCs w:val="14"/>
                <w:color w:val="0000FF"/>
              </w:rPr>
            </w:pPr>
            <w:hyperlink r:id="rId161">
              <w:r>
                <w:rPr>
                  <w:rFonts w:ascii="Arial" w:cs="Arial" w:eastAsia="Arial" w:hAnsi="Arial"/>
                  <w:sz w:val="14"/>
                  <w:szCs w:val="14"/>
                  <w:color w:val="0000FF"/>
                </w:rPr>
                <w:t>by reference to Exhibit 2.1 of the Form 8-K filed on October 18, 2011 (File No. 001-34927)).</w:t>
              </w:r>
            </w:hyperlink>
          </w:p>
        </w:tc>
        <w:tc>
          <w:tcPr>
            <w:tcW w:w="4000" w:type="dxa"/>
            <w:vAlign w:val="bottom"/>
            <w:gridSpan w:val="2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2.4</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62">
              <w:r>
                <w:rPr>
                  <w:rFonts w:ascii="Arial" w:cs="Arial" w:eastAsia="Arial" w:hAnsi="Arial"/>
                  <w:sz w:val="15"/>
                  <w:szCs w:val="15"/>
                  <w:color w:val="0000FF"/>
                </w:rPr>
                <w:t>Stock Purchase Agreement dated May 1, 2012, among Candlelight Investment Holdings, Inc., Halo Holding Corporation, Halo Lee Wayne, LLC and</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320" w:type="dxa"/>
            <w:vAlign w:val="bottom"/>
            <w:tcBorders>
              <w:top w:val="single" w:sz="8" w:color="0000FF"/>
            </w:tcBorders>
            <w:gridSpan w:val="46"/>
          </w:tcPr>
          <w:p>
            <w:pPr>
              <w:spacing w:after="0" w:line="142" w:lineRule="exact"/>
              <w:rPr>
                <w:rFonts w:ascii="Arial" w:cs="Arial" w:eastAsia="Arial" w:hAnsi="Arial"/>
                <w:sz w:val="15"/>
                <w:szCs w:val="15"/>
                <w:color w:val="0000FF"/>
              </w:rPr>
            </w:pPr>
            <w:hyperlink r:id="rId162">
              <w:r>
                <w:rPr>
                  <w:rFonts w:ascii="Arial" w:cs="Arial" w:eastAsia="Arial" w:hAnsi="Arial"/>
                  <w:sz w:val="15"/>
                  <w:szCs w:val="15"/>
                  <w:color w:val="0000FF"/>
                </w:rPr>
                <w:t>each of the holders of equity interests of Halo Lee Wayne, LLC listed on Exhibit A thereto (incorporated by reference to Exhibit 2.1 of the Form 8-K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6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162">
              <w:r>
                <w:rPr>
                  <w:rFonts w:ascii="Arial" w:cs="Arial" w:eastAsia="Arial" w:hAnsi="Arial"/>
                  <w:sz w:val="14"/>
                  <w:szCs w:val="14"/>
                  <w:color w:val="0000FF"/>
                </w:rPr>
                <w:t>filed on May 2, 2012(File No. 001-34927)).</w:t>
              </w:r>
            </w:hyperlink>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2.5</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63">
              <w:r>
                <w:rPr>
                  <w:rFonts w:ascii="Arial" w:cs="Arial" w:eastAsia="Arial" w:hAnsi="Arial"/>
                  <w:sz w:val="15"/>
                  <w:szCs w:val="15"/>
                  <w:color w:val="0000FF"/>
                </w:rPr>
                <w:t>Stock Purchase Agreement, dated May 8, 2019, by and among (i) Calrissian Holdings, LLC; (ii) CEHI Acquisition Corporation; (iii) Compass Group</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900" w:type="dxa"/>
            <w:vAlign w:val="bottom"/>
            <w:tcBorders>
              <w:top w:val="single" w:sz="8" w:color="0000FF"/>
            </w:tcBorders>
            <w:gridSpan w:val="28"/>
          </w:tcPr>
          <w:p>
            <w:pPr>
              <w:spacing w:after="0" w:line="142" w:lineRule="exact"/>
              <w:rPr>
                <w:rFonts w:ascii="Arial" w:cs="Arial" w:eastAsia="Arial" w:hAnsi="Arial"/>
                <w:sz w:val="15"/>
                <w:szCs w:val="15"/>
                <w:color w:val="0000FF"/>
              </w:rPr>
            </w:pPr>
            <w:hyperlink r:id="rId163">
              <w:r>
                <w:rPr>
                  <w:rFonts w:ascii="Arial" w:cs="Arial" w:eastAsia="Arial" w:hAnsi="Arial"/>
                  <w:sz w:val="15"/>
                  <w:szCs w:val="15"/>
                  <w:color w:val="0000FF"/>
                </w:rPr>
                <w:t>Diversified Holdings LLC; (iv) each Stockholder and Optionholder of the Company; and (v) solely for the purposes of Section 9(r) thereof, Harsco</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40" w:type="dxa"/>
            <w:vAlign w:val="bottom"/>
            <w:tcBorders>
              <w:top w:val="single" w:sz="8" w:color="0000FF"/>
              <w:bottom w:val="single" w:sz="8" w:color="0000FF"/>
            </w:tcBorders>
            <w:gridSpan w:val="19"/>
          </w:tcPr>
          <w:p>
            <w:pPr>
              <w:spacing w:after="0" w:line="129" w:lineRule="exact"/>
              <w:rPr>
                <w:rFonts w:ascii="Arial" w:cs="Arial" w:eastAsia="Arial" w:hAnsi="Arial"/>
                <w:sz w:val="14"/>
                <w:szCs w:val="14"/>
                <w:color w:val="0000FF"/>
              </w:rPr>
            </w:pPr>
            <w:hyperlink r:id="rId163">
              <w:r>
                <w:rPr>
                  <w:rFonts w:ascii="Arial" w:cs="Arial" w:eastAsia="Arial" w:hAnsi="Arial"/>
                  <w:sz w:val="14"/>
                  <w:szCs w:val="14"/>
                  <w:color w:val="0000FF"/>
                </w:rPr>
                <w:t>Corporation (incorporated by reference to Exhibit 2.1 of the Form 8-K filed on May 9, 2019 (File No. 001-34927)).</w:t>
              </w:r>
            </w:hyperlink>
          </w:p>
        </w:tc>
        <w:tc>
          <w:tcPr>
            <w:tcW w:w="214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2.6</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64">
              <w:r>
                <w:rPr>
                  <w:rFonts w:ascii="Arial" w:cs="Arial" w:eastAsia="Arial" w:hAnsi="Arial"/>
                  <w:sz w:val="15"/>
                  <w:szCs w:val="15"/>
                  <w:color w:val="0000FF"/>
                </w:rPr>
                <w:t>Stock Purchase Agreement by and among Compass Group Diversified Holdings LLC, Compass Group Investments, Inc., Compass CS Partners,</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0" w:type="dxa"/>
            <w:vAlign w:val="bottom"/>
            <w:tcBorders>
              <w:top w:val="single" w:sz="8" w:color="0000FF"/>
            </w:tcBorders>
            <w:gridSpan w:val="25"/>
          </w:tcPr>
          <w:p>
            <w:pPr>
              <w:spacing w:after="0" w:line="142" w:lineRule="exact"/>
              <w:rPr>
                <w:rFonts w:ascii="Arial" w:cs="Arial" w:eastAsia="Arial" w:hAnsi="Arial"/>
                <w:sz w:val="15"/>
                <w:szCs w:val="15"/>
                <w:color w:val="0000FF"/>
              </w:rPr>
            </w:pPr>
            <w:hyperlink r:id="rId164">
              <w:r>
                <w:rPr>
                  <w:rFonts w:ascii="Arial" w:cs="Arial" w:eastAsia="Arial" w:hAnsi="Arial"/>
                  <w:sz w:val="15"/>
                  <w:szCs w:val="15"/>
                  <w:color w:val="0000FF"/>
                </w:rPr>
                <w:t>L.P., Compass CS II Partners, L.P., Compass Crosman Partners, L.P., Compass Advanced Partners, L.P. and Compass Silvue Partners, LP</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8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rPr>
            </w:pPr>
            <w:hyperlink r:id="rId164">
              <w:r>
                <w:rPr>
                  <w:rFonts w:ascii="Arial" w:cs="Arial" w:eastAsia="Arial" w:hAnsi="Arial"/>
                  <w:sz w:val="14"/>
                  <w:szCs w:val="14"/>
                  <w:color w:val="0000FF"/>
                </w:rPr>
                <w:t>(incorporated by reference to Exhibit 2.1 of the Form S-1 filed on April 13, 2006 (File No. 333-130326)).</w:t>
              </w:r>
            </w:hyperlink>
          </w:p>
        </w:tc>
        <w:tc>
          <w:tcPr>
            <w:tcW w:w="2460" w:type="dxa"/>
            <w:vAlign w:val="bottom"/>
            <w:tcBorders>
              <w:top w:val="single" w:sz="8" w:color="0000FF"/>
            </w:tcBorders>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2.7</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65">
              <w:r>
                <w:rPr>
                  <w:rFonts w:ascii="Arial" w:cs="Arial" w:eastAsia="Arial" w:hAnsi="Arial"/>
                  <w:sz w:val="15"/>
                  <w:szCs w:val="15"/>
                  <w:color w:val="0000FF"/>
                </w:rPr>
                <w:t>Stock Purchase Agreement, dated July 16, 2021, by and among (i) Liberty Safe Holding Corporation; (ii) Independence Buyer, Inc.; (iii); Compass</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40" w:type="dxa"/>
            <w:vAlign w:val="bottom"/>
            <w:tcBorders>
              <w:top w:val="single" w:sz="8" w:color="0000FF"/>
            </w:tcBorders>
            <w:gridSpan w:val="26"/>
          </w:tcPr>
          <w:p>
            <w:pPr>
              <w:spacing w:after="0" w:line="142" w:lineRule="exact"/>
              <w:rPr>
                <w:rFonts w:ascii="Arial" w:cs="Arial" w:eastAsia="Arial" w:hAnsi="Arial"/>
                <w:sz w:val="15"/>
                <w:szCs w:val="15"/>
                <w:color w:val="0000FF"/>
              </w:rPr>
            </w:pPr>
            <w:hyperlink r:id="rId165">
              <w:r>
                <w:rPr>
                  <w:rFonts w:ascii="Arial" w:cs="Arial" w:eastAsia="Arial" w:hAnsi="Arial"/>
                  <w:sz w:val="15"/>
                  <w:szCs w:val="15"/>
                  <w:color w:val="0000FF"/>
                </w:rPr>
                <w:t>Group Diversified Holdings LLC, as the Sellers Representative; and (iv) each Stockholder and Optionholder of Liberty Safe Holding Corporation</w:t>
              </w:r>
            </w:hyperlink>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6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165">
              <w:r>
                <w:rPr>
                  <w:rFonts w:ascii="Arial" w:cs="Arial" w:eastAsia="Arial" w:hAnsi="Arial"/>
                  <w:sz w:val="14"/>
                  <w:szCs w:val="14"/>
                  <w:color w:val="0000FF"/>
                </w:rPr>
                <w:t>(incorporated by reference to Exhibit 2.1 of the Form 8-K filed on July 19, 2021 (File No. 001-34927)).</w:t>
              </w:r>
            </w:hyperlink>
          </w:p>
        </w:tc>
        <w:tc>
          <w:tcPr>
            <w:tcW w:w="2840" w:type="dxa"/>
            <w:vAlign w:val="bottom"/>
            <w:tcBorders>
              <w:top w:val="single" w:sz="8" w:color="0000FF"/>
            </w:tcBorders>
            <w:gridSpan w:val="7"/>
          </w:tcPr>
          <w:p>
            <w:pPr>
              <w:spacing w:after="0"/>
              <w:rPr>
                <w:sz w:val="11"/>
                <w:szCs w:val="11"/>
                <w:color w:val="auto"/>
              </w:rPr>
            </w:pPr>
          </w:p>
        </w:tc>
        <w:tc>
          <w:tcPr>
            <w:tcW w:w="18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2.8</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66">
              <w:r>
                <w:rPr>
                  <w:rFonts w:ascii="Arial" w:cs="Arial" w:eastAsia="Arial" w:hAnsi="Arial"/>
                  <w:sz w:val="15"/>
                  <w:szCs w:val="15"/>
                  <w:color w:val="0000FF"/>
                </w:rPr>
                <w:t>Amendment to Stock Purchase Agreement, dated August 3, 2021, by and among Independence Buyer, Inc. and Compass Group Diversified</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80" w:type="dxa"/>
            <w:vAlign w:val="bottom"/>
            <w:tcBorders>
              <w:top w:val="single" w:sz="8" w:color="0000FF"/>
            </w:tcBorders>
            <w:gridSpan w:val="21"/>
          </w:tcPr>
          <w:p>
            <w:pPr>
              <w:spacing w:after="0" w:line="142" w:lineRule="exact"/>
              <w:rPr>
                <w:rFonts w:ascii="Arial" w:cs="Arial" w:eastAsia="Arial" w:hAnsi="Arial"/>
                <w:sz w:val="15"/>
                <w:szCs w:val="15"/>
                <w:color w:val="0000FF"/>
              </w:rPr>
            </w:pPr>
            <w:hyperlink r:id="rId166">
              <w:r>
                <w:rPr>
                  <w:rFonts w:ascii="Arial" w:cs="Arial" w:eastAsia="Arial" w:hAnsi="Arial"/>
                  <w:sz w:val="15"/>
                  <w:szCs w:val="15"/>
                  <w:color w:val="0000FF"/>
                </w:rPr>
                <w:t>Holdings LLC, as the Sellers Representative (incorporated by reference to Exhibit 2.1 of the Form 8-K filed on August 3, 2021 (File No. 001-</w:t>
              </w:r>
            </w:hyperlink>
          </w:p>
        </w:tc>
        <w:tc>
          <w:tcPr>
            <w:tcW w:w="500" w:type="dxa"/>
            <w:vAlign w:val="bottom"/>
            <w:gridSpan w:val="8"/>
          </w:tcPr>
          <w:p>
            <w:pPr>
              <w:jc w:val="right"/>
              <w:ind w:right="100"/>
              <w:spacing w:after="0" w:line="142" w:lineRule="exact"/>
              <w:rPr>
                <w:rFonts w:ascii="Arial" w:cs="Arial" w:eastAsia="Arial" w:hAnsi="Arial"/>
                <w:sz w:val="15"/>
                <w:szCs w:val="15"/>
                <w:color w:val="0000FF"/>
                <w:w w:val="91"/>
              </w:rPr>
            </w:pPr>
            <w:hyperlink r:id="rId166">
              <w:r>
                <w:rPr>
                  <w:rFonts w:ascii="Arial" w:cs="Arial" w:eastAsia="Arial" w:hAnsi="Arial"/>
                  <w:sz w:val="15"/>
                  <w:szCs w:val="15"/>
                  <w:color w:val="0000FF"/>
                  <w:w w:val="91"/>
                </w:rPr>
                <w:t>34927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8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166">
              <w:r>
                <w:rPr>
                  <w:rFonts w:ascii="Arial" w:cs="Arial" w:eastAsia="Arial" w:hAnsi="Arial"/>
                  <w:sz w:val="14"/>
                  <w:szCs w:val="14"/>
                  <w:color w:val="0000FF"/>
                </w:rPr>
                <w:t>and Accession No. 0001345126-21-000031)).</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2.9</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67">
              <w:r>
                <w:rPr>
                  <w:rFonts w:ascii="Arial" w:cs="Arial" w:eastAsia="Arial" w:hAnsi="Arial"/>
                  <w:sz w:val="15"/>
                  <w:szCs w:val="15"/>
                  <w:color w:val="0000FF"/>
                </w:rPr>
                <w:t>Agreement and Plan of Merger, dated October 13, 2021, by and among (i) Tempo Automation, Inc.; (ii) Aspen Acquisition Sub, Inc.; (iii) Compass</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9"/>
          </w:tcPr>
          <w:p>
            <w:pPr>
              <w:spacing w:after="0" w:line="142" w:lineRule="exact"/>
              <w:rPr>
                <w:rFonts w:ascii="Arial" w:cs="Arial" w:eastAsia="Arial" w:hAnsi="Arial"/>
                <w:sz w:val="15"/>
                <w:szCs w:val="15"/>
                <w:color w:val="0000FF"/>
              </w:rPr>
            </w:pPr>
            <w:hyperlink r:id="rId167">
              <w:r>
                <w:rPr>
                  <w:rFonts w:ascii="Arial" w:cs="Arial" w:eastAsia="Arial" w:hAnsi="Arial"/>
                  <w:sz w:val="15"/>
                  <w:szCs w:val="15"/>
                  <w:color w:val="0000FF"/>
                </w:rPr>
                <w:t>AC Holdings, Inc.; and (iv) Compass Group Diversified Holdings LLC, as the Sellers Representative (incorporated by reference to Exhibit 2.1 of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0" w:type="dxa"/>
            <w:vAlign w:val="bottom"/>
            <w:gridSpan w:val="40"/>
          </w:tcPr>
          <w:p>
            <w:pPr>
              <w:spacing w:after="0" w:line="129" w:lineRule="exact"/>
              <w:rPr>
                <w:rFonts w:ascii="Arial" w:cs="Arial" w:eastAsia="Arial" w:hAnsi="Arial"/>
                <w:sz w:val="14"/>
                <w:szCs w:val="14"/>
                <w:color w:val="0000FF"/>
              </w:rPr>
            </w:pPr>
            <w:hyperlink r:id="rId167">
              <w:r>
                <w:rPr>
                  <w:rFonts w:ascii="Arial" w:cs="Arial" w:eastAsia="Arial" w:hAnsi="Arial"/>
                  <w:sz w:val="14"/>
                  <w:szCs w:val="14"/>
                  <w:color w:val="0000FF"/>
                </w:rPr>
                <w:t>Form 8-K filed on October 14, 2021 (File No. 001-34927)).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2.10</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68">
              <w:r>
                <w:rPr>
                  <w:rFonts w:ascii="Arial" w:cs="Arial" w:eastAsia="Arial" w:hAnsi="Arial"/>
                  <w:sz w:val="15"/>
                  <w:szCs w:val="15"/>
                  <w:color w:val="0000FF"/>
                </w:rPr>
                <w:t>Agreement and Plan of Merger, dated January 10, 2023, by and among (i) APCT Inc.; (ii) Circuit Merger Sub, Inc.; (iii) Compass AC Holdings, Inc.;</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40" w:type="dxa"/>
            <w:vAlign w:val="bottom"/>
            <w:tcBorders>
              <w:top w:val="single" w:sz="8" w:color="0000FF"/>
            </w:tcBorders>
            <w:gridSpan w:val="42"/>
          </w:tcPr>
          <w:p>
            <w:pPr>
              <w:spacing w:after="0" w:line="142" w:lineRule="exact"/>
              <w:rPr>
                <w:rFonts w:ascii="Arial" w:cs="Arial" w:eastAsia="Arial" w:hAnsi="Arial"/>
                <w:sz w:val="15"/>
                <w:szCs w:val="15"/>
                <w:color w:val="0000FF"/>
              </w:rPr>
            </w:pPr>
            <w:hyperlink r:id="rId168">
              <w:r>
                <w:rPr>
                  <w:rFonts w:ascii="Arial" w:cs="Arial" w:eastAsia="Arial" w:hAnsi="Arial"/>
                  <w:sz w:val="15"/>
                  <w:szCs w:val="15"/>
                  <w:color w:val="0000FF"/>
                </w:rPr>
                <w:t>and (iv) Compass Group Diversified Holdings LLC, as the Equityholders’ Representative (incorporated by reference to Exhibit 2.1 of the Form 8-K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6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rPr>
            </w:pPr>
            <w:hyperlink r:id="rId168">
              <w:r>
                <w:rPr>
                  <w:rFonts w:ascii="Arial" w:cs="Arial" w:eastAsia="Arial" w:hAnsi="Arial"/>
                  <w:sz w:val="14"/>
                  <w:szCs w:val="14"/>
                  <w:color w:val="0000FF"/>
                </w:rPr>
                <w:t>filed on January 11, 2023 (File No. 001-34927)).</w:t>
              </w:r>
            </w:hyperlink>
          </w:p>
        </w:tc>
        <w:tc>
          <w:tcPr>
            <w:tcW w:w="6960" w:type="dxa"/>
            <w:vAlign w:val="bottom"/>
            <w:tcBorders>
              <w:top w:val="single" w:sz="8" w:color="0000FF"/>
            </w:tcBorders>
            <w:gridSpan w:val="3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2.11</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69">
              <w:r>
                <w:rPr>
                  <w:rFonts w:ascii="Arial" w:cs="Arial" w:eastAsia="Arial" w:hAnsi="Arial"/>
                  <w:sz w:val="15"/>
                  <w:szCs w:val="15"/>
                  <w:color w:val="0000FF"/>
                </w:rPr>
                <w:t>Agreement and Plan of Merger, dated November 1, 2023, by and among (i) Fox Factory, Inc; (ii) Marucci Merger Sub, Inc.; (iii) Wheelhouse</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300" w:type="dxa"/>
            <w:vAlign w:val="bottom"/>
            <w:tcBorders>
              <w:top w:val="single" w:sz="8" w:color="0000FF"/>
            </w:tcBorders>
            <w:gridSpan w:val="45"/>
          </w:tcPr>
          <w:p>
            <w:pPr>
              <w:spacing w:after="0" w:line="142" w:lineRule="exact"/>
              <w:rPr>
                <w:rFonts w:ascii="Arial" w:cs="Arial" w:eastAsia="Arial" w:hAnsi="Arial"/>
                <w:sz w:val="15"/>
                <w:szCs w:val="15"/>
                <w:color w:val="0000FF"/>
              </w:rPr>
            </w:pPr>
            <w:hyperlink r:id="rId169">
              <w:r>
                <w:rPr>
                  <w:rFonts w:ascii="Arial" w:cs="Arial" w:eastAsia="Arial" w:hAnsi="Arial"/>
                  <w:sz w:val="15"/>
                  <w:szCs w:val="15"/>
                  <w:color w:val="0000FF"/>
                </w:rPr>
                <w:t>Holdings Inc.; and (iv) Compass Group Diversified Holdings LLC, as the Equityholders’ Representative (incorporated by reference to Exhibit 2.1 of</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8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69">
              <w:r>
                <w:rPr>
                  <w:rFonts w:ascii="Arial" w:cs="Arial" w:eastAsia="Arial" w:hAnsi="Arial"/>
                  <w:sz w:val="14"/>
                  <w:szCs w:val="14"/>
                  <w:color w:val="0000FF"/>
                </w:rPr>
                <w:t>the Form 8-K filed on November 2, 2023 (File No. 001-34927)).</w:t>
              </w:r>
            </w:hyperlink>
          </w:p>
        </w:tc>
        <w:tc>
          <w:tcPr>
            <w:tcW w:w="572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2.12</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70">
              <w:r>
                <w:rPr>
                  <w:rFonts w:ascii="Arial" w:cs="Arial" w:eastAsia="Arial" w:hAnsi="Arial"/>
                  <w:sz w:val="15"/>
                  <w:szCs w:val="15"/>
                  <w:color w:val="0000FF"/>
                </w:rPr>
                <w:t>Agreement and Plan of Merger, dated December 27, 2024, by and among (i) ERGO Acquisition LLC; (ii) Aloha Merger Sub LLC; (iii) EBP Lifestyle</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31"/>
          </w:tcPr>
          <w:p>
            <w:pPr>
              <w:spacing w:after="0" w:line="142" w:lineRule="exact"/>
              <w:rPr>
                <w:rFonts w:ascii="Arial" w:cs="Arial" w:eastAsia="Arial" w:hAnsi="Arial"/>
                <w:sz w:val="15"/>
                <w:szCs w:val="15"/>
                <w:color w:val="0000FF"/>
              </w:rPr>
            </w:pPr>
            <w:hyperlink r:id="rId170">
              <w:r>
                <w:rPr>
                  <w:rFonts w:ascii="Arial" w:cs="Arial" w:eastAsia="Arial" w:hAnsi="Arial"/>
                  <w:sz w:val="15"/>
                  <w:szCs w:val="15"/>
                  <w:color w:val="0000FF"/>
                </w:rPr>
                <w:t>Brands Holidings, Inc.; and (iv) Compass Group Diversified Holdings LLC, as the stockholder representative (incorporated by reference to Exhibit</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160" w:type="dxa"/>
            <w:vAlign w:val="bottom"/>
            <w:tcBorders>
              <w:bottom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60" w:type="dxa"/>
            <w:vAlign w:val="bottom"/>
            <w:gridSpan w:val="43"/>
          </w:tcPr>
          <w:p>
            <w:pPr>
              <w:spacing w:after="0" w:line="129" w:lineRule="exact"/>
              <w:rPr>
                <w:rFonts w:ascii="Arial" w:cs="Arial" w:eastAsia="Arial" w:hAnsi="Arial"/>
                <w:sz w:val="14"/>
                <w:szCs w:val="14"/>
                <w:color w:val="0000FF"/>
              </w:rPr>
            </w:pPr>
            <w:hyperlink r:id="rId170">
              <w:r>
                <w:rPr>
                  <w:rFonts w:ascii="Arial" w:cs="Arial" w:eastAsia="Arial" w:hAnsi="Arial"/>
                  <w:sz w:val="14"/>
                  <w:szCs w:val="14"/>
                  <w:color w:val="0000FF"/>
                </w:rPr>
                <w:t>2.</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of the Form 8-K filed on December 30, 2024 (File No. 001-34927)).</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71">
              <w:r>
                <w:rPr>
                  <w:rFonts w:ascii="Arial" w:cs="Arial" w:eastAsia="Arial" w:hAnsi="Arial"/>
                  <w:sz w:val="15"/>
                  <w:szCs w:val="15"/>
                  <w:color w:val="0000FF"/>
                </w:rPr>
                <w:t>Certificate of Trust of Compass Diversified Trust (incorporated by reference to Exhibit 3.1 of the Form S-1 filed on December 14, 2005 (File No.</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Borders>
              <w:top w:val="single" w:sz="8" w:color="0000FF"/>
              <w:bottom w:val="single" w:sz="8" w:color="0000FF"/>
            </w:tcBorders>
            <w:gridSpan w:val="2"/>
          </w:tcPr>
          <w:p>
            <w:pPr>
              <w:spacing w:after="0" w:line="142" w:lineRule="exact"/>
              <w:rPr>
                <w:rFonts w:ascii="Arial" w:cs="Arial" w:eastAsia="Arial" w:hAnsi="Arial"/>
                <w:sz w:val="15"/>
                <w:szCs w:val="15"/>
                <w:color w:val="0000FF"/>
                <w:w w:val="99"/>
              </w:rPr>
            </w:pPr>
            <w:hyperlink r:id="rId171">
              <w:r>
                <w:rPr>
                  <w:rFonts w:ascii="Arial" w:cs="Arial" w:eastAsia="Arial" w:hAnsi="Arial"/>
                  <w:sz w:val="15"/>
                  <w:szCs w:val="15"/>
                  <w:color w:val="0000FF"/>
                  <w:w w:val="99"/>
                </w:rPr>
                <w:t>333-130326)).</w:t>
              </w:r>
            </w:hyperlink>
          </w:p>
        </w:tc>
        <w:tc>
          <w:tcPr>
            <w:tcW w:w="19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8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3.2</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72">
              <w:r>
                <w:rPr>
                  <w:rFonts w:ascii="Arial" w:cs="Arial" w:eastAsia="Arial" w:hAnsi="Arial"/>
                  <w:sz w:val="15"/>
                  <w:szCs w:val="15"/>
                  <w:color w:val="0000FF"/>
                </w:rPr>
                <w:t>Certificate of Amendment to Certificate of Trust of Compass Diversified Trust (incorporated by reference to Exhibit 3.1 of the Form 8-K filed on</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4"/>
          </w:tcPr>
          <w:p>
            <w:pPr>
              <w:spacing w:after="0" w:line="142" w:lineRule="exact"/>
              <w:rPr>
                <w:rFonts w:ascii="Arial" w:cs="Arial" w:eastAsia="Arial" w:hAnsi="Arial"/>
                <w:sz w:val="15"/>
                <w:szCs w:val="15"/>
                <w:color w:val="0000FF"/>
              </w:rPr>
            </w:pPr>
            <w:hyperlink r:id="rId172">
              <w:r>
                <w:rPr>
                  <w:rFonts w:ascii="Arial" w:cs="Arial" w:eastAsia="Arial" w:hAnsi="Arial"/>
                  <w:sz w:val="15"/>
                  <w:szCs w:val="15"/>
                  <w:color w:val="0000FF"/>
                </w:rPr>
                <w:t>September 13, 2007 (File No. 000-51937)).</w:t>
              </w:r>
            </w:hyperlink>
          </w:p>
        </w:tc>
        <w:tc>
          <w:tcPr>
            <w:tcW w:w="7340" w:type="dxa"/>
            <w:vAlign w:val="bottom"/>
            <w:tcBorders>
              <w:top w:val="single" w:sz="8" w:color="0000FF"/>
            </w:tcBorders>
            <w:gridSpan w:val="40"/>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3.3</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71">
              <w:r>
                <w:rPr>
                  <w:rFonts w:ascii="Arial" w:cs="Arial" w:eastAsia="Arial" w:hAnsi="Arial"/>
                  <w:sz w:val="15"/>
                  <w:szCs w:val="15"/>
                  <w:color w:val="0000FF"/>
                </w:rPr>
                <w:t>Certificate of Formation of Compass Group Diversified Holdings LLC (incorporated by reference to Exhibit 3.3 of the Form S-1 filed on</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5"/>
          </w:tcPr>
          <w:p>
            <w:pPr>
              <w:spacing w:after="0" w:line="142" w:lineRule="exact"/>
              <w:rPr>
                <w:rFonts w:ascii="Arial" w:cs="Arial" w:eastAsia="Arial" w:hAnsi="Arial"/>
                <w:sz w:val="15"/>
                <w:szCs w:val="15"/>
                <w:color w:val="0000FF"/>
              </w:rPr>
            </w:pPr>
            <w:hyperlink r:id="rId171">
              <w:r>
                <w:rPr>
                  <w:rFonts w:ascii="Arial" w:cs="Arial" w:eastAsia="Arial" w:hAnsi="Arial"/>
                  <w:sz w:val="15"/>
                  <w:szCs w:val="15"/>
                  <w:color w:val="0000FF"/>
                </w:rPr>
                <w:t>December 14, 2005 (File No. 333-130326)).</w:t>
              </w:r>
            </w:hyperlink>
          </w:p>
        </w:tc>
        <w:tc>
          <w:tcPr>
            <w:tcW w:w="7360" w:type="dxa"/>
            <w:vAlign w:val="bottom"/>
            <w:tcBorders>
              <w:top w:val="single" w:sz="8" w:color="0000FF"/>
            </w:tcBorders>
            <w:gridSpan w:val="4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3.4</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73">
              <w:r>
                <w:rPr>
                  <w:rFonts w:ascii="Arial" w:cs="Arial" w:eastAsia="Arial" w:hAnsi="Arial"/>
                  <w:sz w:val="15"/>
                  <w:szCs w:val="15"/>
                  <w:color w:val="0000FF"/>
                </w:rPr>
                <w:t>Amended and Restated Trust Agreement of Compass Diversified Trust (incorporated by reference to Exhibit 3.5 of the Amendment No. 4 to the</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360" w:type="dxa"/>
            <w:vAlign w:val="bottom"/>
            <w:tcBorders>
              <w:top w:val="single" w:sz="8" w:color="0000FF"/>
            </w:tcBorders>
            <w:gridSpan w:val="48"/>
          </w:tcPr>
          <w:p>
            <w:pPr>
              <w:spacing w:after="0" w:line="142" w:lineRule="exact"/>
              <w:rPr>
                <w:rFonts w:ascii="Arial" w:cs="Arial" w:eastAsia="Arial" w:hAnsi="Arial"/>
                <w:sz w:val="15"/>
                <w:szCs w:val="15"/>
                <w:color w:val="0000FF"/>
              </w:rPr>
            </w:pPr>
            <w:hyperlink r:id="rId173">
              <w:r>
                <w:rPr>
                  <w:rFonts w:ascii="Arial" w:cs="Arial" w:eastAsia="Arial" w:hAnsi="Arial"/>
                  <w:sz w:val="15"/>
                  <w:szCs w:val="15"/>
                  <w:color w:val="0000FF"/>
                </w:rPr>
                <w:t>Form S-1 filed on April 26, 2006 (File No. 333-130326)).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gridSpan w:val="8"/>
            <w:shd w:val="clear" w:color="auto" w:fill="0000FF"/>
          </w:tcPr>
          <w:p>
            <w:pPr>
              <w:spacing w:after="0" w:line="20" w:lineRule="exact"/>
              <w:rPr>
                <w:sz w:val="1"/>
                <w:szCs w:val="1"/>
                <w:color w:val="auto"/>
              </w:rPr>
            </w:pPr>
          </w:p>
        </w:tc>
        <w:tc>
          <w:tcPr>
            <w:tcW w:w="3100" w:type="dxa"/>
            <w:vAlign w:val="bottom"/>
            <w:gridSpan w:val="9"/>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3.5</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74">
              <w:r>
                <w:rPr>
                  <w:rFonts w:ascii="Arial" w:cs="Arial" w:eastAsia="Arial" w:hAnsi="Arial"/>
                  <w:sz w:val="15"/>
                  <w:szCs w:val="15"/>
                  <w:color w:val="0000FF"/>
                </w:rPr>
                <w:t>Amendment No. 1 to the Amended and Restated Trust Agreement, dated as of April 25, 2006, of Compass Diversified Trust among Compass</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60" w:type="dxa"/>
            <w:vAlign w:val="bottom"/>
            <w:tcBorders>
              <w:top w:val="single" w:sz="8" w:color="0000FF"/>
            </w:tcBorders>
            <w:gridSpan w:val="33"/>
          </w:tcPr>
          <w:p>
            <w:pPr>
              <w:spacing w:after="0" w:line="142" w:lineRule="exact"/>
              <w:rPr>
                <w:rFonts w:ascii="Arial" w:cs="Arial" w:eastAsia="Arial" w:hAnsi="Arial"/>
                <w:sz w:val="15"/>
                <w:szCs w:val="15"/>
                <w:color w:val="0000FF"/>
              </w:rPr>
            </w:pPr>
            <w:hyperlink r:id="rId174">
              <w:r>
                <w:rPr>
                  <w:rFonts w:ascii="Arial" w:cs="Arial" w:eastAsia="Arial" w:hAnsi="Arial"/>
                  <w:sz w:val="15"/>
                  <w:szCs w:val="15"/>
                  <w:color w:val="0000FF"/>
                </w:rPr>
                <w:t>Group Diversified Holdings LLC, as Sponsor, The Bank of New York (Delaware), as Delaware Trustee, and the Regular Trustees named therein</w:t>
              </w:r>
            </w:hyperlink>
          </w:p>
        </w:tc>
        <w:tc>
          <w:tcPr>
            <w:tcW w:w="40" w:type="dxa"/>
            <w:vAlign w:val="bottom"/>
            <w:gridSpan w:val="2"/>
          </w:tcPr>
          <w:p>
            <w:pPr>
              <w:spacing w:after="0"/>
              <w:rPr>
                <w:sz w:val="12"/>
                <w:szCs w:val="12"/>
                <w:color w:val="auto"/>
              </w:rPr>
            </w:pPr>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80" w:type="dxa"/>
            <w:vAlign w:val="bottom"/>
            <w:tcBorders>
              <w:top w:val="single" w:sz="8" w:color="0000FF"/>
              <w:bottom w:val="single" w:sz="8" w:color="0000FF"/>
            </w:tcBorders>
            <w:gridSpan w:val="17"/>
          </w:tcPr>
          <w:p>
            <w:pPr>
              <w:spacing w:after="0" w:line="129" w:lineRule="exact"/>
              <w:rPr>
                <w:rFonts w:ascii="Arial" w:cs="Arial" w:eastAsia="Arial" w:hAnsi="Arial"/>
                <w:sz w:val="14"/>
                <w:szCs w:val="14"/>
                <w:color w:val="0000FF"/>
              </w:rPr>
            </w:pPr>
            <w:hyperlink r:id="rId174">
              <w:r>
                <w:rPr>
                  <w:rFonts w:ascii="Arial" w:cs="Arial" w:eastAsia="Arial" w:hAnsi="Arial"/>
                  <w:sz w:val="14"/>
                  <w:szCs w:val="14"/>
                  <w:color w:val="0000FF"/>
                </w:rPr>
                <w:t>(incorporated by reference to Exhibit 4.1 of the Form 8-K filed on May 29, 2007 (File No. 000-51937)).</w:t>
              </w:r>
            </w:hyperlink>
          </w:p>
        </w:tc>
        <w:tc>
          <w:tcPr>
            <w:tcW w:w="3160" w:type="dxa"/>
            <w:vAlign w:val="bottom"/>
            <w:tcBorders>
              <w:top w:val="single" w:sz="8" w:color="0000FF"/>
            </w:tcBorders>
            <w:gridSpan w:val="15"/>
          </w:tcPr>
          <w:p>
            <w:pPr>
              <w:spacing w:after="0"/>
              <w:rPr>
                <w:sz w:val="11"/>
                <w:szCs w:val="11"/>
                <w:color w:val="auto"/>
              </w:rPr>
            </w:pPr>
          </w:p>
        </w:tc>
        <w:tc>
          <w:tcPr>
            <w:tcW w:w="60" w:type="dxa"/>
            <w:vAlign w:val="bottom"/>
            <w:gridSpan w:val="3"/>
          </w:tcPr>
          <w:p>
            <w:pPr>
              <w:spacing w:after="0"/>
              <w:rPr>
                <w:sz w:val="11"/>
                <w:szCs w:val="11"/>
                <w:color w:val="auto"/>
              </w:rPr>
            </w:pPr>
          </w:p>
        </w:tc>
        <w:tc>
          <w:tcPr>
            <w:tcW w:w="280" w:type="dxa"/>
            <w:vAlign w:val="bottom"/>
            <w:gridSpan w:val="14"/>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3.6</w:t>
            </w:r>
          </w:p>
        </w:tc>
        <w:tc>
          <w:tcPr>
            <w:tcW w:w="580" w:type="dxa"/>
            <w:vAlign w:val="bottom"/>
          </w:tcPr>
          <w:p>
            <w:pPr>
              <w:spacing w:after="0"/>
              <w:rPr>
                <w:sz w:val="15"/>
                <w:szCs w:val="15"/>
                <w:color w:val="auto"/>
              </w:rPr>
            </w:pPr>
          </w:p>
        </w:tc>
        <w:tc>
          <w:tcPr>
            <w:tcW w:w="10380" w:type="dxa"/>
            <w:vAlign w:val="bottom"/>
            <w:gridSpan w:val="49"/>
          </w:tcPr>
          <w:p>
            <w:pPr>
              <w:spacing w:after="0"/>
              <w:rPr>
                <w:rFonts w:ascii="Arial" w:cs="Arial" w:eastAsia="Arial" w:hAnsi="Arial"/>
                <w:sz w:val="15"/>
                <w:szCs w:val="15"/>
                <w:color w:val="0000FF"/>
              </w:rPr>
            </w:pPr>
            <w:hyperlink r:id="rId172">
              <w:r>
                <w:rPr>
                  <w:rFonts w:ascii="Arial" w:cs="Arial" w:eastAsia="Arial" w:hAnsi="Arial"/>
                  <w:sz w:val="15"/>
                  <w:szCs w:val="15"/>
                  <w:color w:val="0000FF"/>
                </w:rPr>
                <w:t>Second Amendment to the Amended and Restated Trust Agreement, dated as of April 25, 2006, as amended on May 23, 2007, of Compass</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180" w:type="dxa"/>
            <w:vAlign w:val="bottom"/>
            <w:tcBorders>
              <w:top w:val="single" w:sz="8" w:color="0000FF"/>
            </w:tcBorders>
            <w:gridSpan w:val="39"/>
          </w:tcPr>
          <w:p>
            <w:pPr>
              <w:spacing w:after="0" w:line="142" w:lineRule="exact"/>
              <w:rPr>
                <w:rFonts w:ascii="Arial" w:cs="Arial" w:eastAsia="Arial" w:hAnsi="Arial"/>
                <w:sz w:val="15"/>
                <w:szCs w:val="15"/>
                <w:color w:val="0000FF"/>
              </w:rPr>
            </w:pPr>
            <w:hyperlink r:id="rId172">
              <w:r>
                <w:rPr>
                  <w:rFonts w:ascii="Arial" w:cs="Arial" w:eastAsia="Arial" w:hAnsi="Arial"/>
                  <w:sz w:val="15"/>
                  <w:szCs w:val="15"/>
                  <w:color w:val="0000FF"/>
                </w:rPr>
                <w:t>Diversified Trust among Compass Group Diversified Holdings LLC, as Sponsor, The Bank of New York (Delaware), as Delaware Trustee, and the</w:t>
              </w:r>
            </w:hyperlink>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0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172">
              <w:r>
                <w:rPr>
                  <w:rFonts w:ascii="Arial" w:cs="Arial" w:eastAsia="Arial" w:hAnsi="Arial"/>
                  <w:sz w:val="14"/>
                  <w:szCs w:val="14"/>
                  <w:color w:val="0000FF"/>
                </w:rPr>
                <w:t>Regular Trustees named therein (incorporated by reference to Exhibit 3.2 of the Form 8-K filed on September 13, 2007 (File No. 000-51937)).</w:t>
              </w:r>
            </w:hyperlink>
          </w:p>
        </w:tc>
        <w:tc>
          <w:tcPr>
            <w:tcW w:w="280" w:type="dxa"/>
            <w:vAlign w:val="bottom"/>
            <w:gridSpan w:val="14"/>
          </w:tcPr>
          <w:p>
            <w:pPr>
              <w:spacing w:after="0"/>
              <w:rPr>
                <w:sz w:val="11"/>
                <w:szCs w:val="11"/>
                <w:color w:val="auto"/>
              </w:rPr>
            </w:pPr>
          </w:p>
        </w:tc>
        <w:tc>
          <w:tcPr>
            <w:tcW w:w="0" w:type="dxa"/>
            <w:vAlign w:val="bottom"/>
          </w:tcPr>
          <w:p>
            <w:pPr>
              <w:spacing w:after="0"/>
              <w:rPr>
                <w:sz w:val="1"/>
                <w:szCs w:val="1"/>
                <w:color w:val="auto"/>
              </w:rPr>
            </w:pPr>
          </w:p>
        </w:tc>
      </w:tr>
      <w:tr>
        <w:trPr>
          <w:trHeight w:val="93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tcBorders>
              <w:top w:val="single" w:sz="8" w:color="0000FF"/>
            </w:tcBorders>
            <w:gridSpan w:val="12"/>
          </w:tcPr>
          <w:p>
            <w:pPr>
              <w:ind w:left="4280"/>
              <w:spacing w:after="0"/>
              <w:rPr>
                <w:sz w:val="20"/>
                <w:szCs w:val="20"/>
                <w:color w:val="auto"/>
              </w:rPr>
            </w:pPr>
            <w:r>
              <w:rPr>
                <w:rFonts w:ascii="Arial" w:cs="Arial" w:eastAsia="Arial" w:hAnsi="Arial"/>
                <w:sz w:val="16"/>
                <w:szCs w:val="16"/>
                <w:color w:val="auto"/>
              </w:rPr>
              <w:t>127</w:t>
            </w: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8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72"/>
        </w:trPr>
        <w:tc>
          <w:tcPr>
            <w:tcW w:w="1160" w:type="dxa"/>
            <w:vAlign w:val="bottom"/>
          </w:tcPr>
          <w:p>
            <w:pPr>
              <w:spacing w:after="0"/>
              <w:rPr>
                <w:sz w:val="20"/>
                <w:szCs w:val="20"/>
                <w:color w:val="auto"/>
              </w:rPr>
            </w:pPr>
            <w:r>
              <w:rPr>
                <w:rFonts w:ascii="Arial" w:cs="Arial" w:eastAsia="Arial" w:hAnsi="Arial"/>
                <w:sz w:val="15"/>
                <w:szCs w:val="15"/>
                <w:color w:val="auto"/>
              </w:rPr>
              <w:t>3.7</w:t>
            </w:r>
          </w:p>
        </w:tc>
        <w:tc>
          <w:tcPr>
            <w:tcW w:w="10240" w:type="dxa"/>
            <w:vAlign w:val="bottom"/>
            <w:gridSpan w:val="40"/>
          </w:tcPr>
          <w:p>
            <w:pPr>
              <w:spacing w:after="0"/>
              <w:rPr>
                <w:rFonts w:ascii="Arial" w:cs="Arial" w:eastAsia="Arial" w:hAnsi="Arial"/>
                <w:sz w:val="15"/>
                <w:szCs w:val="15"/>
                <w:color w:val="0000FF"/>
              </w:rPr>
            </w:pPr>
            <w:hyperlink r:id="rId177">
              <w:r>
                <w:rPr>
                  <w:rFonts w:ascii="Arial" w:cs="Arial" w:eastAsia="Arial" w:hAnsi="Arial"/>
                  <w:sz w:val="15"/>
                  <w:szCs w:val="15"/>
                  <w:color w:val="0000FF"/>
                </w:rPr>
                <w:t>Third Amendment to the Amended and Restated Trust Agreement dated as of April 25, 2006, as amended on May 25, 2007 and September 14,</w:t>
              </w:r>
            </w:hyperlink>
          </w:p>
        </w:tc>
      </w:tr>
      <w:tr>
        <w:trPr>
          <w:trHeight w:val="129"/>
        </w:trPr>
        <w:tc>
          <w:tcPr>
            <w:tcW w:w="1160" w:type="dxa"/>
            <w:vAlign w:val="bottom"/>
          </w:tcPr>
          <w:p>
            <w:pPr>
              <w:spacing w:after="0"/>
              <w:rPr>
                <w:sz w:val="11"/>
                <w:szCs w:val="11"/>
                <w:color w:val="auto"/>
              </w:rPr>
            </w:pPr>
          </w:p>
        </w:tc>
        <w:tc>
          <w:tcPr>
            <w:tcW w:w="10080" w:type="dxa"/>
            <w:vAlign w:val="bottom"/>
            <w:tcBorders>
              <w:top w:val="single" w:sz="8" w:color="0000FF"/>
              <w:bottom w:val="single" w:sz="8" w:color="0000FF"/>
            </w:tcBorders>
            <w:gridSpan w:val="32"/>
          </w:tcPr>
          <w:p>
            <w:pPr>
              <w:spacing w:after="0" w:line="129" w:lineRule="exact"/>
              <w:rPr>
                <w:rFonts w:ascii="Arial" w:cs="Arial" w:eastAsia="Arial" w:hAnsi="Arial"/>
                <w:sz w:val="14"/>
                <w:szCs w:val="14"/>
                <w:color w:val="0000FF"/>
              </w:rPr>
            </w:pPr>
            <w:hyperlink r:id="rId177">
              <w:r>
                <w:rPr>
                  <w:rFonts w:ascii="Arial" w:cs="Arial" w:eastAsia="Arial" w:hAnsi="Arial"/>
                  <w:sz w:val="14"/>
                  <w:szCs w:val="14"/>
                  <w:color w:val="0000FF"/>
                </w:rPr>
                <w:t>2007, of Compass Diversified Holdings among Compass Group Diversified Holdings LLC, as Sponsor, The Bank of New York (Delaware), as</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160" w:type="dxa"/>
            <w:vAlign w:val="bottom"/>
          </w:tcPr>
          <w:p>
            <w:pPr>
              <w:spacing w:after="0"/>
              <w:rPr>
                <w:sz w:val="11"/>
                <w:szCs w:val="11"/>
                <w:color w:val="auto"/>
              </w:rPr>
            </w:pPr>
          </w:p>
        </w:tc>
        <w:tc>
          <w:tcPr>
            <w:tcW w:w="10200" w:type="dxa"/>
            <w:vAlign w:val="bottom"/>
            <w:gridSpan w:val="38"/>
          </w:tcPr>
          <w:p>
            <w:pPr>
              <w:spacing w:after="0" w:line="129" w:lineRule="exact"/>
              <w:rPr>
                <w:rFonts w:ascii="Arial" w:cs="Arial" w:eastAsia="Arial" w:hAnsi="Arial"/>
                <w:sz w:val="14"/>
                <w:szCs w:val="14"/>
                <w:color w:val="0000FF"/>
              </w:rPr>
            </w:pPr>
            <w:hyperlink r:id="rId177">
              <w:r>
                <w:rPr>
                  <w:rFonts w:ascii="Arial" w:cs="Arial" w:eastAsia="Arial" w:hAnsi="Arial"/>
                  <w:sz w:val="14"/>
                  <w:szCs w:val="14"/>
                  <w:color w:val="0000FF"/>
                </w:rPr>
                <w:t>Delaware Trustee, and the Regular Trustees named therein (incorporated by reference to Exhibit 4.1 of the Form 8-K filed on December 21, 2007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1160" w:type="dxa"/>
            <w:vAlign w:val="bottom"/>
          </w:tcPr>
          <w:p>
            <w:pPr>
              <w:spacing w:after="0"/>
              <w:rPr>
                <w:sz w:val="12"/>
                <w:szCs w:val="12"/>
                <w:color w:val="auto"/>
              </w:rPr>
            </w:pPr>
          </w:p>
        </w:tc>
        <w:tc>
          <w:tcPr>
            <w:tcW w:w="10160" w:type="dxa"/>
            <w:vAlign w:val="bottom"/>
            <w:tcBorders>
              <w:top w:val="single" w:sz="8" w:color="0000FF"/>
            </w:tcBorders>
            <w:gridSpan w:val="36"/>
          </w:tcPr>
          <w:p>
            <w:pPr>
              <w:spacing w:after="0" w:line="142" w:lineRule="exact"/>
              <w:rPr>
                <w:rFonts w:ascii="Arial" w:cs="Arial" w:eastAsia="Arial" w:hAnsi="Arial"/>
                <w:sz w:val="15"/>
                <w:szCs w:val="15"/>
                <w:color w:val="0000FF"/>
              </w:rPr>
            </w:pPr>
            <w:hyperlink r:id="rId177">
              <w:r>
                <w:rPr>
                  <w:rFonts w:ascii="Arial" w:cs="Arial" w:eastAsia="Arial" w:hAnsi="Arial"/>
                  <w:sz w:val="15"/>
                  <w:szCs w:val="15"/>
                  <w:color w:val="0000FF"/>
                </w:rPr>
                <w:t>(File No. 000-51937)).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5"/>
                <w:szCs w:val="15"/>
                <w:color w:val="auto"/>
              </w:rPr>
              <w:t>3.8</w:t>
            </w:r>
          </w:p>
        </w:tc>
        <w:tc>
          <w:tcPr>
            <w:tcW w:w="10240" w:type="dxa"/>
            <w:vAlign w:val="bottom"/>
            <w:gridSpan w:val="40"/>
          </w:tcPr>
          <w:p>
            <w:pPr>
              <w:spacing w:after="0"/>
              <w:rPr>
                <w:rFonts w:ascii="Arial" w:cs="Arial" w:eastAsia="Arial" w:hAnsi="Arial"/>
                <w:sz w:val="15"/>
                <w:szCs w:val="15"/>
                <w:color w:val="0000FF"/>
              </w:rPr>
            </w:pPr>
            <w:hyperlink r:id="rId178">
              <w:r>
                <w:rPr>
                  <w:rFonts w:ascii="Arial" w:cs="Arial" w:eastAsia="Arial" w:hAnsi="Arial"/>
                  <w:sz w:val="15"/>
                  <w:szCs w:val="15"/>
                  <w:color w:val="0000FF"/>
                </w:rPr>
                <w:t>Fourth Amendment dated as of November 1, 2010 to the Amended and Restated Trust Agreement, as amended effective November 1, 2010, of</w:t>
              </w:r>
            </w:hyperlink>
          </w:p>
        </w:tc>
      </w:tr>
      <w:tr>
        <w:trPr>
          <w:trHeight w:val="129"/>
        </w:trPr>
        <w:tc>
          <w:tcPr>
            <w:tcW w:w="1160" w:type="dxa"/>
            <w:vAlign w:val="bottom"/>
          </w:tcPr>
          <w:p>
            <w:pPr>
              <w:spacing w:after="0"/>
              <w:rPr>
                <w:sz w:val="11"/>
                <w:szCs w:val="11"/>
                <w:color w:val="auto"/>
              </w:rPr>
            </w:pPr>
          </w:p>
        </w:tc>
        <w:tc>
          <w:tcPr>
            <w:tcW w:w="10180" w:type="dxa"/>
            <w:vAlign w:val="bottom"/>
            <w:tcBorders>
              <w:top w:val="single" w:sz="8" w:color="0000FF"/>
            </w:tcBorders>
            <w:gridSpan w:val="37"/>
          </w:tcPr>
          <w:p>
            <w:pPr>
              <w:spacing w:after="0" w:line="129" w:lineRule="exact"/>
              <w:rPr>
                <w:rFonts w:ascii="Arial" w:cs="Arial" w:eastAsia="Arial" w:hAnsi="Arial"/>
                <w:sz w:val="14"/>
                <w:szCs w:val="14"/>
                <w:color w:val="0000FF"/>
              </w:rPr>
            </w:pPr>
            <w:hyperlink r:id="rId178">
              <w:r>
                <w:rPr>
                  <w:rFonts w:ascii="Arial" w:cs="Arial" w:eastAsia="Arial" w:hAnsi="Arial"/>
                  <w:sz w:val="14"/>
                  <w:szCs w:val="14"/>
                  <w:color w:val="0000FF"/>
                </w:rPr>
                <w:t>Compass Diversified Holdings, originally effective as of April 25, 2006, by and among Compass Group Diversified Holdings LLC, as Sponsor, The</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1160" w:type="dxa"/>
            <w:vAlign w:val="bottom"/>
          </w:tcPr>
          <w:p>
            <w:pPr>
              <w:spacing w:after="0"/>
              <w:rPr>
                <w:sz w:val="11"/>
                <w:szCs w:val="11"/>
                <w:color w:val="auto"/>
              </w:rPr>
            </w:pPr>
          </w:p>
        </w:tc>
        <w:tc>
          <w:tcPr>
            <w:tcW w:w="1006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178">
              <w:r>
                <w:rPr>
                  <w:rFonts w:ascii="Arial" w:cs="Arial" w:eastAsia="Arial" w:hAnsi="Arial"/>
                  <w:sz w:val="14"/>
                  <w:szCs w:val="14"/>
                  <w:color w:val="0000FF"/>
                </w:rPr>
                <w:t>Bank of New York (Delaware), as Delaware Trustee, and the Regular Trustees named therein (incorporated by reference to Exhibit 3.1 of the Form</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1160" w:type="dxa"/>
            <w:vAlign w:val="bottom"/>
          </w:tcPr>
          <w:p>
            <w:pPr>
              <w:spacing w:after="0"/>
              <w:rPr>
                <w:sz w:val="12"/>
                <w:szCs w:val="12"/>
                <w:color w:val="auto"/>
              </w:rPr>
            </w:pPr>
          </w:p>
        </w:tc>
        <w:tc>
          <w:tcPr>
            <w:tcW w:w="10040" w:type="dxa"/>
            <w:vAlign w:val="bottom"/>
            <w:tcBorders>
              <w:top w:val="single" w:sz="8" w:color="0000FF"/>
            </w:tcBorders>
            <w:gridSpan w:val="30"/>
          </w:tcPr>
          <w:p>
            <w:pPr>
              <w:spacing w:after="0" w:line="142" w:lineRule="exact"/>
              <w:rPr>
                <w:rFonts w:ascii="Arial" w:cs="Arial" w:eastAsia="Arial" w:hAnsi="Arial"/>
                <w:sz w:val="15"/>
                <w:szCs w:val="15"/>
                <w:color w:val="0000FF"/>
              </w:rPr>
            </w:pPr>
            <w:hyperlink r:id="rId178">
              <w:r>
                <w:rPr>
                  <w:rFonts w:ascii="Arial" w:cs="Arial" w:eastAsia="Arial" w:hAnsi="Arial"/>
                  <w:sz w:val="15"/>
                  <w:szCs w:val="15"/>
                  <w:color w:val="0000FF"/>
                </w:rPr>
                <w:t>10-Q filed on November 8, 2010 (File No. 001-34927)).</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5"/>
                <w:szCs w:val="15"/>
                <w:color w:val="auto"/>
              </w:rPr>
              <w:t>3.9</w:t>
            </w:r>
          </w:p>
        </w:tc>
        <w:tc>
          <w:tcPr>
            <w:tcW w:w="10240" w:type="dxa"/>
            <w:vAlign w:val="bottom"/>
            <w:gridSpan w:val="40"/>
          </w:tcPr>
          <w:p>
            <w:pPr>
              <w:spacing w:after="0"/>
              <w:rPr>
                <w:rFonts w:ascii="Arial" w:cs="Arial" w:eastAsia="Arial" w:hAnsi="Arial"/>
                <w:sz w:val="15"/>
                <w:szCs w:val="15"/>
                <w:color w:val="0000FF"/>
              </w:rPr>
            </w:pPr>
            <w:hyperlink r:id="rId179">
              <w:r>
                <w:rPr>
                  <w:rFonts w:ascii="Arial" w:cs="Arial" w:eastAsia="Arial" w:hAnsi="Arial"/>
                  <w:sz w:val="15"/>
                  <w:szCs w:val="15"/>
                  <w:color w:val="0000FF"/>
                </w:rPr>
                <w:t>Second Amended and Restated Trust Agreement of the Trust (incorporated by reference to Exhibit 3.1 of the Form 8-K filed on December 7, 2016</w:t>
              </w:r>
            </w:hyperlink>
          </w:p>
        </w:tc>
      </w:tr>
      <w:tr>
        <w:trPr>
          <w:trHeight w:val="128"/>
        </w:trPr>
        <w:tc>
          <w:tcPr>
            <w:tcW w:w="1160" w:type="dxa"/>
            <w:vAlign w:val="bottom"/>
          </w:tcPr>
          <w:p>
            <w:pPr>
              <w:spacing w:after="0"/>
              <w:rPr>
                <w:sz w:val="11"/>
                <w:szCs w:val="11"/>
                <w:color w:val="auto"/>
              </w:rPr>
            </w:pPr>
          </w:p>
        </w:tc>
        <w:tc>
          <w:tcPr>
            <w:tcW w:w="10220" w:type="dxa"/>
            <w:vAlign w:val="bottom"/>
            <w:tcBorders>
              <w:top w:val="single" w:sz="8" w:color="0000FF"/>
            </w:tcBorders>
            <w:gridSpan w:val="39"/>
          </w:tcPr>
          <w:p>
            <w:pPr>
              <w:spacing w:after="0" w:line="129" w:lineRule="exact"/>
              <w:rPr>
                <w:rFonts w:ascii="Arial" w:cs="Arial" w:eastAsia="Arial" w:hAnsi="Arial"/>
                <w:sz w:val="14"/>
                <w:szCs w:val="14"/>
                <w:color w:val="0000FF"/>
              </w:rPr>
            </w:pPr>
            <w:hyperlink r:id="rId179">
              <w:r>
                <w:rPr>
                  <w:rFonts w:ascii="Arial" w:cs="Arial" w:eastAsia="Arial" w:hAnsi="Arial"/>
                  <w:sz w:val="14"/>
                  <w:szCs w:val="14"/>
                  <w:color w:val="0000FF"/>
                </w:rPr>
                <w:t>(File No. 001-34927)).</w:t>
              </w:r>
            </w:hyperlink>
          </w:p>
        </w:tc>
        <w:tc>
          <w:tcPr>
            <w:tcW w:w="20" w:type="dxa"/>
            <w:vAlign w:val="bottom"/>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3.10</w:t>
            </w:r>
          </w:p>
        </w:tc>
        <w:tc>
          <w:tcPr>
            <w:tcW w:w="10240" w:type="dxa"/>
            <w:vAlign w:val="bottom"/>
            <w:gridSpan w:val="40"/>
          </w:tcPr>
          <w:p>
            <w:pPr>
              <w:spacing w:after="0"/>
              <w:rPr>
                <w:rFonts w:ascii="Arial" w:cs="Arial" w:eastAsia="Arial" w:hAnsi="Arial"/>
                <w:sz w:val="15"/>
                <w:szCs w:val="15"/>
                <w:color w:val="0000FF"/>
              </w:rPr>
            </w:pPr>
            <w:hyperlink r:id="rId180">
              <w:r>
                <w:rPr>
                  <w:rFonts w:ascii="Arial" w:cs="Arial" w:eastAsia="Arial" w:hAnsi="Arial"/>
                  <w:sz w:val="15"/>
                  <w:szCs w:val="15"/>
                  <w:color w:val="0000FF"/>
                </w:rPr>
                <w:t>Third Amended and Restated Trust Agreement of the Trust (incorporated by reference to Exhibit 3.1 of the Form 8-K filed on August 4, 2021 (File</w:t>
              </w:r>
            </w:hyperlink>
          </w:p>
        </w:tc>
      </w:tr>
      <w:tr>
        <w:trPr>
          <w:trHeight w:val="128"/>
        </w:trPr>
        <w:tc>
          <w:tcPr>
            <w:tcW w:w="1160" w:type="dxa"/>
            <w:vAlign w:val="bottom"/>
          </w:tcPr>
          <w:p>
            <w:pPr>
              <w:spacing w:after="0"/>
              <w:rPr>
                <w:sz w:val="11"/>
                <w:szCs w:val="11"/>
                <w:color w:val="auto"/>
              </w:rPr>
            </w:pPr>
          </w:p>
        </w:tc>
        <w:tc>
          <w:tcPr>
            <w:tcW w:w="1010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180">
              <w:r>
                <w:rPr>
                  <w:rFonts w:ascii="Arial" w:cs="Arial" w:eastAsia="Arial" w:hAnsi="Arial"/>
                  <w:sz w:val="14"/>
                  <w:szCs w:val="14"/>
                  <w:color w:val="0000FF"/>
                </w:rPr>
                <w:t>No. 001-34927)).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3.11</w:t>
            </w:r>
          </w:p>
        </w:tc>
        <w:tc>
          <w:tcPr>
            <w:tcW w:w="10240" w:type="dxa"/>
            <w:vAlign w:val="bottom"/>
            <w:gridSpan w:val="40"/>
          </w:tcPr>
          <w:p>
            <w:pPr>
              <w:spacing w:after="0"/>
              <w:rPr>
                <w:rFonts w:ascii="Arial" w:cs="Arial" w:eastAsia="Arial" w:hAnsi="Arial"/>
                <w:sz w:val="15"/>
                <w:szCs w:val="15"/>
                <w:color w:val="0000FF"/>
              </w:rPr>
            </w:pPr>
            <w:hyperlink r:id="rId181">
              <w:r>
                <w:rPr>
                  <w:rFonts w:ascii="Arial" w:cs="Arial" w:eastAsia="Arial" w:hAnsi="Arial"/>
                  <w:sz w:val="15"/>
                  <w:szCs w:val="15"/>
                  <w:color w:val="0000FF"/>
                </w:rPr>
                <w:t>First Amendment to the Third Amended and Restated Trust Agreement of the Trust (incorporated by reference to Exhibit 3.1 of the Form 8-K filed</w:t>
              </w:r>
            </w:hyperlink>
          </w:p>
        </w:tc>
      </w:tr>
      <w:tr>
        <w:trPr>
          <w:trHeight w:val="129"/>
        </w:trPr>
        <w:tc>
          <w:tcPr>
            <w:tcW w:w="1160" w:type="dxa"/>
            <w:vAlign w:val="bottom"/>
          </w:tcPr>
          <w:p>
            <w:pPr>
              <w:spacing w:after="0"/>
              <w:rPr>
                <w:sz w:val="11"/>
                <w:szCs w:val="11"/>
                <w:color w:val="auto"/>
              </w:rPr>
            </w:pPr>
          </w:p>
        </w:tc>
        <w:tc>
          <w:tcPr>
            <w:tcW w:w="306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81">
              <w:r>
                <w:rPr>
                  <w:rFonts w:ascii="Arial" w:cs="Arial" w:eastAsia="Arial" w:hAnsi="Arial"/>
                  <w:sz w:val="14"/>
                  <w:szCs w:val="14"/>
                  <w:color w:val="0000FF"/>
                </w:rPr>
                <w:t>on September 3, 2024 (File No. 001-34927)).</w:t>
              </w:r>
            </w:hyperlink>
          </w:p>
        </w:tc>
        <w:tc>
          <w:tcPr>
            <w:tcW w:w="694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3.12</w:t>
            </w:r>
          </w:p>
        </w:tc>
        <w:tc>
          <w:tcPr>
            <w:tcW w:w="10240" w:type="dxa"/>
            <w:vAlign w:val="bottom"/>
            <w:gridSpan w:val="40"/>
          </w:tcPr>
          <w:p>
            <w:pPr>
              <w:spacing w:after="0"/>
              <w:rPr>
                <w:rFonts w:ascii="Arial" w:cs="Arial" w:eastAsia="Arial" w:hAnsi="Arial"/>
                <w:sz w:val="15"/>
                <w:szCs w:val="15"/>
                <w:color w:val="0000FF"/>
              </w:rPr>
            </w:pPr>
            <w:hyperlink r:id="rId182">
              <w:r>
                <w:rPr>
                  <w:rFonts w:ascii="Arial" w:cs="Arial" w:eastAsia="Arial" w:hAnsi="Arial"/>
                  <w:sz w:val="15"/>
                  <w:szCs w:val="15"/>
                  <w:color w:val="0000FF"/>
                </w:rPr>
                <w:t>Second Amended and Restated Operating Agreement of Compass Group Diversified Holdings, LLC dated January 9, 2007 (incorporated by</w:t>
              </w:r>
            </w:hyperlink>
          </w:p>
        </w:tc>
      </w:tr>
      <w:tr>
        <w:trPr>
          <w:trHeight w:val="129"/>
        </w:trPr>
        <w:tc>
          <w:tcPr>
            <w:tcW w:w="1160" w:type="dxa"/>
            <w:vAlign w:val="bottom"/>
          </w:tcPr>
          <w:p>
            <w:pPr>
              <w:spacing w:after="0"/>
              <w:rPr>
                <w:sz w:val="11"/>
                <w:szCs w:val="11"/>
                <w:color w:val="auto"/>
              </w:rPr>
            </w:pPr>
          </w:p>
        </w:tc>
        <w:tc>
          <w:tcPr>
            <w:tcW w:w="1002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182">
              <w:r>
                <w:rPr>
                  <w:rFonts w:ascii="Arial" w:cs="Arial" w:eastAsia="Arial" w:hAnsi="Arial"/>
                  <w:sz w:val="14"/>
                  <w:szCs w:val="14"/>
                  <w:color w:val="0000FF"/>
                </w:rPr>
                <w:t>reference to Exhibit 10.2 of the Form 8-K filed on January 10, 2007 (File No. 000-51937)).</w:t>
              </w:r>
            </w:hyperlink>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3.13</w:t>
            </w:r>
          </w:p>
        </w:tc>
        <w:tc>
          <w:tcPr>
            <w:tcW w:w="10240" w:type="dxa"/>
            <w:vAlign w:val="bottom"/>
            <w:gridSpan w:val="40"/>
          </w:tcPr>
          <w:p>
            <w:pPr>
              <w:spacing w:after="0"/>
              <w:rPr>
                <w:rFonts w:ascii="Arial" w:cs="Arial" w:eastAsia="Arial" w:hAnsi="Arial"/>
                <w:sz w:val="15"/>
                <w:szCs w:val="15"/>
                <w:color w:val="0000FF"/>
              </w:rPr>
            </w:pPr>
            <w:hyperlink r:id="rId178">
              <w:r>
                <w:rPr>
                  <w:rFonts w:ascii="Arial" w:cs="Arial" w:eastAsia="Arial" w:hAnsi="Arial"/>
                  <w:sz w:val="15"/>
                  <w:szCs w:val="15"/>
                  <w:color w:val="0000FF"/>
                </w:rPr>
                <w:t>Third Amended and Restated Operating Agreement of Compass Group Diversified Holdings LLC dated November 1, 2010 (incorporated by</w:t>
              </w:r>
            </w:hyperlink>
          </w:p>
        </w:tc>
      </w:tr>
      <w:tr>
        <w:trPr>
          <w:trHeight w:val="128"/>
        </w:trPr>
        <w:tc>
          <w:tcPr>
            <w:tcW w:w="1160" w:type="dxa"/>
            <w:vAlign w:val="bottom"/>
          </w:tcPr>
          <w:p>
            <w:pPr>
              <w:spacing w:after="0"/>
              <w:rPr>
                <w:sz w:val="11"/>
                <w:szCs w:val="11"/>
                <w:color w:val="auto"/>
              </w:rPr>
            </w:pPr>
          </w:p>
        </w:tc>
        <w:tc>
          <w:tcPr>
            <w:tcW w:w="1006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178">
              <w:r>
                <w:rPr>
                  <w:rFonts w:ascii="Arial" w:cs="Arial" w:eastAsia="Arial" w:hAnsi="Arial"/>
                  <w:sz w:val="14"/>
                  <w:szCs w:val="14"/>
                  <w:color w:val="0000FF"/>
                </w:rPr>
                <w:t>reference to Exhibit 3.2 of the Form 10-Q filed on November 8, 2010 (File No. 001-34927)).</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3.14</w:t>
            </w:r>
          </w:p>
        </w:tc>
        <w:tc>
          <w:tcPr>
            <w:tcW w:w="10240" w:type="dxa"/>
            <w:vAlign w:val="bottom"/>
            <w:gridSpan w:val="40"/>
          </w:tcPr>
          <w:p>
            <w:pPr>
              <w:spacing w:after="0"/>
              <w:rPr>
                <w:rFonts w:ascii="Arial" w:cs="Arial" w:eastAsia="Arial" w:hAnsi="Arial"/>
                <w:sz w:val="15"/>
                <w:szCs w:val="15"/>
                <w:color w:val="0000FF"/>
              </w:rPr>
            </w:pPr>
            <w:hyperlink r:id="rId183">
              <w:r>
                <w:rPr>
                  <w:rFonts w:ascii="Arial" w:cs="Arial" w:eastAsia="Arial" w:hAnsi="Arial"/>
                  <w:sz w:val="15"/>
                  <w:szCs w:val="15"/>
                  <w:color w:val="0000FF"/>
                </w:rPr>
                <w:t>Fourth Amended and Restated Operating Agreement of Compass Group Diversified Holdings LLC, dated January 1, 2012 (incorporated by</w:t>
              </w:r>
            </w:hyperlink>
          </w:p>
        </w:tc>
      </w:tr>
      <w:tr>
        <w:trPr>
          <w:trHeight w:val="128"/>
        </w:trPr>
        <w:tc>
          <w:tcPr>
            <w:tcW w:w="1160" w:type="dxa"/>
            <w:vAlign w:val="bottom"/>
          </w:tcPr>
          <w:p>
            <w:pPr>
              <w:spacing w:after="0"/>
              <w:rPr>
                <w:sz w:val="11"/>
                <w:szCs w:val="11"/>
                <w:color w:val="auto"/>
              </w:rPr>
            </w:pPr>
          </w:p>
        </w:tc>
        <w:tc>
          <w:tcPr>
            <w:tcW w:w="10120" w:type="dxa"/>
            <w:vAlign w:val="bottom"/>
            <w:tcBorders>
              <w:top w:val="single" w:sz="8" w:color="0000FF"/>
            </w:tcBorders>
            <w:gridSpan w:val="34"/>
          </w:tcPr>
          <w:p>
            <w:pPr>
              <w:spacing w:after="0" w:line="129" w:lineRule="exact"/>
              <w:rPr>
                <w:rFonts w:ascii="Arial" w:cs="Arial" w:eastAsia="Arial" w:hAnsi="Arial"/>
                <w:sz w:val="14"/>
                <w:szCs w:val="14"/>
                <w:color w:val="0000FF"/>
              </w:rPr>
            </w:pPr>
            <w:hyperlink r:id="rId183">
              <w:r>
                <w:rPr>
                  <w:rFonts w:ascii="Arial" w:cs="Arial" w:eastAsia="Arial" w:hAnsi="Arial"/>
                  <w:sz w:val="14"/>
                  <w:szCs w:val="14"/>
                  <w:color w:val="0000FF"/>
                </w:rPr>
                <w:t>reference to Exhibit 3.1 of the Form 10-Q filed on May 7, 2013 (File No. 001-34927)).</w:t>
              </w:r>
            </w:hyperlink>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3.15</w:t>
            </w:r>
          </w:p>
        </w:tc>
        <w:tc>
          <w:tcPr>
            <w:tcW w:w="10240" w:type="dxa"/>
            <w:vAlign w:val="bottom"/>
            <w:gridSpan w:val="40"/>
          </w:tcPr>
          <w:p>
            <w:pPr>
              <w:spacing w:after="0"/>
              <w:rPr>
                <w:rFonts w:ascii="Arial" w:cs="Arial" w:eastAsia="Arial" w:hAnsi="Arial"/>
                <w:sz w:val="15"/>
                <w:szCs w:val="15"/>
                <w:color w:val="0000FF"/>
              </w:rPr>
            </w:pPr>
            <w:hyperlink r:id="rId179">
              <w:r>
                <w:rPr>
                  <w:rFonts w:ascii="Arial" w:cs="Arial" w:eastAsia="Arial" w:hAnsi="Arial"/>
                  <w:sz w:val="15"/>
                  <w:szCs w:val="15"/>
                  <w:color w:val="0000FF"/>
                </w:rPr>
                <w:t>Fifth Amended and Restated Operating Agreement of the Company (incorporated by reference to Exhibit 3.2 of the Form 8-K filed on December 7,</w:t>
              </w:r>
            </w:hyperlink>
          </w:p>
        </w:tc>
      </w:tr>
      <w:tr>
        <w:trPr>
          <w:trHeight w:val="128"/>
        </w:trPr>
        <w:tc>
          <w:tcPr>
            <w:tcW w:w="1160" w:type="dxa"/>
            <w:vAlign w:val="bottom"/>
          </w:tcPr>
          <w:p>
            <w:pPr>
              <w:spacing w:after="0"/>
              <w:rPr>
                <w:sz w:val="11"/>
                <w:szCs w:val="11"/>
                <w:color w:val="auto"/>
              </w:rPr>
            </w:pPr>
          </w:p>
        </w:tc>
        <w:tc>
          <w:tcPr>
            <w:tcW w:w="1014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179">
              <w:r>
                <w:rPr>
                  <w:rFonts w:ascii="Arial" w:cs="Arial" w:eastAsia="Arial" w:hAnsi="Arial"/>
                  <w:sz w:val="14"/>
                  <w:szCs w:val="14"/>
                  <w:color w:val="0000FF"/>
                </w:rPr>
                <w:t>2016 (File No. 001-34927)).</w:t>
              </w:r>
            </w:hyperlink>
          </w:p>
        </w:tc>
        <w:tc>
          <w:tcPr>
            <w:tcW w:w="100" w:type="dxa"/>
            <w:vAlign w:val="bottom"/>
            <w:gridSpan w:val="5"/>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3.16</w:t>
            </w:r>
          </w:p>
        </w:tc>
        <w:tc>
          <w:tcPr>
            <w:tcW w:w="10240" w:type="dxa"/>
            <w:vAlign w:val="bottom"/>
            <w:gridSpan w:val="40"/>
          </w:tcPr>
          <w:p>
            <w:pPr>
              <w:spacing w:after="0"/>
              <w:rPr>
                <w:rFonts w:ascii="Arial" w:cs="Arial" w:eastAsia="Arial" w:hAnsi="Arial"/>
                <w:sz w:val="15"/>
                <w:szCs w:val="15"/>
                <w:color w:val="0000FF"/>
              </w:rPr>
            </w:pPr>
            <w:hyperlink r:id="rId184">
              <w:r>
                <w:rPr>
                  <w:rFonts w:ascii="Arial" w:cs="Arial" w:eastAsia="Arial" w:hAnsi="Arial"/>
                  <w:sz w:val="15"/>
                  <w:szCs w:val="15"/>
                  <w:color w:val="0000FF"/>
                </w:rPr>
                <w:t>Sixth Amended and Restated Operating Agreement of the Company (incorporated by reference to Exhibit 3.2 of the Form 8-K filed on August 4,</w:t>
              </w:r>
            </w:hyperlink>
          </w:p>
        </w:tc>
      </w:tr>
      <w:tr>
        <w:trPr>
          <w:trHeight w:val="129"/>
        </w:trPr>
        <w:tc>
          <w:tcPr>
            <w:tcW w:w="1160" w:type="dxa"/>
            <w:vAlign w:val="bottom"/>
          </w:tcPr>
          <w:p>
            <w:pPr>
              <w:spacing w:after="0"/>
              <w:rPr>
                <w:sz w:val="11"/>
                <w:szCs w:val="11"/>
                <w:color w:val="auto"/>
              </w:rPr>
            </w:pPr>
          </w:p>
        </w:tc>
        <w:tc>
          <w:tcPr>
            <w:tcW w:w="972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184">
              <w:r>
                <w:rPr>
                  <w:rFonts w:ascii="Arial" w:cs="Arial" w:eastAsia="Arial" w:hAnsi="Arial"/>
                  <w:sz w:val="14"/>
                  <w:szCs w:val="14"/>
                  <w:color w:val="0000FF"/>
                </w:rPr>
                <w:t>2021 (File No. 001-34927)).</w:t>
              </w:r>
            </w:hyperlink>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3.17</w:t>
            </w:r>
          </w:p>
        </w:tc>
        <w:tc>
          <w:tcPr>
            <w:tcW w:w="10240" w:type="dxa"/>
            <w:vAlign w:val="bottom"/>
            <w:gridSpan w:val="40"/>
          </w:tcPr>
          <w:p>
            <w:pPr>
              <w:spacing w:after="0"/>
              <w:rPr>
                <w:rFonts w:ascii="Arial" w:cs="Arial" w:eastAsia="Arial" w:hAnsi="Arial"/>
                <w:sz w:val="15"/>
                <w:szCs w:val="15"/>
                <w:color w:val="0000FF"/>
              </w:rPr>
            </w:pPr>
            <w:hyperlink r:id="rId185">
              <w:r>
                <w:rPr>
                  <w:rFonts w:ascii="Arial" w:cs="Arial" w:eastAsia="Arial" w:hAnsi="Arial"/>
                  <w:sz w:val="15"/>
                  <w:szCs w:val="15"/>
                  <w:color w:val="0000FF"/>
                </w:rPr>
                <w:t>First Amendment to the Sixth Amended and Restated Operating Agreement of the Company (incorporated by reference to Exhibit 3.1 of the Form</w:t>
              </w:r>
            </w:hyperlink>
          </w:p>
        </w:tc>
      </w:tr>
      <w:tr>
        <w:trPr>
          <w:trHeight w:val="129"/>
        </w:trPr>
        <w:tc>
          <w:tcPr>
            <w:tcW w:w="1160" w:type="dxa"/>
            <w:vAlign w:val="bottom"/>
          </w:tcPr>
          <w:p>
            <w:pPr>
              <w:spacing w:after="0"/>
              <w:rPr>
                <w:sz w:val="11"/>
                <w:szCs w:val="11"/>
                <w:color w:val="auto"/>
              </w:rPr>
            </w:pPr>
          </w:p>
        </w:tc>
        <w:tc>
          <w:tcPr>
            <w:tcW w:w="362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185">
              <w:r>
                <w:rPr>
                  <w:rFonts w:ascii="Arial" w:cs="Arial" w:eastAsia="Arial" w:hAnsi="Arial"/>
                  <w:sz w:val="14"/>
                  <w:szCs w:val="14"/>
                  <w:color w:val="0000FF"/>
                </w:rPr>
                <w:t>8-K filed on February 14, 2022 (File No. 001-34927)).</w:t>
              </w:r>
            </w:hyperlink>
          </w:p>
        </w:tc>
        <w:tc>
          <w:tcPr>
            <w:tcW w:w="622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3.18</w:t>
            </w:r>
          </w:p>
        </w:tc>
        <w:tc>
          <w:tcPr>
            <w:tcW w:w="10240" w:type="dxa"/>
            <w:vAlign w:val="bottom"/>
            <w:gridSpan w:val="40"/>
          </w:tcPr>
          <w:p>
            <w:pPr>
              <w:spacing w:after="0"/>
              <w:rPr>
                <w:rFonts w:ascii="Arial" w:cs="Arial" w:eastAsia="Arial" w:hAnsi="Arial"/>
                <w:sz w:val="15"/>
                <w:szCs w:val="15"/>
                <w:color w:val="0000FF"/>
              </w:rPr>
            </w:pPr>
            <w:hyperlink r:id="rId181">
              <w:r>
                <w:rPr>
                  <w:rFonts w:ascii="Arial" w:cs="Arial" w:eastAsia="Arial" w:hAnsi="Arial"/>
                  <w:sz w:val="15"/>
                  <w:szCs w:val="15"/>
                  <w:color w:val="0000FF"/>
                </w:rPr>
                <w:t>Second Amendment to the Sixth Amended and Restated Operating Agreement of the Company (incorporated by reference to Exhibit 3.2 of the</w:t>
              </w:r>
            </w:hyperlink>
          </w:p>
        </w:tc>
      </w:tr>
      <w:tr>
        <w:trPr>
          <w:trHeight w:val="129"/>
        </w:trPr>
        <w:tc>
          <w:tcPr>
            <w:tcW w:w="1160" w:type="dxa"/>
            <w:vAlign w:val="bottom"/>
          </w:tcPr>
          <w:p>
            <w:pPr>
              <w:spacing w:after="0"/>
              <w:rPr>
                <w:sz w:val="11"/>
                <w:szCs w:val="11"/>
                <w:color w:val="auto"/>
              </w:rPr>
            </w:pPr>
          </w:p>
        </w:tc>
        <w:tc>
          <w:tcPr>
            <w:tcW w:w="966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81">
              <w:r>
                <w:rPr>
                  <w:rFonts w:ascii="Arial" w:cs="Arial" w:eastAsia="Arial" w:hAnsi="Arial"/>
                  <w:sz w:val="14"/>
                  <w:szCs w:val="14"/>
                  <w:color w:val="0000FF"/>
                </w:rPr>
                <w:t>Form 8-K filed on September 3, 2024 (File No. 001-34927)).</w:t>
              </w:r>
            </w:hyperlink>
          </w:p>
        </w:tc>
        <w:tc>
          <w:tcPr>
            <w:tcW w:w="8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3.19</w:t>
            </w:r>
          </w:p>
        </w:tc>
        <w:tc>
          <w:tcPr>
            <w:tcW w:w="10240" w:type="dxa"/>
            <w:vAlign w:val="bottom"/>
            <w:gridSpan w:val="40"/>
          </w:tcPr>
          <w:p>
            <w:pPr>
              <w:spacing w:after="0"/>
              <w:rPr>
                <w:rFonts w:ascii="Arial" w:cs="Arial" w:eastAsia="Arial" w:hAnsi="Arial"/>
                <w:sz w:val="15"/>
                <w:szCs w:val="15"/>
                <w:color w:val="0000FF"/>
              </w:rPr>
            </w:pPr>
            <w:hyperlink r:id="rId186">
              <w:r>
                <w:rPr>
                  <w:rFonts w:ascii="Arial" w:cs="Arial" w:eastAsia="Arial" w:hAnsi="Arial"/>
                  <w:sz w:val="15"/>
                  <w:szCs w:val="15"/>
                  <w:color w:val="0000FF"/>
                </w:rPr>
                <w:t>Amended and Restated Share Designation of Compass Diversified Holdings with respect to Series A Preferred Shares (incorporated by reference</w:t>
              </w:r>
            </w:hyperlink>
          </w:p>
        </w:tc>
      </w:tr>
      <w:tr>
        <w:trPr>
          <w:trHeight w:val="128"/>
        </w:trPr>
        <w:tc>
          <w:tcPr>
            <w:tcW w:w="1160" w:type="dxa"/>
            <w:vAlign w:val="bottom"/>
          </w:tcPr>
          <w:p>
            <w:pPr>
              <w:spacing w:after="0"/>
              <w:rPr>
                <w:sz w:val="11"/>
                <w:szCs w:val="11"/>
                <w:color w:val="auto"/>
              </w:rPr>
            </w:pPr>
          </w:p>
        </w:tc>
        <w:tc>
          <w:tcPr>
            <w:tcW w:w="986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86">
              <w:r>
                <w:rPr>
                  <w:rFonts w:ascii="Arial" w:cs="Arial" w:eastAsia="Arial" w:hAnsi="Arial"/>
                  <w:sz w:val="14"/>
                  <w:szCs w:val="14"/>
                  <w:color w:val="0000FF"/>
                </w:rPr>
                <w:t>to Exhibit 3.3 of the Form 8-K filed on August 4, 2021 (File No. 001-34927)).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gridSpan w:val="8"/>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3.20</w:t>
            </w:r>
          </w:p>
        </w:tc>
        <w:tc>
          <w:tcPr>
            <w:tcW w:w="10240" w:type="dxa"/>
            <w:vAlign w:val="bottom"/>
            <w:gridSpan w:val="40"/>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Amended and Restated Share Designation of Compass Diversified Holdings with respect to Series A Preferred Shares</w:t>
              </w:r>
            </w:hyperlink>
          </w:p>
        </w:tc>
      </w:tr>
      <w:tr>
        <w:trPr>
          <w:trHeight w:val="128"/>
        </w:trPr>
        <w:tc>
          <w:tcPr>
            <w:tcW w:w="116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3.1 of the Form 8-K filed on March 20, 2024 (File No. 001-34926)).</w:t>
              </w:r>
            </w:hyperlink>
          </w:p>
        </w:tc>
        <w:tc>
          <w:tcPr>
            <w:tcW w:w="238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1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3.21</w:t>
            </w:r>
          </w:p>
        </w:tc>
        <w:tc>
          <w:tcPr>
            <w:tcW w:w="10240" w:type="dxa"/>
            <w:vAlign w:val="bottom"/>
            <w:gridSpan w:val="40"/>
          </w:tcPr>
          <w:p>
            <w:pPr>
              <w:spacing w:after="0"/>
              <w:rPr>
                <w:rFonts w:ascii="Arial" w:cs="Arial" w:eastAsia="Arial" w:hAnsi="Arial"/>
                <w:sz w:val="15"/>
                <w:szCs w:val="15"/>
                <w:color w:val="0000FF"/>
              </w:rPr>
            </w:pPr>
            <w:hyperlink r:id="rId188">
              <w:r>
                <w:rPr>
                  <w:rFonts w:ascii="Arial" w:cs="Arial" w:eastAsia="Arial" w:hAnsi="Arial"/>
                  <w:sz w:val="15"/>
                  <w:szCs w:val="15"/>
                  <w:color w:val="0000FF"/>
                </w:rPr>
                <w:t>Second Amendment to Amended and Restated Share Designation of Compass Diversified Holdings with respect to Series A Preferred Shares</w:t>
              </w:r>
            </w:hyperlink>
          </w:p>
        </w:tc>
      </w:tr>
      <w:tr>
        <w:trPr>
          <w:trHeight w:val="128"/>
        </w:trPr>
        <w:tc>
          <w:tcPr>
            <w:tcW w:w="1160" w:type="dxa"/>
            <w:vAlign w:val="bottom"/>
          </w:tcPr>
          <w:p>
            <w:pPr>
              <w:spacing w:after="0"/>
              <w:rPr>
                <w:sz w:val="11"/>
                <w:szCs w:val="11"/>
                <w:color w:val="auto"/>
              </w:rPr>
            </w:pPr>
          </w:p>
        </w:tc>
        <w:tc>
          <w:tcPr>
            <w:tcW w:w="7240" w:type="dxa"/>
            <w:vAlign w:val="bottom"/>
            <w:tcBorders>
              <w:top w:val="single" w:sz="8" w:color="0000FF"/>
              <w:bottom w:val="single" w:sz="8" w:color="0000FF"/>
            </w:tcBorders>
            <w:gridSpan w:val="15"/>
          </w:tcPr>
          <w:p>
            <w:pPr>
              <w:spacing w:after="0" w:line="129" w:lineRule="exact"/>
              <w:rPr>
                <w:rFonts w:ascii="Arial" w:cs="Arial" w:eastAsia="Arial" w:hAnsi="Arial"/>
                <w:sz w:val="14"/>
                <w:szCs w:val="14"/>
                <w:color w:val="0000FF"/>
              </w:rPr>
            </w:pPr>
            <w:hyperlink r:id="rId188">
              <w:r>
                <w:rPr>
                  <w:rFonts w:ascii="Arial" w:cs="Arial" w:eastAsia="Arial" w:hAnsi="Arial"/>
                  <w:sz w:val="14"/>
                  <w:szCs w:val="14"/>
                  <w:color w:val="0000FF"/>
                </w:rPr>
                <w:t>(incorporated by reference Exhibit 4.11 of the Form S-3 filed on September 4, 2024 (File No. 333-281931)).</w:t>
              </w:r>
            </w:hyperlink>
          </w:p>
        </w:tc>
        <w:tc>
          <w:tcPr>
            <w:tcW w:w="2380" w:type="dxa"/>
            <w:vAlign w:val="bottom"/>
            <w:tcBorders>
              <w:top w:val="single" w:sz="8" w:color="0000FF"/>
            </w:tcBorders>
            <w:gridSpan w:val="4"/>
          </w:tcPr>
          <w:p>
            <w:pPr>
              <w:spacing w:after="0"/>
              <w:rPr>
                <w:sz w:val="11"/>
                <w:szCs w:val="11"/>
                <w:color w:val="auto"/>
              </w:rPr>
            </w:pPr>
          </w:p>
        </w:tc>
        <w:tc>
          <w:tcPr>
            <w:tcW w:w="120" w:type="dxa"/>
            <w:vAlign w:val="bottom"/>
            <w:gridSpan w:val="3"/>
          </w:tcPr>
          <w:p>
            <w:pPr>
              <w:spacing w:after="0"/>
              <w:rPr>
                <w:sz w:val="11"/>
                <w:szCs w:val="11"/>
                <w:color w:val="auto"/>
              </w:rPr>
            </w:pPr>
          </w:p>
        </w:tc>
        <w:tc>
          <w:tcPr>
            <w:tcW w:w="1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3.22</w:t>
            </w:r>
          </w:p>
        </w:tc>
        <w:tc>
          <w:tcPr>
            <w:tcW w:w="10240" w:type="dxa"/>
            <w:vAlign w:val="bottom"/>
            <w:gridSpan w:val="40"/>
          </w:tcPr>
          <w:p>
            <w:pPr>
              <w:spacing w:after="0"/>
              <w:rPr>
                <w:rFonts w:ascii="Arial" w:cs="Arial" w:eastAsia="Arial" w:hAnsi="Arial"/>
                <w:sz w:val="15"/>
                <w:szCs w:val="15"/>
                <w:color w:val="0000FF"/>
              </w:rPr>
            </w:pPr>
            <w:hyperlink r:id="rId189">
              <w:r>
                <w:rPr>
                  <w:rFonts w:ascii="Arial" w:cs="Arial" w:eastAsia="Arial" w:hAnsi="Arial"/>
                  <w:sz w:val="15"/>
                  <w:szCs w:val="15"/>
                  <w:color w:val="0000FF"/>
                </w:rPr>
                <w:t>Compass Group Diversified Holdings LLC Trust Interest Designation of Series A Trust Preferred Interests (incorporated by reference to Exhibit 3.2</w:t>
              </w:r>
            </w:hyperlink>
          </w:p>
        </w:tc>
      </w:tr>
      <w:tr>
        <w:trPr>
          <w:trHeight w:val="129"/>
        </w:trPr>
        <w:tc>
          <w:tcPr>
            <w:tcW w:w="1160" w:type="dxa"/>
            <w:vAlign w:val="bottom"/>
          </w:tcPr>
          <w:p>
            <w:pPr>
              <w:spacing w:after="0"/>
              <w:rPr>
                <w:sz w:val="11"/>
                <w:szCs w:val="11"/>
                <w:color w:val="auto"/>
              </w:rPr>
            </w:pPr>
          </w:p>
        </w:tc>
        <w:tc>
          <w:tcPr>
            <w:tcW w:w="416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189">
              <w:r>
                <w:rPr>
                  <w:rFonts w:ascii="Arial" w:cs="Arial" w:eastAsia="Arial" w:hAnsi="Arial"/>
                  <w:sz w:val="14"/>
                  <w:szCs w:val="14"/>
                  <w:color w:val="0000FF"/>
                </w:rPr>
                <w:t>of the Form 8-K filed on June 28, 2017 (File No. 001-34927)).</w:t>
              </w:r>
            </w:hyperlink>
          </w:p>
        </w:tc>
        <w:tc>
          <w:tcPr>
            <w:tcW w:w="5740" w:type="dxa"/>
            <w:vAlign w:val="bottom"/>
            <w:tcBorders>
              <w:top w:val="single" w:sz="8" w:color="0000FF"/>
            </w:tcBorders>
            <w:gridSpan w:val="18"/>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3.23</w:t>
            </w:r>
          </w:p>
        </w:tc>
        <w:tc>
          <w:tcPr>
            <w:tcW w:w="10240" w:type="dxa"/>
            <w:vAlign w:val="bottom"/>
            <w:gridSpan w:val="40"/>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Trust Interest Designation of Compass Group Diversified Holdings LLC with respect to Series A Trust Preferred Interests</w:t>
              </w:r>
            </w:hyperlink>
          </w:p>
        </w:tc>
      </w:tr>
      <w:tr>
        <w:trPr>
          <w:trHeight w:val="128"/>
        </w:trPr>
        <w:tc>
          <w:tcPr>
            <w:tcW w:w="116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3.4 of the Form 8-K filed on March 20, 2024 (File No. 001-34926)).</w:t>
              </w:r>
            </w:hyperlink>
          </w:p>
        </w:tc>
        <w:tc>
          <w:tcPr>
            <w:tcW w:w="2500" w:type="dxa"/>
            <w:vAlign w:val="bottom"/>
            <w:tcBorders>
              <w:top w:val="single" w:sz="8" w:color="0000FF"/>
            </w:tcBorders>
            <w:gridSpan w:val="4"/>
          </w:tcPr>
          <w:p>
            <w:pPr>
              <w:spacing w:after="0"/>
              <w:rPr>
                <w:sz w:val="11"/>
                <w:szCs w:val="11"/>
                <w:color w:val="auto"/>
              </w:rPr>
            </w:pPr>
          </w:p>
        </w:tc>
        <w:tc>
          <w:tcPr>
            <w:tcW w:w="220" w:type="dxa"/>
            <w:vAlign w:val="bottom"/>
            <w:gridSpan w:val="4"/>
          </w:tcPr>
          <w:p>
            <w:pPr>
              <w:spacing w:after="0"/>
              <w:rPr>
                <w:sz w:val="11"/>
                <w:szCs w:val="11"/>
                <w:color w:val="auto"/>
              </w:rPr>
            </w:pPr>
          </w:p>
        </w:tc>
        <w:tc>
          <w:tcPr>
            <w:tcW w:w="14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3.24</w:t>
            </w:r>
          </w:p>
        </w:tc>
        <w:tc>
          <w:tcPr>
            <w:tcW w:w="10240" w:type="dxa"/>
            <w:vAlign w:val="bottom"/>
            <w:gridSpan w:val="40"/>
          </w:tcPr>
          <w:p>
            <w:pPr>
              <w:spacing w:after="0"/>
              <w:rPr>
                <w:rFonts w:ascii="Arial" w:cs="Arial" w:eastAsia="Arial" w:hAnsi="Arial"/>
                <w:sz w:val="15"/>
                <w:szCs w:val="15"/>
                <w:color w:val="0000FF"/>
              </w:rPr>
            </w:pPr>
            <w:hyperlink r:id="rId190">
              <w:r>
                <w:rPr>
                  <w:rFonts w:ascii="Arial" w:cs="Arial" w:eastAsia="Arial" w:hAnsi="Arial"/>
                  <w:sz w:val="15"/>
                  <w:szCs w:val="15"/>
                  <w:color w:val="0000FF"/>
                </w:rPr>
                <w:t>Second Amendment to Trust Interest Designation of Compass Group Diversified Holdings LLC with respect to Series A Trust Preferred Interests</w:t>
              </w:r>
            </w:hyperlink>
          </w:p>
        </w:tc>
      </w:tr>
      <w:tr>
        <w:trPr>
          <w:trHeight w:val="128"/>
        </w:trPr>
        <w:tc>
          <w:tcPr>
            <w:tcW w:w="1160" w:type="dxa"/>
            <w:vAlign w:val="bottom"/>
          </w:tcPr>
          <w:p>
            <w:pPr>
              <w:spacing w:after="0"/>
              <w:rPr>
                <w:sz w:val="11"/>
                <w:szCs w:val="11"/>
                <w:color w:val="auto"/>
              </w:rPr>
            </w:pPr>
          </w:p>
        </w:tc>
        <w:tc>
          <w:tcPr>
            <w:tcW w:w="974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90">
              <w:r>
                <w:rPr>
                  <w:rFonts w:ascii="Arial" w:cs="Arial" w:eastAsia="Arial" w:hAnsi="Arial"/>
                  <w:sz w:val="14"/>
                  <w:szCs w:val="14"/>
                  <w:color w:val="0000FF"/>
                </w:rPr>
                <w:t>(incorporated by reference Exhibit 4.14 of the Form S-3 filed on September 4, 2024 (File No. 333-281931)).</w:t>
              </w:r>
            </w:hyperlink>
          </w:p>
        </w:tc>
        <w:tc>
          <w:tcPr>
            <w:tcW w:w="14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5180" w:type="dxa"/>
            <w:vAlign w:val="bottom"/>
            <w:gridSpan w:val="10"/>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3.25</w:t>
            </w:r>
          </w:p>
        </w:tc>
        <w:tc>
          <w:tcPr>
            <w:tcW w:w="10240" w:type="dxa"/>
            <w:vAlign w:val="bottom"/>
            <w:gridSpan w:val="40"/>
          </w:tcPr>
          <w:p>
            <w:pPr>
              <w:spacing w:after="0"/>
              <w:rPr>
                <w:rFonts w:ascii="Arial" w:cs="Arial" w:eastAsia="Arial" w:hAnsi="Arial"/>
                <w:sz w:val="15"/>
                <w:szCs w:val="15"/>
                <w:color w:val="0000FF"/>
              </w:rPr>
            </w:pPr>
            <w:hyperlink r:id="rId191">
              <w:r>
                <w:rPr>
                  <w:rFonts w:ascii="Arial" w:cs="Arial" w:eastAsia="Arial" w:hAnsi="Arial"/>
                  <w:sz w:val="15"/>
                  <w:szCs w:val="15"/>
                  <w:color w:val="0000FF"/>
                </w:rPr>
                <w:t>Amended and Restated Share Designation of Compass Diversified Holdings with respect to Series B Preferred Shares (incorporated by reference</w:t>
              </w:r>
            </w:hyperlink>
          </w:p>
        </w:tc>
      </w:tr>
      <w:tr>
        <w:trPr>
          <w:trHeight w:val="128"/>
        </w:trPr>
        <w:tc>
          <w:tcPr>
            <w:tcW w:w="1160" w:type="dxa"/>
            <w:vAlign w:val="bottom"/>
          </w:tcPr>
          <w:p>
            <w:pPr>
              <w:spacing w:after="0"/>
              <w:rPr>
                <w:sz w:val="11"/>
                <w:szCs w:val="11"/>
                <w:color w:val="auto"/>
              </w:rPr>
            </w:pPr>
          </w:p>
        </w:tc>
        <w:tc>
          <w:tcPr>
            <w:tcW w:w="986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91">
              <w:r>
                <w:rPr>
                  <w:rFonts w:ascii="Arial" w:cs="Arial" w:eastAsia="Arial" w:hAnsi="Arial"/>
                  <w:sz w:val="14"/>
                  <w:szCs w:val="14"/>
                  <w:color w:val="0000FF"/>
                </w:rPr>
                <w:t>to Exhibit 3.4 of the Form 8-K filed on August 4, 2021 (File No. 001-34927)).</w:t>
              </w:r>
            </w:hyperlink>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514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3.26</w:t>
            </w:r>
          </w:p>
        </w:tc>
        <w:tc>
          <w:tcPr>
            <w:tcW w:w="10240" w:type="dxa"/>
            <w:vAlign w:val="bottom"/>
            <w:gridSpan w:val="40"/>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Amended and Restated Share Designation of Compass Diversified Holdings with respect to Series B Preferred Shares</w:t>
              </w:r>
            </w:hyperlink>
          </w:p>
        </w:tc>
      </w:tr>
      <w:tr>
        <w:trPr>
          <w:trHeight w:val="129"/>
        </w:trPr>
        <w:tc>
          <w:tcPr>
            <w:tcW w:w="116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3.2 of the Form 8-K filed on March 20, 2024 (File No. 001-34926)).</w:t>
              </w:r>
            </w:hyperlink>
          </w:p>
        </w:tc>
        <w:tc>
          <w:tcPr>
            <w:tcW w:w="238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8"/>
          </w:tcPr>
          <w:p>
            <w:pPr>
              <w:spacing w:after="0"/>
              <w:rPr>
                <w:sz w:val="11"/>
                <w:szCs w:val="11"/>
                <w:color w:val="auto"/>
              </w:rPr>
            </w:pPr>
          </w:p>
        </w:tc>
        <w:tc>
          <w:tcPr>
            <w:tcW w:w="100" w:type="dxa"/>
            <w:vAlign w:val="bottom"/>
            <w:gridSpan w:val="2"/>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3.27</w:t>
            </w:r>
          </w:p>
        </w:tc>
        <w:tc>
          <w:tcPr>
            <w:tcW w:w="10240" w:type="dxa"/>
            <w:vAlign w:val="bottom"/>
            <w:gridSpan w:val="40"/>
          </w:tcPr>
          <w:p>
            <w:pPr>
              <w:spacing w:after="0"/>
              <w:rPr>
                <w:rFonts w:ascii="Arial" w:cs="Arial" w:eastAsia="Arial" w:hAnsi="Arial"/>
                <w:sz w:val="15"/>
                <w:szCs w:val="15"/>
                <w:color w:val="0000FF"/>
              </w:rPr>
            </w:pPr>
            <w:hyperlink r:id="rId192">
              <w:r>
                <w:rPr>
                  <w:rFonts w:ascii="Arial" w:cs="Arial" w:eastAsia="Arial" w:hAnsi="Arial"/>
                  <w:sz w:val="15"/>
                  <w:szCs w:val="15"/>
                  <w:color w:val="0000FF"/>
                </w:rPr>
                <w:t>Second Amendment to Amended and Restated Share Designation of Compass Diversified Holdings with respect to Series B Preferred Shares</w:t>
              </w:r>
            </w:hyperlink>
          </w:p>
        </w:tc>
      </w:tr>
      <w:tr>
        <w:trPr>
          <w:trHeight w:val="128"/>
        </w:trPr>
        <w:tc>
          <w:tcPr>
            <w:tcW w:w="1160" w:type="dxa"/>
            <w:vAlign w:val="bottom"/>
          </w:tcPr>
          <w:p>
            <w:pPr>
              <w:spacing w:after="0"/>
              <w:rPr>
                <w:sz w:val="11"/>
                <w:szCs w:val="11"/>
                <w:color w:val="auto"/>
              </w:rPr>
            </w:pPr>
          </w:p>
        </w:tc>
        <w:tc>
          <w:tcPr>
            <w:tcW w:w="962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192">
              <w:r>
                <w:rPr>
                  <w:rFonts w:ascii="Arial" w:cs="Arial" w:eastAsia="Arial" w:hAnsi="Arial"/>
                  <w:sz w:val="14"/>
                  <w:szCs w:val="14"/>
                  <w:color w:val="0000FF"/>
                </w:rPr>
                <w:t>(incorporated by reference Exhibit 4.17 of the Form S-3 filed on September 4, 2024 (File No. 333-281931)).</w:t>
              </w:r>
            </w:hyperlink>
          </w:p>
        </w:tc>
        <w:tc>
          <w:tcPr>
            <w:tcW w:w="260" w:type="dxa"/>
            <w:vAlign w:val="bottom"/>
            <w:gridSpan w:val="6"/>
          </w:tcPr>
          <w:p>
            <w:pPr>
              <w:spacing w:after="0"/>
              <w:rPr>
                <w:sz w:val="11"/>
                <w:szCs w:val="11"/>
                <w:color w:val="auto"/>
              </w:rPr>
            </w:pPr>
          </w:p>
        </w:tc>
        <w:tc>
          <w:tcPr>
            <w:tcW w:w="100" w:type="dxa"/>
            <w:vAlign w:val="bottom"/>
            <w:gridSpan w:val="2"/>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5180" w:type="dxa"/>
            <w:vAlign w:val="bottom"/>
            <w:gridSpan w:val="10"/>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3.28</w:t>
            </w:r>
          </w:p>
        </w:tc>
        <w:tc>
          <w:tcPr>
            <w:tcW w:w="10240" w:type="dxa"/>
            <w:vAlign w:val="bottom"/>
            <w:gridSpan w:val="40"/>
          </w:tcPr>
          <w:p>
            <w:pPr>
              <w:spacing w:after="0"/>
              <w:rPr>
                <w:rFonts w:ascii="Arial" w:cs="Arial" w:eastAsia="Arial" w:hAnsi="Arial"/>
                <w:sz w:val="15"/>
                <w:szCs w:val="15"/>
                <w:color w:val="0000FF"/>
              </w:rPr>
            </w:pPr>
            <w:hyperlink r:id="rId193">
              <w:r>
                <w:rPr>
                  <w:rFonts w:ascii="Arial" w:cs="Arial" w:eastAsia="Arial" w:hAnsi="Arial"/>
                  <w:sz w:val="15"/>
                  <w:szCs w:val="15"/>
                  <w:color w:val="0000FF"/>
                </w:rPr>
                <w:t>Trust Interest Designation of Compass Group Diversified Holdings LLC with respect to Series B Trust Preferred Interests (incorporated by reference</w:t>
              </w:r>
            </w:hyperlink>
          </w:p>
        </w:tc>
      </w:tr>
      <w:tr>
        <w:trPr>
          <w:trHeight w:val="128"/>
        </w:trPr>
        <w:tc>
          <w:tcPr>
            <w:tcW w:w="1160" w:type="dxa"/>
            <w:vAlign w:val="bottom"/>
          </w:tcPr>
          <w:p>
            <w:pPr>
              <w:spacing w:after="0"/>
              <w:rPr>
                <w:sz w:val="11"/>
                <w:szCs w:val="11"/>
                <w:color w:val="auto"/>
              </w:rPr>
            </w:pPr>
          </w:p>
        </w:tc>
        <w:tc>
          <w:tcPr>
            <w:tcW w:w="518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93">
              <w:r>
                <w:rPr>
                  <w:rFonts w:ascii="Arial" w:cs="Arial" w:eastAsia="Arial" w:hAnsi="Arial"/>
                  <w:sz w:val="14"/>
                  <w:szCs w:val="14"/>
                  <w:color w:val="0000FF"/>
                </w:rPr>
                <w:t>to Exhibit 3.2 of the Form 8-K filed on March 13, 2018 (File No. 001-34927)).</w:t>
              </w:r>
            </w:hyperlink>
          </w:p>
        </w:tc>
        <w:tc>
          <w:tcPr>
            <w:tcW w:w="4800" w:type="dxa"/>
            <w:vAlign w:val="bottom"/>
            <w:tcBorders>
              <w:top w:val="single" w:sz="8" w:color="0000FF"/>
            </w:tcBorders>
            <w:gridSpan w:val="17"/>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3.29</w:t>
            </w:r>
          </w:p>
        </w:tc>
        <w:tc>
          <w:tcPr>
            <w:tcW w:w="10240" w:type="dxa"/>
            <w:vAlign w:val="bottom"/>
            <w:gridSpan w:val="40"/>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Trust Interest Designation of Compass Group Diversified Holdings LLC with respect to Series B Trust Preferred Interests</w:t>
              </w:r>
            </w:hyperlink>
          </w:p>
        </w:tc>
      </w:tr>
      <w:tr>
        <w:trPr>
          <w:trHeight w:val="129"/>
        </w:trPr>
        <w:tc>
          <w:tcPr>
            <w:tcW w:w="116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3.5 of the Form 8-K filed on March 20, 2024 (File No. 001-34926)).</w:t>
              </w:r>
            </w:hyperlink>
          </w:p>
        </w:tc>
        <w:tc>
          <w:tcPr>
            <w:tcW w:w="2500" w:type="dxa"/>
            <w:vAlign w:val="bottom"/>
            <w:tcBorders>
              <w:top w:val="single" w:sz="8" w:color="0000FF"/>
            </w:tcBorders>
            <w:gridSpan w:val="4"/>
          </w:tcPr>
          <w:p>
            <w:pPr>
              <w:spacing w:after="0"/>
              <w:rPr>
                <w:sz w:val="11"/>
                <w:szCs w:val="11"/>
                <w:color w:val="auto"/>
              </w:rPr>
            </w:pPr>
          </w:p>
        </w:tc>
        <w:tc>
          <w:tcPr>
            <w:tcW w:w="360" w:type="dxa"/>
            <w:vAlign w:val="bottom"/>
            <w:gridSpan w:val="7"/>
          </w:tcPr>
          <w:p>
            <w:pPr>
              <w:spacing w:after="0"/>
              <w:rPr>
                <w:sz w:val="11"/>
                <w:szCs w:val="11"/>
                <w:color w:val="auto"/>
              </w:rPr>
            </w:pPr>
          </w:p>
        </w:tc>
        <w:tc>
          <w:tcPr>
            <w:tcW w:w="360" w:type="dxa"/>
            <w:vAlign w:val="bottom"/>
            <w:gridSpan w:val="15"/>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3.30</w:t>
            </w:r>
          </w:p>
        </w:tc>
        <w:tc>
          <w:tcPr>
            <w:tcW w:w="10240" w:type="dxa"/>
            <w:vAlign w:val="bottom"/>
            <w:gridSpan w:val="40"/>
          </w:tcPr>
          <w:p>
            <w:pPr>
              <w:spacing w:after="0"/>
              <w:rPr>
                <w:rFonts w:ascii="Arial" w:cs="Arial" w:eastAsia="Arial" w:hAnsi="Arial"/>
                <w:sz w:val="15"/>
                <w:szCs w:val="15"/>
                <w:color w:val="0000FF"/>
              </w:rPr>
            </w:pPr>
            <w:hyperlink r:id="rId194">
              <w:r>
                <w:rPr>
                  <w:rFonts w:ascii="Arial" w:cs="Arial" w:eastAsia="Arial" w:hAnsi="Arial"/>
                  <w:sz w:val="15"/>
                  <w:szCs w:val="15"/>
                  <w:color w:val="0000FF"/>
                </w:rPr>
                <w:t>Second Amendment to Trust Interest Designation of Compass Group Diversified Holdings LLC with respect to Series B Trust Preferred Interests</w:t>
              </w:r>
            </w:hyperlink>
          </w:p>
        </w:tc>
      </w:tr>
      <w:tr>
        <w:trPr>
          <w:trHeight w:val="129"/>
        </w:trPr>
        <w:tc>
          <w:tcPr>
            <w:tcW w:w="1160" w:type="dxa"/>
            <w:vAlign w:val="bottom"/>
          </w:tcPr>
          <w:p>
            <w:pPr>
              <w:spacing w:after="0"/>
              <w:rPr>
                <w:sz w:val="11"/>
                <w:szCs w:val="11"/>
                <w:color w:val="auto"/>
              </w:rPr>
            </w:pPr>
          </w:p>
        </w:tc>
        <w:tc>
          <w:tcPr>
            <w:tcW w:w="974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94">
              <w:r>
                <w:rPr>
                  <w:rFonts w:ascii="Arial" w:cs="Arial" w:eastAsia="Arial" w:hAnsi="Arial"/>
                  <w:sz w:val="14"/>
                  <w:szCs w:val="14"/>
                  <w:color w:val="0000FF"/>
                </w:rPr>
                <w:t>(incorporated by reference Exhibit 4.20 of the Form S-3 filed on September 4, 2024 (File No. 333-281931)).</w:t>
              </w:r>
            </w:hyperlink>
          </w:p>
        </w:tc>
        <w:tc>
          <w:tcPr>
            <w:tcW w:w="140" w:type="dxa"/>
            <w:vAlign w:val="bottom"/>
            <w:gridSpan w:val="3"/>
          </w:tcPr>
          <w:p>
            <w:pPr>
              <w:spacing w:after="0"/>
              <w:rPr>
                <w:sz w:val="11"/>
                <w:szCs w:val="11"/>
                <w:color w:val="auto"/>
              </w:rPr>
            </w:pPr>
          </w:p>
        </w:tc>
        <w:tc>
          <w:tcPr>
            <w:tcW w:w="360" w:type="dxa"/>
            <w:vAlign w:val="bottom"/>
            <w:gridSpan w:val="15"/>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gridSpan w:val="15"/>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360" w:type="dxa"/>
            <w:vAlign w:val="bottom"/>
            <w:gridSpan w:val="15"/>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3.31</w:t>
            </w:r>
          </w:p>
        </w:tc>
        <w:tc>
          <w:tcPr>
            <w:tcW w:w="10240" w:type="dxa"/>
            <w:vAlign w:val="bottom"/>
            <w:gridSpan w:val="40"/>
          </w:tcPr>
          <w:p>
            <w:pPr>
              <w:spacing w:after="0"/>
              <w:rPr>
                <w:rFonts w:ascii="Arial" w:cs="Arial" w:eastAsia="Arial" w:hAnsi="Arial"/>
                <w:sz w:val="15"/>
                <w:szCs w:val="15"/>
                <w:color w:val="0000FF"/>
              </w:rPr>
            </w:pPr>
            <w:hyperlink r:id="rId195">
              <w:r>
                <w:rPr>
                  <w:rFonts w:ascii="Arial" w:cs="Arial" w:eastAsia="Arial" w:hAnsi="Arial"/>
                  <w:sz w:val="15"/>
                  <w:szCs w:val="15"/>
                  <w:color w:val="0000FF"/>
                </w:rPr>
                <w:t>Amended and Restated Share Designation of Compass Diversified Holdings with respect to Series C Preferred Shares (incorporated by reference</w:t>
              </w:r>
            </w:hyperlink>
          </w:p>
        </w:tc>
      </w:tr>
      <w:tr>
        <w:trPr>
          <w:trHeight w:val="128"/>
        </w:trPr>
        <w:tc>
          <w:tcPr>
            <w:tcW w:w="1160" w:type="dxa"/>
            <w:vAlign w:val="bottom"/>
          </w:tcPr>
          <w:p>
            <w:pPr>
              <w:spacing w:after="0"/>
              <w:rPr>
                <w:sz w:val="11"/>
                <w:szCs w:val="11"/>
                <w:color w:val="auto"/>
              </w:rPr>
            </w:pPr>
          </w:p>
        </w:tc>
        <w:tc>
          <w:tcPr>
            <w:tcW w:w="988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195">
              <w:r>
                <w:rPr>
                  <w:rFonts w:ascii="Arial" w:cs="Arial" w:eastAsia="Arial" w:hAnsi="Arial"/>
                  <w:sz w:val="14"/>
                  <w:szCs w:val="14"/>
                  <w:color w:val="0000FF"/>
                </w:rPr>
                <w:t>to Exhibit 3.5 of the Form 8-K filed on August 4, 2021 (File No. 001-34927)).</w:t>
              </w:r>
            </w:hyperlink>
          </w:p>
        </w:tc>
        <w:tc>
          <w:tcPr>
            <w:tcW w:w="360" w:type="dxa"/>
            <w:vAlign w:val="bottom"/>
            <w:gridSpan w:val="15"/>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5140" w:type="dxa"/>
            <w:vAlign w:val="bottom"/>
            <w:gridSpan w:val="9"/>
            <w:shd w:val="clear" w:color="auto" w:fill="0000FF"/>
          </w:tcPr>
          <w:p>
            <w:pPr>
              <w:spacing w:after="0" w:line="20" w:lineRule="exact"/>
              <w:rPr>
                <w:sz w:val="1"/>
                <w:szCs w:val="1"/>
                <w:color w:val="auto"/>
              </w:rPr>
            </w:pPr>
          </w:p>
        </w:tc>
        <w:tc>
          <w:tcPr>
            <w:tcW w:w="4280" w:type="dxa"/>
            <w:vAlign w:val="bottom"/>
            <w:gridSpan w:val="8"/>
          </w:tcPr>
          <w:p>
            <w:pPr>
              <w:spacing w:after="0" w:line="20" w:lineRule="exact"/>
              <w:rPr>
                <w:sz w:val="1"/>
                <w:szCs w:val="1"/>
                <w:color w:val="auto"/>
              </w:rPr>
            </w:pPr>
          </w:p>
        </w:tc>
        <w:tc>
          <w:tcPr>
            <w:tcW w:w="820" w:type="dxa"/>
            <w:vAlign w:val="bottom"/>
            <w:gridSpan w:val="2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3.32</w:t>
            </w:r>
          </w:p>
        </w:tc>
        <w:tc>
          <w:tcPr>
            <w:tcW w:w="10240" w:type="dxa"/>
            <w:vAlign w:val="bottom"/>
            <w:gridSpan w:val="40"/>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Amended and Restated Share Designation of Compass Diversified Holdings with respect to Series C Preferred Shares</w:t>
              </w:r>
            </w:hyperlink>
          </w:p>
        </w:tc>
      </w:tr>
      <w:tr>
        <w:trPr>
          <w:trHeight w:val="128"/>
        </w:trPr>
        <w:tc>
          <w:tcPr>
            <w:tcW w:w="116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3.3 of the Form 8-K filed on March 20, 2024 (File No. 001-34926)).</w:t>
              </w:r>
            </w:hyperlink>
          </w:p>
        </w:tc>
        <w:tc>
          <w:tcPr>
            <w:tcW w:w="2400" w:type="dxa"/>
            <w:vAlign w:val="bottom"/>
            <w:tcBorders>
              <w:top w:val="single" w:sz="8" w:color="0000FF"/>
            </w:tcBorders>
            <w:gridSpan w:val="3"/>
          </w:tcPr>
          <w:p>
            <w:pPr>
              <w:spacing w:after="0"/>
              <w:rPr>
                <w:sz w:val="11"/>
                <w:szCs w:val="11"/>
                <w:color w:val="auto"/>
              </w:rPr>
            </w:pPr>
          </w:p>
        </w:tc>
        <w:tc>
          <w:tcPr>
            <w:tcW w:w="820" w:type="dxa"/>
            <w:vAlign w:val="bottom"/>
            <w:gridSpan w:val="23"/>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141" w:right="37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2"/>
        </w:trPr>
        <w:tc>
          <w:tcPr>
            <w:tcW w:w="1160" w:type="dxa"/>
            <w:vAlign w:val="bottom"/>
          </w:tcPr>
          <w:p>
            <w:pPr>
              <w:spacing w:after="0"/>
              <w:rPr>
                <w:sz w:val="20"/>
                <w:szCs w:val="20"/>
                <w:color w:val="auto"/>
              </w:rPr>
            </w:pPr>
            <w:r>
              <w:rPr>
                <w:rFonts w:ascii="Arial" w:cs="Arial" w:eastAsia="Arial" w:hAnsi="Arial"/>
                <w:sz w:val="15"/>
                <w:szCs w:val="15"/>
                <w:color w:val="auto"/>
              </w:rPr>
              <w:t>3.33</w:t>
            </w:r>
          </w:p>
        </w:tc>
        <w:tc>
          <w:tcPr>
            <w:tcW w:w="10360" w:type="dxa"/>
            <w:vAlign w:val="bottom"/>
            <w:gridSpan w:val="45"/>
          </w:tcPr>
          <w:p>
            <w:pPr>
              <w:spacing w:after="0"/>
              <w:rPr>
                <w:rFonts w:ascii="Arial" w:cs="Arial" w:eastAsia="Arial" w:hAnsi="Arial"/>
                <w:sz w:val="15"/>
                <w:szCs w:val="15"/>
                <w:color w:val="0000FF"/>
              </w:rPr>
            </w:pPr>
            <w:hyperlink r:id="rId197">
              <w:r>
                <w:rPr>
                  <w:rFonts w:ascii="Arial" w:cs="Arial" w:eastAsia="Arial" w:hAnsi="Arial"/>
                  <w:sz w:val="15"/>
                  <w:szCs w:val="15"/>
                  <w:color w:val="0000FF"/>
                </w:rPr>
                <w:t>Second Amendment to Amended and Restated Share Designation of Compass Diversified Holdings with respect to Series C Preferred Shares</w:t>
              </w:r>
            </w:hyperlink>
          </w:p>
        </w:tc>
      </w:tr>
      <w:tr>
        <w:trPr>
          <w:trHeight w:val="128"/>
        </w:trPr>
        <w:tc>
          <w:tcPr>
            <w:tcW w:w="1160" w:type="dxa"/>
            <w:vAlign w:val="bottom"/>
          </w:tcPr>
          <w:p>
            <w:pPr>
              <w:spacing w:after="0"/>
              <w:rPr>
                <w:sz w:val="11"/>
                <w:szCs w:val="11"/>
                <w:color w:val="auto"/>
              </w:rPr>
            </w:pPr>
          </w:p>
        </w:tc>
        <w:tc>
          <w:tcPr>
            <w:tcW w:w="964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197">
              <w:r>
                <w:rPr>
                  <w:rFonts w:ascii="Arial" w:cs="Arial" w:eastAsia="Arial" w:hAnsi="Arial"/>
                  <w:sz w:val="14"/>
                  <w:szCs w:val="14"/>
                  <w:color w:val="0000FF"/>
                </w:rPr>
                <w:t>(incorporated by reference Exhibit 4.23 of the Form S-3 filed on September 4, 2024 (File No. 333-281931)).</w:t>
              </w:r>
            </w:hyperlink>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3.34</w:t>
            </w:r>
          </w:p>
        </w:tc>
        <w:tc>
          <w:tcPr>
            <w:tcW w:w="10360" w:type="dxa"/>
            <w:vAlign w:val="bottom"/>
            <w:gridSpan w:val="45"/>
          </w:tcPr>
          <w:p>
            <w:pPr>
              <w:spacing w:after="0"/>
              <w:rPr>
                <w:rFonts w:ascii="Arial" w:cs="Arial" w:eastAsia="Arial" w:hAnsi="Arial"/>
                <w:sz w:val="15"/>
                <w:szCs w:val="15"/>
                <w:color w:val="0000FF"/>
              </w:rPr>
            </w:pPr>
            <w:hyperlink r:id="rId198">
              <w:r>
                <w:rPr>
                  <w:rFonts w:ascii="Arial" w:cs="Arial" w:eastAsia="Arial" w:hAnsi="Arial"/>
                  <w:sz w:val="15"/>
                  <w:szCs w:val="15"/>
                  <w:color w:val="0000FF"/>
                </w:rPr>
                <w:t>Trust Interest Designation of Compass Group Diversified Holdings LLC with respect to Series C Trust Preferred Interests (incorporated by reference</w:t>
              </w:r>
            </w:hyperlink>
          </w:p>
        </w:tc>
      </w:tr>
      <w:tr>
        <w:trPr>
          <w:trHeight w:val="128"/>
        </w:trPr>
        <w:tc>
          <w:tcPr>
            <w:tcW w:w="1160" w:type="dxa"/>
            <w:vAlign w:val="bottom"/>
          </w:tcPr>
          <w:p>
            <w:pPr>
              <w:spacing w:after="0"/>
              <w:rPr>
                <w:sz w:val="11"/>
                <w:szCs w:val="11"/>
                <w:color w:val="auto"/>
              </w:rPr>
            </w:pPr>
          </w:p>
        </w:tc>
        <w:tc>
          <w:tcPr>
            <w:tcW w:w="5460" w:type="dxa"/>
            <w:vAlign w:val="bottom"/>
            <w:tcBorders>
              <w:top w:val="single" w:sz="8" w:color="0000FF"/>
              <w:bottom w:val="single" w:sz="8" w:color="0000FF"/>
            </w:tcBorders>
            <w:gridSpan w:val="12"/>
          </w:tcPr>
          <w:p>
            <w:pPr>
              <w:spacing w:after="0" w:line="129" w:lineRule="exact"/>
              <w:rPr>
                <w:rFonts w:ascii="Arial" w:cs="Arial" w:eastAsia="Arial" w:hAnsi="Arial"/>
                <w:sz w:val="14"/>
                <w:szCs w:val="14"/>
                <w:color w:val="0000FF"/>
              </w:rPr>
            </w:pPr>
            <w:hyperlink r:id="rId198">
              <w:r>
                <w:rPr>
                  <w:rFonts w:ascii="Arial" w:cs="Arial" w:eastAsia="Arial" w:hAnsi="Arial"/>
                  <w:sz w:val="14"/>
                  <w:szCs w:val="14"/>
                  <w:color w:val="0000FF"/>
                </w:rPr>
                <w:t>to Exhibit 3.2 of the Form 8-K filed on November 20, 2019 (File No. 001-34927)).</w:t>
              </w:r>
            </w:hyperlink>
          </w:p>
        </w:tc>
        <w:tc>
          <w:tcPr>
            <w:tcW w:w="452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3.35</w:t>
            </w:r>
          </w:p>
        </w:tc>
        <w:tc>
          <w:tcPr>
            <w:tcW w:w="10360" w:type="dxa"/>
            <w:vAlign w:val="bottom"/>
            <w:gridSpan w:val="45"/>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Trust Interest Designation of Compass Group Diversified Holdings LLC with respect to Series C Trust Preferred Interests</w:t>
              </w:r>
            </w:hyperlink>
          </w:p>
        </w:tc>
      </w:tr>
      <w:tr>
        <w:trPr>
          <w:trHeight w:val="128"/>
        </w:trPr>
        <w:tc>
          <w:tcPr>
            <w:tcW w:w="116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5"/>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3.6 of the Form 8-K filed on March 20, 2024 (File No. 001-34926)).</w:t>
              </w:r>
            </w:hyperlink>
          </w:p>
        </w:tc>
        <w:tc>
          <w:tcPr>
            <w:tcW w:w="3200" w:type="dxa"/>
            <w:vAlign w:val="bottom"/>
            <w:tcBorders>
              <w:top w:val="single" w:sz="8" w:color="0000FF"/>
            </w:tcBorders>
            <w:gridSpan w:val="2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3.36</w:t>
            </w:r>
          </w:p>
        </w:tc>
        <w:tc>
          <w:tcPr>
            <w:tcW w:w="10360" w:type="dxa"/>
            <w:vAlign w:val="bottom"/>
            <w:gridSpan w:val="45"/>
          </w:tcPr>
          <w:p>
            <w:pPr>
              <w:spacing w:after="0"/>
              <w:rPr>
                <w:rFonts w:ascii="Arial" w:cs="Arial" w:eastAsia="Arial" w:hAnsi="Arial"/>
                <w:sz w:val="15"/>
                <w:szCs w:val="15"/>
                <w:color w:val="0000FF"/>
              </w:rPr>
            </w:pPr>
            <w:hyperlink r:id="rId199">
              <w:r>
                <w:rPr>
                  <w:rFonts w:ascii="Arial" w:cs="Arial" w:eastAsia="Arial" w:hAnsi="Arial"/>
                  <w:sz w:val="15"/>
                  <w:szCs w:val="15"/>
                  <w:color w:val="0000FF"/>
                </w:rPr>
                <w:t>Second Amendment to Trust Interest Designation of Compass Group Diversified Holdings LLC with respect to Series C Trust Preferred Interests</w:t>
              </w:r>
            </w:hyperlink>
          </w:p>
        </w:tc>
      </w:tr>
      <w:tr>
        <w:trPr>
          <w:trHeight w:val="129"/>
        </w:trPr>
        <w:tc>
          <w:tcPr>
            <w:tcW w:w="1160" w:type="dxa"/>
            <w:vAlign w:val="bottom"/>
          </w:tcPr>
          <w:p>
            <w:pPr>
              <w:spacing w:after="0"/>
              <w:rPr>
                <w:sz w:val="11"/>
                <w:szCs w:val="11"/>
                <w:color w:val="auto"/>
              </w:rPr>
            </w:pPr>
          </w:p>
        </w:tc>
        <w:tc>
          <w:tcPr>
            <w:tcW w:w="10340" w:type="dxa"/>
            <w:vAlign w:val="bottom"/>
            <w:tcBorders>
              <w:top w:val="single" w:sz="8" w:color="0000FF"/>
            </w:tcBorders>
            <w:gridSpan w:val="44"/>
          </w:tcPr>
          <w:p>
            <w:pPr>
              <w:spacing w:after="0" w:line="129" w:lineRule="exact"/>
              <w:rPr>
                <w:rFonts w:ascii="Arial" w:cs="Arial" w:eastAsia="Arial" w:hAnsi="Arial"/>
                <w:sz w:val="14"/>
                <w:szCs w:val="14"/>
                <w:color w:val="0000FF"/>
              </w:rPr>
            </w:pPr>
            <w:hyperlink r:id="rId199">
              <w:r>
                <w:rPr>
                  <w:rFonts w:ascii="Arial" w:cs="Arial" w:eastAsia="Arial" w:hAnsi="Arial"/>
                  <w:sz w:val="14"/>
                  <w:szCs w:val="14"/>
                  <w:color w:val="0000FF"/>
                </w:rPr>
                <w:t>(incorporated by reference Exhibit 4.26 of the Form S-3 filed on September 4, 2024 (File No. 333-281931)).</w:t>
              </w:r>
            </w:hyperlink>
          </w:p>
        </w:tc>
        <w:tc>
          <w:tcPr>
            <w:tcW w:w="20" w:type="dxa"/>
            <w:vAlign w:val="bottom"/>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4.1</w:t>
            </w:r>
          </w:p>
        </w:tc>
        <w:tc>
          <w:tcPr>
            <w:tcW w:w="10360" w:type="dxa"/>
            <w:vAlign w:val="bottom"/>
            <w:gridSpan w:val="45"/>
          </w:tcPr>
          <w:p>
            <w:pPr>
              <w:spacing w:after="0"/>
              <w:rPr>
                <w:rFonts w:ascii="Arial" w:cs="Arial" w:eastAsia="Arial" w:hAnsi="Arial"/>
                <w:sz w:val="15"/>
                <w:szCs w:val="15"/>
                <w:color w:val="0000FF"/>
              </w:rPr>
            </w:pPr>
            <w:hyperlink r:id="rId200">
              <w:r>
                <w:rPr>
                  <w:rFonts w:ascii="Arial" w:cs="Arial" w:eastAsia="Arial" w:hAnsi="Arial"/>
                  <w:sz w:val="15"/>
                  <w:szCs w:val="15"/>
                  <w:color w:val="0000FF"/>
                </w:rPr>
                <w:t>Specimen Certificate evidencing a share of trust of Compass Diversified Holdings (incorporated by reference to Exhibit A of Exhibit 3.1 of the Form</w:t>
              </w:r>
            </w:hyperlink>
          </w:p>
        </w:tc>
      </w:tr>
      <w:tr>
        <w:trPr>
          <w:trHeight w:val="129"/>
        </w:trPr>
        <w:tc>
          <w:tcPr>
            <w:tcW w:w="1160" w:type="dxa"/>
            <w:vAlign w:val="bottom"/>
          </w:tcPr>
          <w:p>
            <w:pPr>
              <w:spacing w:after="0"/>
              <w:rPr>
                <w:sz w:val="11"/>
                <w:szCs w:val="11"/>
                <w:color w:val="auto"/>
              </w:rPr>
            </w:pPr>
          </w:p>
        </w:tc>
        <w:tc>
          <w:tcPr>
            <w:tcW w:w="1002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200">
              <w:r>
                <w:rPr>
                  <w:rFonts w:ascii="Arial" w:cs="Arial" w:eastAsia="Arial" w:hAnsi="Arial"/>
                  <w:sz w:val="14"/>
                  <w:szCs w:val="14"/>
                  <w:color w:val="0000FF"/>
                </w:rPr>
                <w:t>8-K filed on August 4, 2021 (File No. 001-34927))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4.2</w:t>
            </w:r>
          </w:p>
        </w:tc>
        <w:tc>
          <w:tcPr>
            <w:tcW w:w="10360" w:type="dxa"/>
            <w:vAlign w:val="bottom"/>
            <w:gridSpan w:val="45"/>
          </w:tcPr>
          <w:p>
            <w:pPr>
              <w:spacing w:after="0"/>
              <w:rPr>
                <w:rFonts w:ascii="Arial" w:cs="Arial" w:eastAsia="Arial" w:hAnsi="Arial"/>
                <w:sz w:val="15"/>
                <w:szCs w:val="15"/>
                <w:color w:val="0000FF"/>
              </w:rPr>
            </w:pPr>
            <w:hyperlink r:id="rId201">
              <w:r>
                <w:rPr>
                  <w:rFonts w:ascii="Arial" w:cs="Arial" w:eastAsia="Arial" w:hAnsi="Arial"/>
                  <w:sz w:val="15"/>
                  <w:szCs w:val="15"/>
                  <w:color w:val="0000FF"/>
                </w:rPr>
                <w:t>Specimen LLC Interest Certificate evidencing an interest of Compass Group Diversified Holdings LLC (incorporated by reference to Exhibit A of</w:t>
              </w:r>
            </w:hyperlink>
          </w:p>
        </w:tc>
      </w:tr>
      <w:tr>
        <w:trPr>
          <w:trHeight w:val="128"/>
        </w:trPr>
        <w:tc>
          <w:tcPr>
            <w:tcW w:w="1160" w:type="dxa"/>
            <w:vAlign w:val="bottom"/>
          </w:tcPr>
          <w:p>
            <w:pPr>
              <w:spacing w:after="0"/>
              <w:rPr>
                <w:sz w:val="11"/>
                <w:szCs w:val="11"/>
                <w:color w:val="auto"/>
              </w:rPr>
            </w:pPr>
          </w:p>
        </w:tc>
        <w:tc>
          <w:tcPr>
            <w:tcW w:w="494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201">
              <w:r>
                <w:rPr>
                  <w:rFonts w:ascii="Arial" w:cs="Arial" w:eastAsia="Arial" w:hAnsi="Arial"/>
                  <w:sz w:val="14"/>
                  <w:szCs w:val="14"/>
                  <w:color w:val="0000FF"/>
                </w:rPr>
                <w:t>Exhibit 3.2 of the Form 8-K filed on August 4, 2021 (File No. 001-34927))</w:t>
              </w:r>
            </w:hyperlink>
          </w:p>
        </w:tc>
        <w:tc>
          <w:tcPr>
            <w:tcW w:w="5340" w:type="dxa"/>
            <w:vAlign w:val="bottom"/>
            <w:tcBorders>
              <w:top w:val="single" w:sz="8" w:color="0000FF"/>
            </w:tcBorders>
            <w:gridSpan w:val="3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4.3</w:t>
            </w:r>
          </w:p>
        </w:tc>
        <w:tc>
          <w:tcPr>
            <w:tcW w:w="10360" w:type="dxa"/>
            <w:vAlign w:val="bottom"/>
            <w:gridSpan w:val="45"/>
          </w:tcPr>
          <w:p>
            <w:pPr>
              <w:spacing w:after="0"/>
              <w:rPr>
                <w:rFonts w:ascii="Arial" w:cs="Arial" w:eastAsia="Arial" w:hAnsi="Arial"/>
                <w:sz w:val="15"/>
                <w:szCs w:val="15"/>
                <w:color w:val="0000FF"/>
              </w:rPr>
            </w:pPr>
            <w:hyperlink r:id="rId202">
              <w:r>
                <w:rPr>
                  <w:rFonts w:ascii="Arial" w:cs="Arial" w:eastAsia="Arial" w:hAnsi="Arial"/>
                  <w:sz w:val="15"/>
                  <w:szCs w:val="15"/>
                  <w:color w:val="0000FF"/>
                </w:rPr>
                <w:t>Form of 7.250% Series A Preferred Share Certificate (incorporated by reference to Appendix A of Exhibit 3.3 of the Form 8-K filed on August 4,</w:t>
              </w:r>
            </w:hyperlink>
          </w:p>
        </w:tc>
      </w:tr>
      <w:tr>
        <w:trPr>
          <w:trHeight w:val="128"/>
        </w:trPr>
        <w:tc>
          <w:tcPr>
            <w:tcW w:w="1160" w:type="dxa"/>
            <w:vAlign w:val="bottom"/>
          </w:tcPr>
          <w:p>
            <w:pPr>
              <w:spacing w:after="0"/>
              <w:rPr>
                <w:sz w:val="11"/>
                <w:szCs w:val="11"/>
                <w:color w:val="auto"/>
              </w:rPr>
            </w:pPr>
          </w:p>
        </w:tc>
        <w:tc>
          <w:tcPr>
            <w:tcW w:w="10320" w:type="dxa"/>
            <w:vAlign w:val="bottom"/>
            <w:tcBorders>
              <w:top w:val="single" w:sz="8" w:color="0000FF"/>
            </w:tcBorders>
            <w:gridSpan w:val="43"/>
          </w:tcPr>
          <w:p>
            <w:pPr>
              <w:spacing w:after="0" w:line="129" w:lineRule="exact"/>
              <w:rPr>
                <w:rFonts w:ascii="Arial" w:cs="Arial" w:eastAsia="Arial" w:hAnsi="Arial"/>
                <w:sz w:val="14"/>
                <w:szCs w:val="14"/>
                <w:color w:val="0000FF"/>
              </w:rPr>
            </w:pPr>
            <w:hyperlink r:id="rId202">
              <w:r>
                <w:rPr>
                  <w:rFonts w:ascii="Arial" w:cs="Arial" w:eastAsia="Arial" w:hAnsi="Arial"/>
                  <w:sz w:val="14"/>
                  <w:szCs w:val="14"/>
                  <w:color w:val="0000FF"/>
                </w:rPr>
                <w:t>2021 (File No. 001-34927)).</w:t>
              </w:r>
            </w:hyperlink>
          </w:p>
        </w:tc>
        <w:tc>
          <w:tcPr>
            <w:tcW w:w="40" w:type="dxa"/>
            <w:vAlign w:val="bottom"/>
            <w:gridSpan w:val="2"/>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4.4</w:t>
            </w:r>
          </w:p>
        </w:tc>
        <w:tc>
          <w:tcPr>
            <w:tcW w:w="10360" w:type="dxa"/>
            <w:vAlign w:val="bottom"/>
            <w:gridSpan w:val="45"/>
          </w:tcPr>
          <w:p>
            <w:pPr>
              <w:spacing w:after="0"/>
              <w:rPr>
                <w:rFonts w:ascii="Arial" w:cs="Arial" w:eastAsia="Arial" w:hAnsi="Arial"/>
                <w:sz w:val="15"/>
                <w:szCs w:val="15"/>
                <w:color w:val="0000FF"/>
              </w:rPr>
            </w:pPr>
            <w:hyperlink r:id="rId203">
              <w:r>
                <w:rPr>
                  <w:rFonts w:ascii="Arial" w:cs="Arial" w:eastAsia="Arial" w:hAnsi="Arial"/>
                  <w:sz w:val="15"/>
                  <w:szCs w:val="15"/>
                  <w:color w:val="0000FF"/>
                </w:rPr>
                <w:t>Form of 7.875% Series B Fixed-to-Floating Rate Cumulative Preferred Share Certificate (incorporated by reference to Appendix A of Exhibit 3.4 of</w:t>
              </w:r>
            </w:hyperlink>
          </w:p>
        </w:tc>
      </w:tr>
      <w:tr>
        <w:trPr>
          <w:trHeight w:val="128"/>
        </w:trPr>
        <w:tc>
          <w:tcPr>
            <w:tcW w:w="1160" w:type="dxa"/>
            <w:vAlign w:val="bottom"/>
          </w:tcPr>
          <w:p>
            <w:pPr>
              <w:spacing w:after="0"/>
              <w:rPr>
                <w:sz w:val="11"/>
                <w:szCs w:val="11"/>
                <w:color w:val="auto"/>
              </w:rPr>
            </w:pPr>
          </w:p>
        </w:tc>
        <w:tc>
          <w:tcPr>
            <w:tcW w:w="986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203">
              <w:r>
                <w:rPr>
                  <w:rFonts w:ascii="Arial" w:cs="Arial" w:eastAsia="Arial" w:hAnsi="Arial"/>
                  <w:sz w:val="14"/>
                  <w:szCs w:val="14"/>
                  <w:color w:val="0000FF"/>
                </w:rPr>
                <w:t>the Form 8-K filed on August 4, 2021 (File No. 001-34927)).</w:t>
              </w:r>
            </w:hyperlink>
          </w:p>
        </w:tc>
        <w:tc>
          <w:tcPr>
            <w:tcW w:w="1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4.5</w:t>
            </w:r>
          </w:p>
        </w:tc>
        <w:tc>
          <w:tcPr>
            <w:tcW w:w="10360" w:type="dxa"/>
            <w:vAlign w:val="bottom"/>
            <w:gridSpan w:val="45"/>
          </w:tcPr>
          <w:p>
            <w:pPr>
              <w:spacing w:after="0"/>
              <w:rPr>
                <w:rFonts w:ascii="Arial" w:cs="Arial" w:eastAsia="Arial" w:hAnsi="Arial"/>
                <w:sz w:val="15"/>
                <w:szCs w:val="15"/>
                <w:color w:val="0000FF"/>
              </w:rPr>
            </w:pPr>
            <w:hyperlink r:id="rId204">
              <w:r>
                <w:rPr>
                  <w:rFonts w:ascii="Arial" w:cs="Arial" w:eastAsia="Arial" w:hAnsi="Arial"/>
                  <w:sz w:val="15"/>
                  <w:szCs w:val="15"/>
                  <w:color w:val="0000FF"/>
                </w:rPr>
                <w:t>Form of 7.875% Series C Cumulative Preferred Share Certificate (incorporated by reference to Appendix A of Exhibit 3.5 of the Form 8-K filed on</w:t>
              </w:r>
            </w:hyperlink>
          </w:p>
        </w:tc>
      </w:tr>
      <w:tr>
        <w:trPr>
          <w:trHeight w:val="129"/>
        </w:trPr>
        <w:tc>
          <w:tcPr>
            <w:tcW w:w="1160" w:type="dxa"/>
            <w:vAlign w:val="bottom"/>
          </w:tcPr>
          <w:p>
            <w:pPr>
              <w:spacing w:after="0"/>
              <w:rPr>
                <w:sz w:val="11"/>
                <w:szCs w:val="11"/>
                <w:color w:val="auto"/>
              </w:rPr>
            </w:pPr>
          </w:p>
        </w:tc>
        <w:tc>
          <w:tcPr>
            <w:tcW w:w="258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204">
              <w:r>
                <w:rPr>
                  <w:rFonts w:ascii="Arial" w:cs="Arial" w:eastAsia="Arial" w:hAnsi="Arial"/>
                  <w:sz w:val="14"/>
                  <w:szCs w:val="14"/>
                  <w:color w:val="0000FF"/>
                </w:rPr>
                <w:t>August 4, 2021 (File No. 001-34927)).</w:t>
              </w:r>
            </w:hyperlink>
          </w:p>
        </w:tc>
        <w:tc>
          <w:tcPr>
            <w:tcW w:w="7520" w:type="dxa"/>
            <w:vAlign w:val="bottom"/>
            <w:tcBorders>
              <w:top w:val="single" w:sz="8" w:color="0000FF"/>
            </w:tcBorders>
            <w:gridSpan w:val="2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4.6</w:t>
            </w:r>
          </w:p>
        </w:tc>
        <w:tc>
          <w:tcPr>
            <w:tcW w:w="10360" w:type="dxa"/>
            <w:vAlign w:val="bottom"/>
            <w:gridSpan w:val="45"/>
          </w:tcPr>
          <w:p>
            <w:pPr>
              <w:spacing w:after="0"/>
              <w:rPr>
                <w:rFonts w:ascii="Arial" w:cs="Arial" w:eastAsia="Arial" w:hAnsi="Arial"/>
                <w:sz w:val="15"/>
                <w:szCs w:val="15"/>
                <w:color w:val="0000FF"/>
              </w:rPr>
            </w:pPr>
            <w:hyperlink r:id="rId205">
              <w:r>
                <w:rPr>
                  <w:rFonts w:ascii="Arial" w:cs="Arial" w:eastAsia="Arial" w:hAnsi="Arial"/>
                  <w:sz w:val="15"/>
                  <w:szCs w:val="15"/>
                  <w:color w:val="0000FF"/>
                </w:rPr>
                <w:t>Indenture between Compass Group Diversified Holdings LLC and U.S. Bank National Association, dated as of March 23, 2021 (incorporated by</w:t>
              </w:r>
            </w:hyperlink>
          </w:p>
        </w:tc>
      </w:tr>
      <w:tr>
        <w:trPr>
          <w:trHeight w:val="129"/>
        </w:trPr>
        <w:tc>
          <w:tcPr>
            <w:tcW w:w="1160" w:type="dxa"/>
            <w:vAlign w:val="bottom"/>
          </w:tcPr>
          <w:p>
            <w:pPr>
              <w:spacing w:after="0"/>
              <w:rPr>
                <w:sz w:val="11"/>
                <w:szCs w:val="11"/>
                <w:color w:val="auto"/>
              </w:rPr>
            </w:pPr>
          </w:p>
        </w:tc>
        <w:tc>
          <w:tcPr>
            <w:tcW w:w="1016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205">
              <w:r>
                <w:rPr>
                  <w:rFonts w:ascii="Arial" w:cs="Arial" w:eastAsia="Arial" w:hAnsi="Arial"/>
                  <w:sz w:val="14"/>
                  <w:szCs w:val="14"/>
                  <w:color w:val="0000FF"/>
                </w:rPr>
                <w:t>reference to Exhibit 4.1 of the Form 8-K filed on March 23, 2021 (File No. 000-34927)).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4.7</w:t>
            </w:r>
          </w:p>
        </w:tc>
        <w:tc>
          <w:tcPr>
            <w:tcW w:w="10360" w:type="dxa"/>
            <w:vAlign w:val="bottom"/>
            <w:gridSpan w:val="45"/>
          </w:tcPr>
          <w:p>
            <w:pPr>
              <w:spacing w:after="0"/>
              <w:rPr>
                <w:rFonts w:ascii="Arial" w:cs="Arial" w:eastAsia="Arial" w:hAnsi="Arial"/>
                <w:sz w:val="15"/>
                <w:szCs w:val="15"/>
                <w:color w:val="0000FF"/>
              </w:rPr>
            </w:pPr>
            <w:hyperlink r:id="rId206">
              <w:r>
                <w:rPr>
                  <w:rFonts w:ascii="Arial" w:cs="Arial" w:eastAsia="Arial" w:hAnsi="Arial"/>
                  <w:sz w:val="15"/>
                  <w:szCs w:val="15"/>
                  <w:color w:val="0000FF"/>
                </w:rPr>
                <w:t>First Supplemental Indenture, dated as of January 15, 2025, to the Indenture dated as of March 23, 2021 between Compass Group Diversified</w:t>
              </w:r>
            </w:hyperlink>
          </w:p>
        </w:tc>
      </w:tr>
      <w:tr>
        <w:trPr>
          <w:trHeight w:val="129"/>
        </w:trPr>
        <w:tc>
          <w:tcPr>
            <w:tcW w:w="1160" w:type="dxa"/>
            <w:vAlign w:val="bottom"/>
          </w:tcPr>
          <w:p>
            <w:pPr>
              <w:spacing w:after="0"/>
              <w:rPr>
                <w:sz w:val="11"/>
                <w:szCs w:val="11"/>
                <w:color w:val="auto"/>
              </w:rPr>
            </w:pPr>
          </w:p>
        </w:tc>
        <w:tc>
          <w:tcPr>
            <w:tcW w:w="10140" w:type="dxa"/>
            <w:vAlign w:val="bottom"/>
            <w:tcBorders>
              <w:top w:val="single" w:sz="8" w:color="0000FF"/>
              <w:bottom w:val="single" w:sz="8" w:color="0000FF"/>
            </w:tcBorders>
            <w:gridSpan w:val="34"/>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Holdings LLC and U.S. Bank National Association (incorporated by reference to Exhibit 10.2 of the Form 8-K filed on January 15, 2025 (File No.</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29"/>
        </w:trPr>
        <w:tc>
          <w:tcPr>
            <w:tcW w:w="1160" w:type="dxa"/>
            <w:vAlign w:val="bottom"/>
          </w:tcPr>
          <w:p>
            <w:pPr>
              <w:spacing w:after="0"/>
              <w:rPr>
                <w:sz w:val="11"/>
                <w:szCs w:val="11"/>
                <w:color w:val="auto"/>
              </w:rPr>
            </w:pPr>
          </w:p>
        </w:tc>
        <w:tc>
          <w:tcPr>
            <w:tcW w:w="880" w:type="dxa"/>
            <w:vAlign w:val="bottom"/>
            <w:tcBorders>
              <w:bottom w:val="single" w:sz="8" w:color="0000FF"/>
            </w:tcBorders>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000-34927)).</w:t>
              </w:r>
            </w:hyperlink>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4.8</w:t>
            </w:r>
          </w:p>
        </w:tc>
        <w:tc>
          <w:tcPr>
            <w:tcW w:w="10360" w:type="dxa"/>
            <w:vAlign w:val="bottom"/>
            <w:gridSpan w:val="45"/>
          </w:tcPr>
          <w:p>
            <w:pPr>
              <w:spacing w:after="0"/>
              <w:rPr>
                <w:rFonts w:ascii="Arial" w:cs="Arial" w:eastAsia="Arial" w:hAnsi="Arial"/>
                <w:sz w:val="15"/>
                <w:szCs w:val="15"/>
                <w:color w:val="0000FF"/>
              </w:rPr>
            </w:pPr>
            <w:hyperlink r:id="rId207">
              <w:r>
                <w:rPr>
                  <w:rFonts w:ascii="Arial" w:cs="Arial" w:eastAsia="Arial" w:hAnsi="Arial"/>
                  <w:sz w:val="15"/>
                  <w:szCs w:val="15"/>
                  <w:color w:val="0000FF"/>
                </w:rPr>
                <w:t>Indenture between Compass Group Diversified Holdings LLC and U.S. Bank National Association, dated as of November 17, 2021 (incorporated by</w:t>
              </w:r>
            </w:hyperlink>
          </w:p>
        </w:tc>
      </w:tr>
      <w:tr>
        <w:trPr>
          <w:trHeight w:val="129"/>
        </w:trPr>
        <w:tc>
          <w:tcPr>
            <w:tcW w:w="1160" w:type="dxa"/>
            <w:vAlign w:val="bottom"/>
          </w:tcPr>
          <w:p>
            <w:pPr>
              <w:spacing w:after="0"/>
              <w:rPr>
                <w:sz w:val="11"/>
                <w:szCs w:val="11"/>
                <w:color w:val="auto"/>
              </w:rPr>
            </w:pPr>
          </w:p>
        </w:tc>
        <w:tc>
          <w:tcPr>
            <w:tcW w:w="1008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207">
              <w:r>
                <w:rPr>
                  <w:rFonts w:ascii="Arial" w:cs="Arial" w:eastAsia="Arial" w:hAnsi="Arial"/>
                  <w:sz w:val="14"/>
                  <w:szCs w:val="14"/>
                  <w:color w:val="0000FF"/>
                </w:rPr>
                <w:t>reference to Exhibit 4.1 of the Form 8-K filed on November 17, 2021 (File No. 001-34927)).</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4.9</w:t>
            </w:r>
          </w:p>
        </w:tc>
        <w:tc>
          <w:tcPr>
            <w:tcW w:w="10360" w:type="dxa"/>
            <w:vAlign w:val="bottom"/>
            <w:gridSpan w:val="45"/>
          </w:tcPr>
          <w:p>
            <w:pPr>
              <w:spacing w:after="0"/>
              <w:rPr>
                <w:rFonts w:ascii="Arial" w:cs="Arial" w:eastAsia="Arial" w:hAnsi="Arial"/>
                <w:sz w:val="15"/>
                <w:szCs w:val="15"/>
                <w:color w:val="0000FF"/>
              </w:rPr>
            </w:pPr>
            <w:hyperlink r:id="rId206">
              <w:r>
                <w:rPr>
                  <w:rFonts w:ascii="Arial" w:cs="Arial" w:eastAsia="Arial" w:hAnsi="Arial"/>
                  <w:sz w:val="15"/>
                  <w:szCs w:val="15"/>
                  <w:color w:val="0000FF"/>
                </w:rPr>
                <w:t>First Supplemental Indenture, dated as of January 15, 2025, to the Indenture dated as of November 17, 2021 between Compass Group Diversified</w:t>
              </w:r>
            </w:hyperlink>
          </w:p>
        </w:tc>
      </w:tr>
      <w:tr>
        <w:trPr>
          <w:trHeight w:val="129"/>
        </w:trPr>
        <w:tc>
          <w:tcPr>
            <w:tcW w:w="1160" w:type="dxa"/>
            <w:vAlign w:val="bottom"/>
          </w:tcPr>
          <w:p>
            <w:pPr>
              <w:spacing w:after="0"/>
              <w:rPr>
                <w:sz w:val="11"/>
                <w:szCs w:val="11"/>
                <w:color w:val="auto"/>
              </w:rPr>
            </w:pPr>
          </w:p>
        </w:tc>
        <w:tc>
          <w:tcPr>
            <w:tcW w:w="10060" w:type="dxa"/>
            <w:vAlign w:val="bottom"/>
            <w:tcBorders>
              <w:top w:val="single" w:sz="8" w:color="0000FF"/>
              <w:bottom w:val="single" w:sz="8" w:color="0000FF"/>
            </w:tcBorders>
            <w:gridSpan w:val="30"/>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Holdings LLC and U.S. Bank National Association (incorporated by reference to Exhibit 10.3 of the Form 8-K filed on January 15, 2025 (File No.</w:t>
              </w:r>
            </w:hyperlink>
          </w:p>
        </w:tc>
        <w:tc>
          <w:tcPr>
            <w:tcW w:w="60" w:type="dxa"/>
            <w:vAlign w:val="bottom"/>
            <w:tcBorders>
              <w:bottom w:val="single" w:sz="8" w:color="0000FF"/>
            </w:tcBorders>
            <w:gridSpan w:val="3"/>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28"/>
        </w:trPr>
        <w:tc>
          <w:tcPr>
            <w:tcW w:w="1160" w:type="dxa"/>
            <w:vAlign w:val="bottom"/>
          </w:tcPr>
          <w:p>
            <w:pPr>
              <w:spacing w:after="0"/>
              <w:rPr>
                <w:sz w:val="11"/>
                <w:szCs w:val="11"/>
                <w:color w:val="auto"/>
              </w:rPr>
            </w:pPr>
          </w:p>
        </w:tc>
        <w:tc>
          <w:tcPr>
            <w:tcW w:w="880" w:type="dxa"/>
            <w:vAlign w:val="bottom"/>
            <w:tcBorders>
              <w:bottom w:val="single" w:sz="8" w:color="0000FF"/>
            </w:tcBorders>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000-34927)).</w:t>
              </w:r>
            </w:hyperlink>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4.10*</w:t>
            </w:r>
          </w:p>
        </w:tc>
        <w:tc>
          <w:tcPr>
            <w:tcW w:w="1660" w:type="dxa"/>
            <w:vAlign w:val="bottom"/>
            <w:tcBorders>
              <w:bottom w:val="single" w:sz="8" w:color="0000FF"/>
            </w:tcBorders>
            <w:gridSpan w:val="3"/>
          </w:tcPr>
          <w:p>
            <w:pPr>
              <w:spacing w:after="0"/>
              <w:rPr>
                <w:sz w:val="20"/>
                <w:szCs w:val="20"/>
                <w:color w:val="auto"/>
              </w:rPr>
            </w:pPr>
            <w:r>
              <w:rPr>
                <w:rFonts w:ascii="Arial" w:cs="Arial" w:eastAsia="Arial" w:hAnsi="Arial"/>
                <w:sz w:val="15"/>
                <w:szCs w:val="15"/>
                <w:color w:val="0000FF"/>
              </w:rPr>
              <w:t>Description of Securities</w:t>
            </w:r>
          </w:p>
        </w:tc>
        <w:tc>
          <w:tcPr>
            <w:tcW w:w="8700" w:type="dxa"/>
            <w:vAlign w:val="bottom"/>
            <w:gridSpan w:val="42"/>
          </w:tcPr>
          <w:p>
            <w:pPr>
              <w:spacing w:after="0"/>
              <w:rPr>
                <w:sz w:val="17"/>
                <w:szCs w:val="17"/>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5"/>
                <w:szCs w:val="15"/>
                <w:color w:val="auto"/>
              </w:rPr>
              <w:t>10.1</w:t>
            </w:r>
          </w:p>
        </w:tc>
        <w:tc>
          <w:tcPr>
            <w:tcW w:w="10360" w:type="dxa"/>
            <w:vAlign w:val="bottom"/>
            <w:gridSpan w:val="45"/>
          </w:tcPr>
          <w:p>
            <w:pPr>
              <w:spacing w:after="0"/>
              <w:rPr>
                <w:rFonts w:ascii="Arial" w:cs="Arial" w:eastAsia="Arial" w:hAnsi="Arial"/>
                <w:sz w:val="15"/>
                <w:szCs w:val="15"/>
                <w:color w:val="0000FF"/>
              </w:rPr>
            </w:pPr>
            <w:hyperlink r:id="rId208">
              <w:r>
                <w:rPr>
                  <w:rFonts w:ascii="Arial" w:cs="Arial" w:eastAsia="Arial" w:hAnsi="Arial"/>
                  <w:sz w:val="15"/>
                  <w:szCs w:val="15"/>
                  <w:color w:val="0000FF"/>
                </w:rPr>
                <w:t>Form of Registration Rights Agreement by and among Compass Group Diversified Holdings LLC, Compass Diversified Trust and Certain</w:t>
              </w:r>
            </w:hyperlink>
          </w:p>
        </w:tc>
      </w:tr>
      <w:tr>
        <w:trPr>
          <w:trHeight w:val="129"/>
        </w:trPr>
        <w:tc>
          <w:tcPr>
            <w:tcW w:w="1160" w:type="dxa"/>
            <w:vAlign w:val="bottom"/>
          </w:tcPr>
          <w:p>
            <w:pPr>
              <w:spacing w:after="0"/>
              <w:rPr>
                <w:sz w:val="11"/>
                <w:szCs w:val="11"/>
                <w:color w:val="auto"/>
              </w:rPr>
            </w:pPr>
          </w:p>
        </w:tc>
        <w:tc>
          <w:tcPr>
            <w:tcW w:w="9620" w:type="dxa"/>
            <w:vAlign w:val="bottom"/>
            <w:tcBorders>
              <w:top w:val="single" w:sz="8" w:color="0000FF"/>
              <w:bottom w:val="single" w:sz="8" w:color="0000FF"/>
            </w:tcBorders>
            <w:gridSpan w:val="22"/>
          </w:tcPr>
          <w:p>
            <w:pPr>
              <w:spacing w:after="0" w:line="129" w:lineRule="exact"/>
              <w:rPr>
                <w:rFonts w:ascii="Arial" w:cs="Arial" w:eastAsia="Arial" w:hAnsi="Arial"/>
                <w:sz w:val="14"/>
                <w:szCs w:val="14"/>
                <w:color w:val="0000FF"/>
              </w:rPr>
            </w:pPr>
            <w:hyperlink r:id="rId208">
              <w:r>
                <w:rPr>
                  <w:rFonts w:ascii="Arial" w:cs="Arial" w:eastAsia="Arial" w:hAnsi="Arial"/>
                  <w:sz w:val="14"/>
                  <w:szCs w:val="14"/>
                  <w:color w:val="0000FF"/>
                </w:rPr>
                <w:t>Shareholders (incorporated by reference to Exhibit 10.3 of the Amendment No. 5 to the Form S-1 filed on May 5, 2006 (File No. 333-130326)).</w:t>
              </w:r>
            </w:hyperlink>
          </w:p>
        </w:tc>
        <w:tc>
          <w:tcPr>
            <w:tcW w:w="420" w:type="dxa"/>
            <w:vAlign w:val="bottom"/>
            <w:tcBorders>
              <w:top w:val="single" w:sz="8" w:color="0000FF"/>
            </w:tcBorders>
            <w:gridSpan w:val="7"/>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10.2</w:t>
            </w:r>
          </w:p>
        </w:tc>
        <w:tc>
          <w:tcPr>
            <w:tcW w:w="10360" w:type="dxa"/>
            <w:vAlign w:val="bottom"/>
            <w:gridSpan w:val="45"/>
          </w:tcPr>
          <w:p>
            <w:pPr>
              <w:spacing w:after="0"/>
              <w:rPr>
                <w:rFonts w:ascii="Arial" w:cs="Arial" w:eastAsia="Arial" w:hAnsi="Arial"/>
                <w:sz w:val="15"/>
                <w:szCs w:val="15"/>
                <w:color w:val="0000FF"/>
              </w:rPr>
            </w:pPr>
            <w:hyperlink r:id="rId173">
              <w:r>
                <w:rPr>
                  <w:rFonts w:ascii="Arial" w:cs="Arial" w:eastAsia="Arial" w:hAnsi="Arial"/>
                  <w:sz w:val="15"/>
                  <w:szCs w:val="15"/>
                  <w:color w:val="0000FF"/>
                </w:rPr>
                <w:t>Form of Supplemental Put Agreement by and between Compass Group Management LLC and Compass Group Diversified Holdings LLC</w:t>
              </w:r>
            </w:hyperlink>
          </w:p>
        </w:tc>
      </w:tr>
      <w:tr>
        <w:trPr>
          <w:trHeight w:val="128"/>
        </w:trPr>
        <w:tc>
          <w:tcPr>
            <w:tcW w:w="1160" w:type="dxa"/>
            <w:vAlign w:val="bottom"/>
          </w:tcPr>
          <w:p>
            <w:pPr>
              <w:spacing w:after="0"/>
              <w:rPr>
                <w:sz w:val="11"/>
                <w:szCs w:val="11"/>
                <w:color w:val="auto"/>
              </w:rPr>
            </w:pPr>
          </w:p>
        </w:tc>
        <w:tc>
          <w:tcPr>
            <w:tcW w:w="10240" w:type="dxa"/>
            <w:vAlign w:val="bottom"/>
            <w:tcBorders>
              <w:top w:val="single" w:sz="8" w:color="0000FF"/>
            </w:tcBorders>
            <w:gridSpan w:val="39"/>
          </w:tcPr>
          <w:p>
            <w:pPr>
              <w:spacing w:after="0" w:line="129" w:lineRule="exact"/>
              <w:rPr>
                <w:rFonts w:ascii="Arial" w:cs="Arial" w:eastAsia="Arial" w:hAnsi="Arial"/>
                <w:sz w:val="14"/>
                <w:szCs w:val="14"/>
                <w:color w:val="0000FF"/>
              </w:rPr>
            </w:pPr>
            <w:hyperlink r:id="rId173">
              <w:r>
                <w:rPr>
                  <w:rFonts w:ascii="Arial" w:cs="Arial" w:eastAsia="Arial" w:hAnsi="Arial"/>
                  <w:sz w:val="14"/>
                  <w:szCs w:val="14"/>
                  <w:color w:val="0000FF"/>
                </w:rPr>
                <w:t>(incorporated by reference to Exhibit 10.4 of the Amendment No. 4 to the Form S-1 filed on April 26, 2006 (File No. 333-130326)).</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10.3</w:t>
            </w:r>
          </w:p>
        </w:tc>
        <w:tc>
          <w:tcPr>
            <w:tcW w:w="10360" w:type="dxa"/>
            <w:vAlign w:val="bottom"/>
            <w:gridSpan w:val="45"/>
          </w:tcPr>
          <w:p>
            <w:pPr>
              <w:spacing w:after="0"/>
              <w:rPr>
                <w:rFonts w:ascii="Arial" w:cs="Arial" w:eastAsia="Arial" w:hAnsi="Arial"/>
                <w:sz w:val="15"/>
                <w:szCs w:val="15"/>
                <w:color w:val="0000FF"/>
              </w:rPr>
            </w:pPr>
            <w:hyperlink r:id="rId208">
              <w:r>
                <w:rPr>
                  <w:rFonts w:ascii="Arial" w:cs="Arial" w:eastAsia="Arial" w:hAnsi="Arial"/>
                  <w:sz w:val="15"/>
                  <w:szCs w:val="15"/>
                  <w:color w:val="0000FF"/>
                </w:rPr>
                <w:t>Form of Share Purchase Agreement by and between Compass Group Diversified Holdings LLC, Compass Diversified Trust and CGI Diversified</w:t>
              </w:r>
            </w:hyperlink>
          </w:p>
        </w:tc>
      </w:tr>
      <w:tr>
        <w:trPr>
          <w:trHeight w:val="128"/>
        </w:trPr>
        <w:tc>
          <w:tcPr>
            <w:tcW w:w="1160" w:type="dxa"/>
            <w:vAlign w:val="bottom"/>
          </w:tcPr>
          <w:p>
            <w:pPr>
              <w:spacing w:after="0"/>
              <w:rPr>
                <w:sz w:val="11"/>
                <w:szCs w:val="11"/>
                <w:color w:val="auto"/>
              </w:rPr>
            </w:pPr>
          </w:p>
        </w:tc>
        <w:tc>
          <w:tcPr>
            <w:tcW w:w="9580" w:type="dxa"/>
            <w:vAlign w:val="bottom"/>
            <w:tcBorders>
              <w:top w:val="single" w:sz="8" w:color="0000FF"/>
              <w:bottom w:val="single" w:sz="8" w:color="0000FF"/>
            </w:tcBorders>
            <w:gridSpan w:val="21"/>
          </w:tcPr>
          <w:p>
            <w:pPr>
              <w:spacing w:after="0" w:line="129" w:lineRule="exact"/>
              <w:rPr>
                <w:rFonts w:ascii="Arial" w:cs="Arial" w:eastAsia="Arial" w:hAnsi="Arial"/>
                <w:sz w:val="14"/>
                <w:szCs w:val="14"/>
                <w:color w:val="0000FF"/>
              </w:rPr>
            </w:pPr>
            <w:hyperlink r:id="rId208">
              <w:r>
                <w:rPr>
                  <w:rFonts w:ascii="Arial" w:cs="Arial" w:eastAsia="Arial" w:hAnsi="Arial"/>
                  <w:sz w:val="14"/>
                  <w:szCs w:val="14"/>
                  <w:color w:val="0000FF"/>
                </w:rPr>
                <w:t>Holdings, LP (incorporated by reference to Exhibit 10.6 of the Amendment No. 5 to the Form S-1 filed on May 5, 2006 (File No. 333-130326)).</w:t>
              </w:r>
            </w:hyperlink>
          </w:p>
        </w:tc>
        <w:tc>
          <w:tcPr>
            <w:tcW w:w="66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10.4</w:t>
            </w:r>
          </w:p>
        </w:tc>
        <w:tc>
          <w:tcPr>
            <w:tcW w:w="10360" w:type="dxa"/>
            <w:vAlign w:val="bottom"/>
            <w:gridSpan w:val="45"/>
          </w:tcPr>
          <w:p>
            <w:pPr>
              <w:spacing w:after="0"/>
              <w:rPr>
                <w:rFonts w:ascii="Arial" w:cs="Arial" w:eastAsia="Arial" w:hAnsi="Arial"/>
                <w:sz w:val="15"/>
                <w:szCs w:val="15"/>
                <w:color w:val="0000FF"/>
              </w:rPr>
            </w:pPr>
            <w:hyperlink r:id="rId208">
              <w:r>
                <w:rPr>
                  <w:rFonts w:ascii="Arial" w:cs="Arial" w:eastAsia="Arial" w:hAnsi="Arial"/>
                  <w:sz w:val="15"/>
                  <w:szCs w:val="15"/>
                  <w:color w:val="0000FF"/>
                </w:rPr>
                <w:t>Form of Share Purchase Agreement by and between Compass Group Diversified Holdings LLC, Compass Diversified Trust and Pharos I LLC</w:t>
              </w:r>
            </w:hyperlink>
          </w:p>
        </w:tc>
      </w:tr>
      <w:tr>
        <w:trPr>
          <w:trHeight w:val="129"/>
        </w:trPr>
        <w:tc>
          <w:tcPr>
            <w:tcW w:w="1160" w:type="dxa"/>
            <w:vAlign w:val="bottom"/>
          </w:tcPr>
          <w:p>
            <w:pPr>
              <w:spacing w:after="0"/>
              <w:rPr>
                <w:sz w:val="11"/>
                <w:szCs w:val="11"/>
                <w:color w:val="auto"/>
              </w:rPr>
            </w:pPr>
          </w:p>
        </w:tc>
        <w:tc>
          <w:tcPr>
            <w:tcW w:w="10200" w:type="dxa"/>
            <w:vAlign w:val="bottom"/>
            <w:tcBorders>
              <w:top w:val="single" w:sz="8" w:color="0000FF"/>
            </w:tcBorders>
            <w:gridSpan w:val="37"/>
          </w:tcPr>
          <w:p>
            <w:pPr>
              <w:spacing w:after="0" w:line="129" w:lineRule="exact"/>
              <w:rPr>
                <w:rFonts w:ascii="Arial" w:cs="Arial" w:eastAsia="Arial" w:hAnsi="Arial"/>
                <w:sz w:val="14"/>
                <w:szCs w:val="14"/>
                <w:color w:val="0000FF"/>
              </w:rPr>
            </w:pPr>
            <w:hyperlink r:id="rId208">
              <w:r>
                <w:rPr>
                  <w:rFonts w:ascii="Arial" w:cs="Arial" w:eastAsia="Arial" w:hAnsi="Arial"/>
                  <w:sz w:val="14"/>
                  <w:szCs w:val="14"/>
                  <w:color w:val="0000FF"/>
                </w:rPr>
                <w:t>(incorporated by reference to Exhibit 10.7 of the Amendment No. 5 to the Form S-1 filed on May 5, 2006 (File No. 333-130326)).</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10.5</w:t>
            </w:r>
          </w:p>
        </w:tc>
        <w:tc>
          <w:tcPr>
            <w:tcW w:w="10360" w:type="dxa"/>
            <w:vAlign w:val="bottom"/>
            <w:gridSpan w:val="45"/>
          </w:tcPr>
          <w:p>
            <w:pPr>
              <w:spacing w:after="0"/>
              <w:rPr>
                <w:rFonts w:ascii="Arial" w:cs="Arial" w:eastAsia="Arial" w:hAnsi="Arial"/>
                <w:sz w:val="15"/>
                <w:szCs w:val="15"/>
                <w:color w:val="0000FF"/>
              </w:rPr>
            </w:pPr>
            <w:hyperlink r:id="rId209">
              <w:r>
                <w:rPr>
                  <w:rFonts w:ascii="Arial" w:cs="Arial" w:eastAsia="Arial" w:hAnsi="Arial"/>
                  <w:sz w:val="15"/>
                  <w:szCs w:val="15"/>
                  <w:color w:val="0000FF"/>
                </w:rPr>
                <w:t>Registration Rights Agreement by and among Compass Group Diversified Holdings LLC, Compass Diversified Trust and CGI Diversified Holdings,</w:t>
              </w:r>
            </w:hyperlink>
          </w:p>
        </w:tc>
      </w:tr>
      <w:tr>
        <w:trPr>
          <w:trHeight w:val="128"/>
        </w:trPr>
        <w:tc>
          <w:tcPr>
            <w:tcW w:w="1160" w:type="dxa"/>
            <w:vAlign w:val="bottom"/>
          </w:tcPr>
          <w:p>
            <w:pPr>
              <w:spacing w:after="0"/>
              <w:rPr>
                <w:sz w:val="11"/>
                <w:szCs w:val="11"/>
                <w:color w:val="auto"/>
              </w:rPr>
            </w:pPr>
          </w:p>
        </w:tc>
        <w:tc>
          <w:tcPr>
            <w:tcW w:w="1000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209">
              <w:r>
                <w:rPr>
                  <w:rFonts w:ascii="Arial" w:cs="Arial" w:eastAsia="Arial" w:hAnsi="Arial"/>
                  <w:sz w:val="14"/>
                  <w:szCs w:val="14"/>
                  <w:color w:val="0000FF"/>
                </w:rPr>
                <w:t>LP, dated as of April 3, 2007 (incorporated by reference to Exhibit 10.3 of the Amendment No. 1 to the Form S-1 filed on April 20, 2007 (File No.</w:t>
              </w:r>
            </w:hyperlink>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29"/>
        </w:trPr>
        <w:tc>
          <w:tcPr>
            <w:tcW w:w="1160" w:type="dxa"/>
            <w:vAlign w:val="bottom"/>
          </w:tcPr>
          <w:p>
            <w:pPr>
              <w:spacing w:after="0"/>
              <w:rPr>
                <w:sz w:val="11"/>
                <w:szCs w:val="11"/>
                <w:color w:val="auto"/>
              </w:rPr>
            </w:pPr>
          </w:p>
        </w:tc>
        <w:tc>
          <w:tcPr>
            <w:tcW w:w="9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209">
              <w:r>
                <w:rPr>
                  <w:rFonts w:ascii="Arial" w:cs="Arial" w:eastAsia="Arial" w:hAnsi="Arial"/>
                  <w:sz w:val="14"/>
                  <w:szCs w:val="14"/>
                  <w:color w:val="0000FF"/>
                </w:rPr>
                <w:t>333-141856)).</w:t>
              </w:r>
            </w:hyperlink>
          </w:p>
        </w:tc>
        <w:tc>
          <w:tcPr>
            <w:tcW w:w="7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10.6</w:t>
            </w:r>
          </w:p>
        </w:tc>
        <w:tc>
          <w:tcPr>
            <w:tcW w:w="10360" w:type="dxa"/>
            <w:vAlign w:val="bottom"/>
            <w:gridSpan w:val="45"/>
          </w:tcPr>
          <w:p>
            <w:pPr>
              <w:spacing w:after="0"/>
              <w:rPr>
                <w:rFonts w:ascii="Arial" w:cs="Arial" w:eastAsia="Arial" w:hAnsi="Arial"/>
                <w:sz w:val="15"/>
                <w:szCs w:val="15"/>
                <w:color w:val="0000FF"/>
              </w:rPr>
            </w:pPr>
            <w:hyperlink r:id="rId209">
              <w:r>
                <w:rPr>
                  <w:rFonts w:ascii="Arial" w:cs="Arial" w:eastAsia="Arial" w:hAnsi="Arial"/>
                  <w:sz w:val="15"/>
                  <w:szCs w:val="15"/>
                  <w:color w:val="0000FF"/>
                </w:rPr>
                <w:t>Share Purchase Agreement by and between Compass Group Diversified Holdings LLC, Compass Diversified Trust and CGI Diversified Holdings,</w:t>
              </w:r>
            </w:hyperlink>
          </w:p>
        </w:tc>
      </w:tr>
      <w:tr>
        <w:trPr>
          <w:trHeight w:val="129"/>
        </w:trPr>
        <w:tc>
          <w:tcPr>
            <w:tcW w:w="1160" w:type="dxa"/>
            <w:vAlign w:val="bottom"/>
          </w:tcPr>
          <w:p>
            <w:pPr>
              <w:spacing w:after="0"/>
              <w:rPr>
                <w:sz w:val="11"/>
                <w:szCs w:val="11"/>
                <w:color w:val="auto"/>
              </w:rPr>
            </w:pPr>
          </w:p>
        </w:tc>
        <w:tc>
          <w:tcPr>
            <w:tcW w:w="10260" w:type="dxa"/>
            <w:vAlign w:val="bottom"/>
            <w:tcBorders>
              <w:top w:val="single" w:sz="8" w:color="0000FF"/>
              <w:bottom w:val="single" w:sz="8" w:color="0000FF"/>
            </w:tcBorders>
            <w:gridSpan w:val="40"/>
          </w:tcPr>
          <w:p>
            <w:pPr>
              <w:spacing w:after="0" w:line="129" w:lineRule="exact"/>
              <w:rPr>
                <w:rFonts w:ascii="Arial" w:cs="Arial" w:eastAsia="Arial" w:hAnsi="Arial"/>
                <w:sz w:val="14"/>
                <w:szCs w:val="14"/>
                <w:color w:val="0000FF"/>
              </w:rPr>
            </w:pPr>
            <w:hyperlink r:id="rId209">
              <w:r>
                <w:rPr>
                  <w:rFonts w:ascii="Arial" w:cs="Arial" w:eastAsia="Arial" w:hAnsi="Arial"/>
                  <w:sz w:val="14"/>
                  <w:szCs w:val="14"/>
                  <w:color w:val="0000FF"/>
                </w:rPr>
                <w:t>LP, dated as of April 3, 2007 (incorporated by reference to Exhibit 10.16 of the Amendment No. 1 to the Form S-1 filed on April 20, 2007 (File No.</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28"/>
        </w:trPr>
        <w:tc>
          <w:tcPr>
            <w:tcW w:w="1160" w:type="dxa"/>
            <w:vAlign w:val="bottom"/>
          </w:tcPr>
          <w:p>
            <w:pPr>
              <w:spacing w:after="0"/>
              <w:rPr>
                <w:sz w:val="11"/>
                <w:szCs w:val="11"/>
                <w:color w:val="auto"/>
              </w:rPr>
            </w:pPr>
          </w:p>
        </w:tc>
        <w:tc>
          <w:tcPr>
            <w:tcW w:w="960" w:type="dxa"/>
            <w:vAlign w:val="bottom"/>
            <w:tcBorders>
              <w:bottom w:val="single" w:sz="8" w:color="0000FF"/>
            </w:tcBorders>
            <w:gridSpan w:val="2"/>
          </w:tcPr>
          <w:p>
            <w:pPr>
              <w:spacing w:after="0" w:line="129" w:lineRule="exact"/>
              <w:rPr>
                <w:rFonts w:ascii="Arial" w:cs="Arial" w:eastAsia="Arial" w:hAnsi="Arial"/>
                <w:sz w:val="14"/>
                <w:szCs w:val="14"/>
                <w:color w:val="0000FF"/>
              </w:rPr>
            </w:pPr>
            <w:hyperlink r:id="rId209">
              <w:r>
                <w:rPr>
                  <w:rFonts w:ascii="Arial" w:cs="Arial" w:eastAsia="Arial" w:hAnsi="Arial"/>
                  <w:sz w:val="14"/>
                  <w:szCs w:val="14"/>
                  <w:color w:val="0000FF"/>
                </w:rPr>
                <w:t>333-141856)).</w:t>
              </w:r>
            </w:hyperlink>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10.7</w:t>
            </w:r>
          </w:p>
        </w:tc>
        <w:tc>
          <w:tcPr>
            <w:tcW w:w="10360" w:type="dxa"/>
            <w:vAlign w:val="bottom"/>
            <w:gridSpan w:val="45"/>
          </w:tcPr>
          <w:p>
            <w:pPr>
              <w:spacing w:after="0"/>
              <w:rPr>
                <w:rFonts w:ascii="Arial" w:cs="Arial" w:eastAsia="Arial" w:hAnsi="Arial"/>
                <w:sz w:val="15"/>
                <w:szCs w:val="15"/>
                <w:color w:val="0000FF"/>
              </w:rPr>
            </w:pPr>
            <w:hyperlink r:id="rId210">
              <w:r>
                <w:rPr>
                  <w:rFonts w:ascii="Arial" w:cs="Arial" w:eastAsia="Arial" w:hAnsi="Arial"/>
                  <w:sz w:val="15"/>
                  <w:szCs w:val="15"/>
                  <w:color w:val="0000FF"/>
                </w:rPr>
                <w:t>Subscription Agreement dated August 24, 2011, by and among Compass Group Diversified Holdings LLC, Compass Diversified Holdings and CGI</w:t>
              </w:r>
            </w:hyperlink>
          </w:p>
        </w:tc>
      </w:tr>
      <w:tr>
        <w:trPr>
          <w:trHeight w:val="129"/>
        </w:trPr>
        <w:tc>
          <w:tcPr>
            <w:tcW w:w="1160" w:type="dxa"/>
            <w:vAlign w:val="bottom"/>
          </w:tcPr>
          <w:p>
            <w:pPr>
              <w:spacing w:after="0"/>
              <w:rPr>
                <w:sz w:val="11"/>
                <w:szCs w:val="11"/>
                <w:color w:val="auto"/>
              </w:rPr>
            </w:pPr>
          </w:p>
        </w:tc>
        <w:tc>
          <w:tcPr>
            <w:tcW w:w="1012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210">
              <w:r>
                <w:rPr>
                  <w:rFonts w:ascii="Arial" w:cs="Arial" w:eastAsia="Arial" w:hAnsi="Arial"/>
                  <w:sz w:val="14"/>
                  <w:szCs w:val="14"/>
                  <w:color w:val="0000FF"/>
                </w:rPr>
                <w:t>Magyar Holdings, LLC (incorporated by reference to Exhibit 10.1 of the Form 8-K filed on August 25, 2011(File No. 001-34927)).</w:t>
              </w:r>
            </w:hyperlink>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10.8</w:t>
            </w:r>
          </w:p>
        </w:tc>
        <w:tc>
          <w:tcPr>
            <w:tcW w:w="10360" w:type="dxa"/>
            <w:vAlign w:val="bottom"/>
            <w:gridSpan w:val="45"/>
          </w:tcPr>
          <w:p>
            <w:pPr>
              <w:spacing w:after="0"/>
              <w:rPr>
                <w:rFonts w:ascii="Arial" w:cs="Arial" w:eastAsia="Arial" w:hAnsi="Arial"/>
                <w:sz w:val="15"/>
                <w:szCs w:val="15"/>
                <w:color w:val="0000FF"/>
              </w:rPr>
            </w:pPr>
            <w:hyperlink r:id="rId210">
              <w:r>
                <w:rPr>
                  <w:rFonts w:ascii="Arial" w:cs="Arial" w:eastAsia="Arial" w:hAnsi="Arial"/>
                  <w:sz w:val="15"/>
                  <w:szCs w:val="15"/>
                  <w:color w:val="0000FF"/>
                </w:rPr>
                <w:t>Registration Rights Agreement dated August 24, 2011, by and among Compass Group Diversified Holdings LLC, Compass Diversified Holdings</w:t>
              </w:r>
            </w:hyperlink>
          </w:p>
        </w:tc>
      </w:tr>
      <w:tr>
        <w:trPr>
          <w:trHeight w:val="128"/>
        </w:trPr>
        <w:tc>
          <w:tcPr>
            <w:tcW w:w="1160" w:type="dxa"/>
            <w:vAlign w:val="bottom"/>
          </w:tcPr>
          <w:p>
            <w:pPr>
              <w:spacing w:after="0"/>
              <w:rPr>
                <w:sz w:val="11"/>
                <w:szCs w:val="11"/>
                <w:color w:val="auto"/>
              </w:rPr>
            </w:pPr>
          </w:p>
        </w:tc>
        <w:tc>
          <w:tcPr>
            <w:tcW w:w="1018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210">
              <w:r>
                <w:rPr>
                  <w:rFonts w:ascii="Arial" w:cs="Arial" w:eastAsia="Arial" w:hAnsi="Arial"/>
                  <w:sz w:val="14"/>
                  <w:szCs w:val="14"/>
                  <w:color w:val="0000FF"/>
                </w:rPr>
                <w:t>and CGI Magyar Holdings, LLC (incorporated by reference to Exhibit 10.2 of the Form 8-K filed on August 25, 2011(File No. 001-34927)).</w:t>
              </w:r>
            </w:hyperlink>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10.9</w:t>
            </w:r>
          </w:p>
        </w:tc>
        <w:tc>
          <w:tcPr>
            <w:tcW w:w="10360" w:type="dxa"/>
            <w:vAlign w:val="bottom"/>
            <w:gridSpan w:val="45"/>
          </w:tcPr>
          <w:p>
            <w:pPr>
              <w:spacing w:after="0"/>
              <w:rPr>
                <w:rFonts w:ascii="Arial" w:cs="Arial" w:eastAsia="Arial" w:hAnsi="Arial"/>
                <w:sz w:val="15"/>
                <w:szCs w:val="15"/>
                <w:color w:val="0000FF"/>
              </w:rPr>
            </w:pPr>
            <w:hyperlink r:id="rId206">
              <w:r>
                <w:rPr>
                  <w:rFonts w:ascii="Arial" w:cs="Arial" w:eastAsia="Arial" w:hAnsi="Arial"/>
                  <w:sz w:val="15"/>
                  <w:szCs w:val="15"/>
                  <w:color w:val="0000FF"/>
                </w:rPr>
                <w:t>Seventh Amended and Restated Management Service Agreement by and between Compass Group Diversified Holdings LLC, and Compass Group</w:t>
              </w:r>
            </w:hyperlink>
          </w:p>
        </w:tc>
      </w:tr>
      <w:tr>
        <w:trPr>
          <w:trHeight w:val="128"/>
        </w:trPr>
        <w:tc>
          <w:tcPr>
            <w:tcW w:w="1160" w:type="dxa"/>
            <w:vAlign w:val="bottom"/>
          </w:tcPr>
          <w:p>
            <w:pPr>
              <w:spacing w:after="0"/>
              <w:rPr>
                <w:sz w:val="11"/>
                <w:szCs w:val="11"/>
                <w:color w:val="auto"/>
              </w:rPr>
            </w:pPr>
          </w:p>
        </w:tc>
        <w:tc>
          <w:tcPr>
            <w:tcW w:w="10300" w:type="dxa"/>
            <w:vAlign w:val="bottom"/>
            <w:tcBorders>
              <w:top w:val="single" w:sz="8" w:color="0000FF"/>
            </w:tcBorders>
            <w:gridSpan w:val="42"/>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Management LLC, dated as of January 15, 2025 and originally effective as of May 16, 2006 (incorporated by reference to Exhibit 10.1 of the Form</w:t>
              </w:r>
            </w:hyperlink>
          </w:p>
        </w:tc>
        <w:tc>
          <w:tcPr>
            <w:tcW w:w="60" w:type="dxa"/>
            <w:vAlign w:val="bottom"/>
            <w:gridSpan w:val="3"/>
          </w:tcPr>
          <w:p>
            <w:pPr>
              <w:spacing w:after="0"/>
              <w:rPr>
                <w:sz w:val="11"/>
                <w:szCs w:val="11"/>
                <w:color w:val="auto"/>
              </w:rPr>
            </w:pPr>
          </w:p>
        </w:tc>
      </w:tr>
      <w:tr>
        <w:trPr>
          <w:trHeight w:val="129"/>
        </w:trPr>
        <w:tc>
          <w:tcPr>
            <w:tcW w:w="1160" w:type="dxa"/>
            <w:vAlign w:val="bottom"/>
          </w:tcPr>
          <w:p>
            <w:pPr>
              <w:spacing w:after="0"/>
              <w:rPr>
                <w:sz w:val="11"/>
                <w:szCs w:val="11"/>
                <w:color w:val="auto"/>
              </w:rPr>
            </w:pPr>
          </w:p>
        </w:tc>
        <w:tc>
          <w:tcPr>
            <w:tcW w:w="1008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8-K filed on January 15, 2025 (File No. 001-34927))</w:t>
              </w:r>
            </w:hyperlink>
          </w:p>
        </w:tc>
        <w:tc>
          <w:tcPr>
            <w:tcW w:w="280" w:type="dxa"/>
            <w:vAlign w:val="bottom"/>
            <w:gridSpan w:val="14"/>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gridSpan w:val="21"/>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10.10†</w:t>
            </w:r>
          </w:p>
        </w:tc>
        <w:tc>
          <w:tcPr>
            <w:tcW w:w="10360" w:type="dxa"/>
            <w:vAlign w:val="bottom"/>
            <w:gridSpan w:val="45"/>
          </w:tcPr>
          <w:p>
            <w:pPr>
              <w:spacing w:after="0"/>
              <w:rPr>
                <w:rFonts w:ascii="Arial" w:cs="Arial" w:eastAsia="Arial" w:hAnsi="Arial"/>
                <w:sz w:val="15"/>
                <w:szCs w:val="15"/>
                <w:color w:val="0000FF"/>
              </w:rPr>
            </w:pPr>
            <w:hyperlink r:id="rId211">
              <w:r>
                <w:rPr>
                  <w:rFonts w:ascii="Arial" w:cs="Arial" w:eastAsia="Arial" w:hAnsi="Arial"/>
                  <w:sz w:val="15"/>
                  <w:szCs w:val="15"/>
                  <w:color w:val="0000FF"/>
                </w:rPr>
                <w:t>Employment Agreement dated July 11, 2013, between Compass Group Management LLC and Ryan J. Faulkingham (incorporated by reference to</w:t>
              </w:r>
            </w:hyperlink>
          </w:p>
        </w:tc>
      </w:tr>
      <w:tr>
        <w:trPr>
          <w:trHeight w:val="128"/>
        </w:trPr>
        <w:tc>
          <w:tcPr>
            <w:tcW w:w="1160" w:type="dxa"/>
            <w:vAlign w:val="bottom"/>
          </w:tcPr>
          <w:p>
            <w:pPr>
              <w:spacing w:after="0"/>
              <w:rPr>
                <w:sz w:val="11"/>
                <w:szCs w:val="11"/>
                <w:color w:val="auto"/>
              </w:rPr>
            </w:pPr>
          </w:p>
        </w:tc>
        <w:tc>
          <w:tcPr>
            <w:tcW w:w="1016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211">
              <w:r>
                <w:rPr>
                  <w:rFonts w:ascii="Arial" w:cs="Arial" w:eastAsia="Arial" w:hAnsi="Arial"/>
                  <w:sz w:val="14"/>
                  <w:szCs w:val="14"/>
                  <w:color w:val="0000FF"/>
                </w:rPr>
                <w:t>Exhibit 10.1 of the Form 8-K filed on July 11, 2013 (File No. 001-34927)).</w:t>
              </w:r>
            </w:hyperlink>
          </w:p>
        </w:tc>
        <w:tc>
          <w:tcPr>
            <w:tcW w:w="200" w:type="dxa"/>
            <w:vAlign w:val="bottom"/>
            <w:gridSpan w:val="10"/>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4920" w:type="dxa"/>
            <w:vAlign w:val="bottom"/>
            <w:gridSpan w:val="9"/>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gridSpan w:val="21"/>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10.11†</w:t>
            </w:r>
          </w:p>
        </w:tc>
        <w:tc>
          <w:tcPr>
            <w:tcW w:w="10360" w:type="dxa"/>
            <w:vAlign w:val="bottom"/>
            <w:gridSpan w:val="45"/>
          </w:tcPr>
          <w:p>
            <w:pPr>
              <w:spacing w:after="0"/>
              <w:rPr>
                <w:rFonts w:ascii="Arial" w:cs="Arial" w:eastAsia="Arial" w:hAnsi="Arial"/>
                <w:sz w:val="15"/>
                <w:szCs w:val="15"/>
                <w:color w:val="0000FF"/>
              </w:rPr>
            </w:pPr>
            <w:hyperlink r:id="rId212">
              <w:r>
                <w:rPr>
                  <w:rFonts w:ascii="Arial" w:cs="Arial" w:eastAsia="Arial" w:hAnsi="Arial"/>
                  <w:sz w:val="15"/>
                  <w:szCs w:val="15"/>
                  <w:color w:val="0000FF"/>
                </w:rPr>
                <w:t>Separation Agreement and General Release, dated September 12, 2024, between Compass Group Management LLC and Ryan Faulkingham</w:t>
              </w:r>
            </w:hyperlink>
          </w:p>
        </w:tc>
      </w:tr>
      <w:tr>
        <w:trPr>
          <w:trHeight w:val="128"/>
        </w:trPr>
        <w:tc>
          <w:tcPr>
            <w:tcW w:w="1160" w:type="dxa"/>
            <w:vAlign w:val="bottom"/>
          </w:tcPr>
          <w:p>
            <w:pPr>
              <w:spacing w:after="0"/>
              <w:rPr>
                <w:sz w:val="11"/>
                <w:szCs w:val="11"/>
                <w:color w:val="auto"/>
              </w:rPr>
            </w:pPr>
          </w:p>
        </w:tc>
        <w:tc>
          <w:tcPr>
            <w:tcW w:w="7420" w:type="dxa"/>
            <w:vAlign w:val="bottom"/>
            <w:tcBorders>
              <w:top w:val="single" w:sz="8" w:color="0000FF"/>
              <w:bottom w:val="single" w:sz="8" w:color="0000FF"/>
            </w:tcBorders>
            <w:gridSpan w:val="17"/>
          </w:tcPr>
          <w:p>
            <w:pPr>
              <w:spacing w:after="0" w:line="129" w:lineRule="exact"/>
              <w:rPr>
                <w:rFonts w:ascii="Arial" w:cs="Arial" w:eastAsia="Arial" w:hAnsi="Arial"/>
                <w:sz w:val="14"/>
                <w:szCs w:val="14"/>
                <w:color w:val="0000FF"/>
              </w:rPr>
            </w:pPr>
            <w:hyperlink r:id="rId212">
              <w:r>
                <w:rPr>
                  <w:rFonts w:ascii="Arial" w:cs="Arial" w:eastAsia="Arial" w:hAnsi="Arial"/>
                  <w:sz w:val="14"/>
                  <w:szCs w:val="14"/>
                  <w:color w:val="0000FF"/>
                </w:rPr>
                <w:t>(incorporated by reference to Exhibit 10.1 of the Form 8-K filed on September 17, 2024 (File No. 001-34927)).</w:t>
              </w:r>
            </w:hyperlink>
          </w:p>
        </w:tc>
        <w:tc>
          <w:tcPr>
            <w:tcW w:w="2200" w:type="dxa"/>
            <w:vAlign w:val="bottom"/>
            <w:tcBorders>
              <w:top w:val="single" w:sz="8" w:color="0000FF"/>
            </w:tcBorders>
            <w:gridSpan w:val="5"/>
          </w:tcPr>
          <w:p>
            <w:pPr>
              <w:spacing w:after="0"/>
              <w:rPr>
                <w:sz w:val="11"/>
                <w:szCs w:val="11"/>
                <w:color w:val="auto"/>
              </w:rPr>
            </w:pPr>
          </w:p>
        </w:tc>
        <w:tc>
          <w:tcPr>
            <w:tcW w:w="80" w:type="dxa"/>
            <w:vAlign w:val="bottom"/>
            <w:gridSpan w:val="2"/>
          </w:tcPr>
          <w:p>
            <w:pPr>
              <w:spacing w:after="0"/>
              <w:rPr>
                <w:sz w:val="11"/>
                <w:szCs w:val="11"/>
                <w:color w:val="auto"/>
              </w:rPr>
            </w:pPr>
          </w:p>
        </w:tc>
        <w:tc>
          <w:tcPr>
            <w:tcW w:w="660" w:type="dxa"/>
            <w:vAlign w:val="bottom"/>
            <w:gridSpan w:val="21"/>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10.12†</w:t>
            </w:r>
          </w:p>
        </w:tc>
        <w:tc>
          <w:tcPr>
            <w:tcW w:w="10360" w:type="dxa"/>
            <w:vAlign w:val="bottom"/>
            <w:gridSpan w:val="45"/>
          </w:tcPr>
          <w:p>
            <w:pPr>
              <w:spacing w:after="0"/>
              <w:rPr>
                <w:rFonts w:ascii="Arial" w:cs="Arial" w:eastAsia="Arial" w:hAnsi="Arial"/>
                <w:sz w:val="15"/>
                <w:szCs w:val="15"/>
                <w:color w:val="0000FF"/>
              </w:rPr>
            </w:pPr>
            <w:hyperlink r:id="rId213">
              <w:r>
                <w:rPr>
                  <w:rFonts w:ascii="Arial" w:cs="Arial" w:eastAsia="Arial" w:hAnsi="Arial"/>
                  <w:sz w:val="15"/>
                  <w:szCs w:val="15"/>
                  <w:color w:val="0000FF"/>
                </w:rPr>
                <w:t>Employment Agreement dated August 31, 2024 between Compass Group Management LLC and Stephen Keller (incorporated by reference to</w:t>
              </w:r>
            </w:hyperlink>
          </w:p>
        </w:tc>
      </w:tr>
      <w:tr>
        <w:trPr>
          <w:trHeight w:val="129"/>
        </w:trPr>
        <w:tc>
          <w:tcPr>
            <w:tcW w:w="1160" w:type="dxa"/>
            <w:vAlign w:val="bottom"/>
          </w:tcPr>
          <w:p>
            <w:pPr>
              <w:spacing w:after="0"/>
              <w:rPr>
                <w:sz w:val="11"/>
                <w:szCs w:val="11"/>
                <w:color w:val="auto"/>
              </w:rPr>
            </w:pPr>
          </w:p>
        </w:tc>
        <w:tc>
          <w:tcPr>
            <w:tcW w:w="962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213">
              <w:r>
                <w:rPr>
                  <w:rFonts w:ascii="Arial" w:cs="Arial" w:eastAsia="Arial" w:hAnsi="Arial"/>
                  <w:sz w:val="14"/>
                  <w:szCs w:val="14"/>
                  <w:color w:val="0000FF"/>
                </w:rPr>
                <w:t>Exhibit 10.1 of the Form 8-K filed on August 26, 2024 (File No. 001-34927)).</w:t>
              </w:r>
            </w:hyperlink>
          </w:p>
        </w:tc>
        <w:tc>
          <w:tcPr>
            <w:tcW w:w="80" w:type="dxa"/>
            <w:vAlign w:val="bottom"/>
            <w:gridSpan w:val="2"/>
          </w:tcPr>
          <w:p>
            <w:pPr>
              <w:spacing w:after="0"/>
              <w:rPr>
                <w:sz w:val="11"/>
                <w:szCs w:val="11"/>
                <w:color w:val="auto"/>
              </w:rPr>
            </w:pPr>
          </w:p>
        </w:tc>
        <w:tc>
          <w:tcPr>
            <w:tcW w:w="660" w:type="dxa"/>
            <w:vAlign w:val="bottom"/>
            <w:gridSpan w:val="21"/>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5140" w:type="dxa"/>
            <w:vAlign w:val="bottom"/>
            <w:gridSpan w:val="11"/>
            <w:shd w:val="clear" w:color="auto" w:fill="0000FF"/>
          </w:tcPr>
          <w:p>
            <w:pPr>
              <w:spacing w:after="0" w:line="20" w:lineRule="exact"/>
              <w:rPr>
                <w:sz w:val="1"/>
                <w:szCs w:val="1"/>
                <w:color w:val="auto"/>
              </w:rPr>
            </w:pPr>
          </w:p>
        </w:tc>
        <w:tc>
          <w:tcPr>
            <w:tcW w:w="4560" w:type="dxa"/>
            <w:vAlign w:val="bottom"/>
            <w:gridSpan w:val="13"/>
          </w:tcPr>
          <w:p>
            <w:pPr>
              <w:spacing w:after="0" w:line="20" w:lineRule="exact"/>
              <w:rPr>
                <w:sz w:val="1"/>
                <w:szCs w:val="1"/>
                <w:color w:val="auto"/>
              </w:rPr>
            </w:pPr>
          </w:p>
        </w:tc>
        <w:tc>
          <w:tcPr>
            <w:tcW w:w="660" w:type="dxa"/>
            <w:vAlign w:val="bottom"/>
            <w:gridSpan w:val="21"/>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10.13†*</w:t>
            </w:r>
          </w:p>
        </w:tc>
        <w:tc>
          <w:tcPr>
            <w:tcW w:w="9700" w:type="dxa"/>
            <w:vAlign w:val="bottom"/>
            <w:tcBorders>
              <w:bottom w:val="single" w:sz="8" w:color="0000FF"/>
            </w:tcBorders>
            <w:gridSpan w:val="24"/>
          </w:tcPr>
          <w:p>
            <w:pPr>
              <w:spacing w:after="0"/>
              <w:rPr>
                <w:sz w:val="20"/>
                <w:szCs w:val="20"/>
                <w:color w:val="auto"/>
              </w:rPr>
            </w:pPr>
            <w:r>
              <w:rPr>
                <w:rFonts w:ascii="Arial" w:cs="Arial" w:eastAsia="Arial" w:hAnsi="Arial"/>
                <w:sz w:val="15"/>
                <w:szCs w:val="15"/>
                <w:color w:val="0000FF"/>
              </w:rPr>
              <w:t>First Amended and Restated Employment Agreement dated January 13, 2025 between Compass Group Management LLC and Stephen Keller.</w:t>
            </w:r>
          </w:p>
        </w:tc>
        <w:tc>
          <w:tcPr>
            <w:tcW w:w="660" w:type="dxa"/>
            <w:vAlign w:val="bottom"/>
            <w:gridSpan w:val="21"/>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141" w:right="37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72"/>
        </w:trPr>
        <w:tc>
          <w:tcPr>
            <w:tcW w:w="1160" w:type="dxa"/>
            <w:vAlign w:val="bottom"/>
          </w:tcPr>
          <w:p>
            <w:pPr>
              <w:spacing w:after="0"/>
              <w:rPr>
                <w:sz w:val="20"/>
                <w:szCs w:val="20"/>
                <w:color w:val="auto"/>
              </w:rPr>
            </w:pPr>
            <w:r>
              <w:rPr>
                <w:rFonts w:ascii="Arial" w:cs="Arial" w:eastAsia="Arial" w:hAnsi="Arial"/>
                <w:sz w:val="15"/>
                <w:szCs w:val="15"/>
                <w:color w:val="auto"/>
              </w:rPr>
              <w:t>10.14</w:t>
            </w:r>
          </w:p>
        </w:tc>
        <w:tc>
          <w:tcPr>
            <w:tcW w:w="10100" w:type="dxa"/>
            <w:vAlign w:val="bottom"/>
            <w:gridSpan w:val="49"/>
          </w:tcPr>
          <w:p>
            <w:pPr>
              <w:spacing w:after="0"/>
              <w:rPr>
                <w:rFonts w:ascii="Arial" w:cs="Arial" w:eastAsia="Arial" w:hAnsi="Arial"/>
                <w:sz w:val="15"/>
                <w:szCs w:val="15"/>
                <w:color w:val="0000FF"/>
              </w:rPr>
            </w:pPr>
            <w:hyperlink r:id="rId215">
              <w:r>
                <w:rPr>
                  <w:rFonts w:ascii="Arial" w:cs="Arial" w:eastAsia="Arial" w:hAnsi="Arial"/>
                  <w:sz w:val="15"/>
                  <w:szCs w:val="15"/>
                  <w:color w:val="0000FF"/>
                </w:rPr>
                <w:t>Third Amended and Restated Credit Agreement among Compass Group Diversified Holdings LLC, the financial institutions party thereto and Bank</w:t>
              </w:r>
            </w:hyperlink>
          </w:p>
        </w:tc>
      </w:tr>
      <w:tr>
        <w:trPr>
          <w:trHeight w:val="129"/>
        </w:trPr>
        <w:tc>
          <w:tcPr>
            <w:tcW w:w="1160" w:type="dxa"/>
            <w:vAlign w:val="bottom"/>
          </w:tcPr>
          <w:p>
            <w:pPr>
              <w:spacing w:after="0"/>
              <w:rPr>
                <w:sz w:val="11"/>
                <w:szCs w:val="11"/>
                <w:color w:val="auto"/>
              </w:rPr>
            </w:pPr>
          </w:p>
        </w:tc>
        <w:tc>
          <w:tcPr>
            <w:tcW w:w="9860" w:type="dxa"/>
            <w:vAlign w:val="bottom"/>
            <w:tcBorders>
              <w:top w:val="single" w:sz="8" w:color="0000FF"/>
              <w:bottom w:val="single" w:sz="8" w:color="0000FF"/>
            </w:tcBorders>
            <w:gridSpan w:val="37"/>
          </w:tcPr>
          <w:p>
            <w:pPr>
              <w:spacing w:after="0" w:line="129" w:lineRule="exact"/>
              <w:rPr>
                <w:rFonts w:ascii="Arial" w:cs="Arial" w:eastAsia="Arial" w:hAnsi="Arial"/>
                <w:sz w:val="14"/>
                <w:szCs w:val="14"/>
                <w:color w:val="0000FF"/>
              </w:rPr>
            </w:pPr>
            <w:hyperlink r:id="rId215">
              <w:r>
                <w:rPr>
                  <w:rFonts w:ascii="Arial" w:cs="Arial" w:eastAsia="Arial" w:hAnsi="Arial"/>
                  <w:sz w:val="14"/>
                  <w:szCs w:val="14"/>
                  <w:color w:val="0000FF"/>
                </w:rPr>
                <w:t>of America, N.A., dated as of July 12, 2022 (incorporated by reference to Exhibit 10.1 of the Form 8-K filed on July 13, 2022 (File No. 001-34927).</w:t>
              </w:r>
            </w:hyperlink>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10.15</w:t>
            </w:r>
          </w:p>
        </w:tc>
        <w:tc>
          <w:tcPr>
            <w:tcW w:w="10100" w:type="dxa"/>
            <w:vAlign w:val="bottom"/>
            <w:gridSpan w:val="49"/>
          </w:tcPr>
          <w:p>
            <w:pPr>
              <w:spacing w:after="0"/>
              <w:rPr>
                <w:rFonts w:ascii="Arial" w:cs="Arial" w:eastAsia="Arial" w:hAnsi="Arial"/>
                <w:sz w:val="15"/>
                <w:szCs w:val="15"/>
                <w:color w:val="0000FF"/>
              </w:rPr>
            </w:pPr>
            <w:hyperlink r:id="rId216">
              <w:r>
                <w:rPr>
                  <w:rFonts w:ascii="Arial" w:cs="Arial" w:eastAsia="Arial" w:hAnsi="Arial"/>
                  <w:sz w:val="15"/>
                  <w:szCs w:val="15"/>
                  <w:color w:val="0000FF"/>
                </w:rPr>
                <w:t>First Incremental Facility Amendment, dated January 9, 2025, by and among Compass Diversified Holdings LLC, Bank of America, N.A., and the</w:t>
              </w:r>
            </w:hyperlink>
          </w:p>
        </w:tc>
      </w:tr>
      <w:tr>
        <w:trPr>
          <w:trHeight w:val="129"/>
        </w:trPr>
        <w:tc>
          <w:tcPr>
            <w:tcW w:w="1160" w:type="dxa"/>
            <w:vAlign w:val="bottom"/>
          </w:tcPr>
          <w:p>
            <w:pPr>
              <w:spacing w:after="0"/>
              <w:rPr>
                <w:sz w:val="11"/>
                <w:szCs w:val="11"/>
                <w:color w:val="auto"/>
              </w:rPr>
            </w:pPr>
          </w:p>
        </w:tc>
        <w:tc>
          <w:tcPr>
            <w:tcW w:w="8620" w:type="dxa"/>
            <w:vAlign w:val="bottom"/>
            <w:tcBorders>
              <w:top w:val="single" w:sz="8" w:color="0000FF"/>
              <w:bottom w:val="single" w:sz="8" w:color="0000FF"/>
            </w:tcBorders>
            <w:gridSpan w:val="22"/>
          </w:tcPr>
          <w:p>
            <w:pPr>
              <w:spacing w:after="0" w:line="129" w:lineRule="exact"/>
              <w:rPr>
                <w:rFonts w:ascii="Arial" w:cs="Arial" w:eastAsia="Arial" w:hAnsi="Arial"/>
                <w:sz w:val="14"/>
                <w:szCs w:val="14"/>
                <w:color w:val="0000FF"/>
              </w:rPr>
            </w:pPr>
            <w:hyperlink r:id="rId216">
              <w:r>
                <w:rPr>
                  <w:rFonts w:ascii="Arial" w:cs="Arial" w:eastAsia="Arial" w:hAnsi="Arial"/>
                  <w:sz w:val="14"/>
                  <w:szCs w:val="14"/>
                  <w:color w:val="0000FF"/>
                </w:rPr>
                <w:t>lenders party thereto (incorporated by reference to Exhibit 10.1 of the Form 8-K filed on January 10, 2025 (File No. 001-34927).</w:t>
              </w:r>
            </w:hyperlink>
          </w:p>
        </w:tc>
        <w:tc>
          <w:tcPr>
            <w:tcW w:w="118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10.16</w:t>
            </w:r>
          </w:p>
        </w:tc>
        <w:tc>
          <w:tcPr>
            <w:tcW w:w="10100" w:type="dxa"/>
            <w:vAlign w:val="bottom"/>
            <w:gridSpan w:val="49"/>
          </w:tcPr>
          <w:p>
            <w:pPr>
              <w:spacing w:after="0"/>
              <w:rPr>
                <w:rFonts w:ascii="Arial" w:cs="Arial" w:eastAsia="Arial" w:hAnsi="Arial"/>
                <w:sz w:val="15"/>
                <w:szCs w:val="15"/>
                <w:color w:val="0000FF"/>
              </w:rPr>
            </w:pPr>
            <w:hyperlink r:id="rId217">
              <w:r>
                <w:rPr>
                  <w:rFonts w:ascii="Arial" w:cs="Arial" w:eastAsia="Arial" w:hAnsi="Arial"/>
                  <w:sz w:val="15"/>
                  <w:szCs w:val="15"/>
                  <w:color w:val="0000FF"/>
                </w:rPr>
                <w:t>Subscription Agreement, dated December 15, 2023, by and among Compass Group Diversified Holdings LLC, Compass Diversified Holdings and</w:t>
              </w:r>
            </w:hyperlink>
          </w:p>
        </w:tc>
      </w:tr>
      <w:tr>
        <w:trPr>
          <w:trHeight w:val="129"/>
        </w:trPr>
        <w:tc>
          <w:tcPr>
            <w:tcW w:w="1160" w:type="dxa"/>
            <w:vAlign w:val="bottom"/>
          </w:tcPr>
          <w:p>
            <w:pPr>
              <w:spacing w:after="0"/>
              <w:rPr>
                <w:sz w:val="11"/>
                <w:szCs w:val="11"/>
                <w:color w:val="auto"/>
              </w:rPr>
            </w:pPr>
          </w:p>
        </w:tc>
        <w:tc>
          <w:tcPr>
            <w:tcW w:w="984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217">
              <w:r>
                <w:rPr>
                  <w:rFonts w:ascii="Arial" w:cs="Arial" w:eastAsia="Arial" w:hAnsi="Arial"/>
                  <w:sz w:val="14"/>
                  <w:szCs w:val="14"/>
                  <w:color w:val="0000FF"/>
                </w:rPr>
                <w:t>Allspring Special Small Cap Value Fund (incorporated by reference to Exhibit 10.1 of the Form 8-K filed on December 21, 2023 (File No. 001-</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1160" w:type="dxa"/>
            <w:vAlign w:val="bottom"/>
          </w:tcPr>
          <w:p>
            <w:pPr>
              <w:spacing w:after="0"/>
              <w:rPr>
                <w:sz w:val="11"/>
                <w:szCs w:val="11"/>
                <w:color w:val="auto"/>
              </w:rPr>
            </w:pPr>
          </w:p>
        </w:tc>
        <w:tc>
          <w:tcPr>
            <w:tcW w:w="5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rPr>
            </w:pPr>
            <w:hyperlink r:id="rId217">
              <w:r>
                <w:rPr>
                  <w:rFonts w:ascii="Arial" w:cs="Arial" w:eastAsia="Arial" w:hAnsi="Arial"/>
                  <w:sz w:val="14"/>
                  <w:szCs w:val="14"/>
                  <w:color w:val="0000FF"/>
                </w:rPr>
                <w:t>34927).</w:t>
              </w:r>
            </w:hyperlink>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19.1*</w:t>
            </w:r>
          </w:p>
        </w:tc>
        <w:tc>
          <w:tcPr>
            <w:tcW w:w="10100" w:type="dxa"/>
            <w:vAlign w:val="bottom"/>
            <w:gridSpan w:val="49"/>
          </w:tcPr>
          <w:p>
            <w:pPr>
              <w:spacing w:after="0"/>
              <w:rPr>
                <w:sz w:val="20"/>
                <w:szCs w:val="20"/>
                <w:color w:val="auto"/>
              </w:rPr>
            </w:pPr>
            <w:r>
              <w:rPr>
                <w:rFonts w:ascii="Arial" w:cs="Arial" w:eastAsia="Arial" w:hAnsi="Arial"/>
                <w:sz w:val="15"/>
                <w:szCs w:val="15"/>
                <w:color w:val="0000FF"/>
              </w:rPr>
              <w:t>Compass Diversified Holdings, Compass Group Diversified Holdings LLC and Compass Group Management LLC Policy Regarding Insider Trading,</w:t>
            </w:r>
          </w:p>
        </w:tc>
      </w:tr>
      <w:tr>
        <w:trPr>
          <w:trHeight w:val="129"/>
        </w:trPr>
        <w:tc>
          <w:tcPr>
            <w:tcW w:w="1160" w:type="dxa"/>
            <w:vAlign w:val="bottom"/>
          </w:tcPr>
          <w:p>
            <w:pPr>
              <w:spacing w:after="0"/>
              <w:rPr>
                <w:sz w:val="11"/>
                <w:szCs w:val="11"/>
                <w:color w:val="auto"/>
              </w:rPr>
            </w:pPr>
          </w:p>
        </w:tc>
        <w:tc>
          <w:tcPr>
            <w:tcW w:w="2680" w:type="dxa"/>
            <w:vAlign w:val="bottom"/>
            <w:tcBorders>
              <w:top w:val="single" w:sz="8" w:color="0000FF"/>
              <w:bottom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Tipping and other Wrongful Disclosures</w:t>
            </w:r>
          </w:p>
        </w:tc>
        <w:tc>
          <w:tcPr>
            <w:tcW w:w="7340" w:type="dxa"/>
            <w:vAlign w:val="bottom"/>
            <w:tcBorders>
              <w:top w:val="single" w:sz="8" w:color="0000FF"/>
            </w:tcBorders>
            <w:gridSpan w:val="3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21.1*</w:t>
            </w:r>
          </w:p>
        </w:tc>
        <w:tc>
          <w:tcPr>
            <w:tcW w:w="1300" w:type="dxa"/>
            <w:vAlign w:val="bottom"/>
            <w:tcBorders>
              <w:bottom w:val="single" w:sz="8" w:color="0000FF"/>
            </w:tcBorders>
            <w:gridSpan w:val="5"/>
          </w:tcPr>
          <w:p>
            <w:pPr>
              <w:spacing w:after="0"/>
              <w:rPr>
                <w:sz w:val="20"/>
                <w:szCs w:val="20"/>
                <w:color w:val="auto"/>
              </w:rPr>
            </w:pPr>
            <w:r>
              <w:rPr>
                <w:rFonts w:ascii="Arial" w:cs="Arial" w:eastAsia="Arial" w:hAnsi="Arial"/>
                <w:sz w:val="15"/>
                <w:szCs w:val="15"/>
                <w:color w:val="0000FF"/>
              </w:rPr>
              <w:t>List of Subsidiaries</w:t>
            </w:r>
          </w:p>
        </w:tc>
        <w:tc>
          <w:tcPr>
            <w:tcW w:w="8800" w:type="dxa"/>
            <w:vAlign w:val="bottom"/>
            <w:gridSpan w:val="44"/>
          </w:tcPr>
          <w:p>
            <w:pPr>
              <w:spacing w:after="0"/>
              <w:rPr>
                <w:sz w:val="17"/>
                <w:szCs w:val="17"/>
                <w:color w:val="auto"/>
              </w:rPr>
            </w:pPr>
          </w:p>
        </w:tc>
      </w:tr>
      <w:tr>
        <w:trPr>
          <w:trHeight w:val="182"/>
        </w:trPr>
        <w:tc>
          <w:tcPr>
            <w:tcW w:w="1160" w:type="dxa"/>
            <w:vAlign w:val="bottom"/>
          </w:tcPr>
          <w:p>
            <w:pPr>
              <w:spacing w:after="0"/>
              <w:rPr>
                <w:sz w:val="20"/>
                <w:szCs w:val="20"/>
                <w:color w:val="auto"/>
              </w:rPr>
            </w:pPr>
            <w:r>
              <w:rPr>
                <w:rFonts w:ascii="Arial" w:cs="Arial" w:eastAsia="Arial" w:hAnsi="Arial"/>
                <w:sz w:val="15"/>
                <w:szCs w:val="15"/>
                <w:color w:val="auto"/>
              </w:rPr>
              <w:t>23.1*</w:t>
            </w:r>
          </w:p>
        </w:tc>
        <w:tc>
          <w:tcPr>
            <w:tcW w:w="8460" w:type="dxa"/>
            <w:vAlign w:val="bottom"/>
            <w:tcBorders>
              <w:bottom w:val="single" w:sz="8" w:color="0000FF"/>
            </w:tcBorders>
            <w:gridSpan w:val="21"/>
          </w:tcPr>
          <w:p>
            <w:pPr>
              <w:spacing w:after="0"/>
              <w:rPr>
                <w:sz w:val="20"/>
                <w:szCs w:val="20"/>
                <w:color w:val="auto"/>
              </w:rPr>
            </w:pPr>
            <w:r>
              <w:rPr>
                <w:rFonts w:ascii="Arial" w:cs="Arial" w:eastAsia="Arial" w:hAnsi="Arial"/>
                <w:sz w:val="15"/>
                <w:szCs w:val="15"/>
                <w:color w:val="0000FF"/>
              </w:rPr>
              <w:t>Consent of Independent Registered Public Accounting Firm with respect to the Registrant's consolidated financial statements</w:t>
            </w:r>
          </w:p>
        </w:tc>
        <w:tc>
          <w:tcPr>
            <w:tcW w:w="1640" w:type="dxa"/>
            <w:vAlign w:val="bottom"/>
            <w:gridSpan w:val="28"/>
          </w:tcPr>
          <w:p>
            <w:pPr>
              <w:spacing w:after="0"/>
              <w:rPr>
                <w:sz w:val="15"/>
                <w:szCs w:val="15"/>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5"/>
                <w:szCs w:val="15"/>
                <w:color w:val="auto"/>
              </w:rPr>
              <w:t>24.1*</w:t>
            </w:r>
          </w:p>
        </w:tc>
        <w:tc>
          <w:tcPr>
            <w:tcW w:w="556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rPr>
              <w:t>Power of Attorney (included on the signature page of this Annual Report on Form 10-K)</w:t>
            </w:r>
          </w:p>
        </w:tc>
        <w:tc>
          <w:tcPr>
            <w:tcW w:w="4540" w:type="dxa"/>
            <w:vAlign w:val="bottom"/>
            <w:gridSpan w:val="33"/>
          </w:tcPr>
          <w:p>
            <w:pPr>
              <w:spacing w:after="0"/>
              <w:rPr>
                <w:sz w:val="15"/>
                <w:szCs w:val="15"/>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5"/>
                <w:szCs w:val="15"/>
                <w:color w:val="auto"/>
              </w:rPr>
              <w:t>31.1*</w:t>
            </w:r>
          </w:p>
        </w:tc>
        <w:tc>
          <w:tcPr>
            <w:tcW w:w="5260" w:type="dxa"/>
            <w:vAlign w:val="bottom"/>
            <w:tcBorders>
              <w:bottom w:val="single" w:sz="8" w:color="0000FF"/>
            </w:tcBorders>
            <w:gridSpan w:val="15"/>
          </w:tcPr>
          <w:p>
            <w:pPr>
              <w:spacing w:after="0"/>
              <w:rPr>
                <w:sz w:val="20"/>
                <w:szCs w:val="20"/>
                <w:color w:val="auto"/>
              </w:rPr>
            </w:pPr>
            <w:r>
              <w:rPr>
                <w:rFonts w:ascii="Arial" w:cs="Arial" w:eastAsia="Arial" w:hAnsi="Arial"/>
                <w:sz w:val="15"/>
                <w:szCs w:val="15"/>
                <w:color w:val="0000FF"/>
              </w:rPr>
              <w:t>Rule 13a-14(a)/15d-14(a) Certification of Chief Executive Officer of Registrant</w:t>
            </w:r>
          </w:p>
        </w:tc>
        <w:tc>
          <w:tcPr>
            <w:tcW w:w="4840" w:type="dxa"/>
            <w:vAlign w:val="bottom"/>
            <w:gridSpan w:val="34"/>
          </w:tcPr>
          <w:p>
            <w:pPr>
              <w:spacing w:after="0"/>
              <w:rPr>
                <w:sz w:val="15"/>
                <w:szCs w:val="15"/>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5"/>
                <w:szCs w:val="15"/>
                <w:color w:val="auto"/>
              </w:rPr>
              <w:t>31.2*</w:t>
            </w:r>
          </w:p>
        </w:tc>
        <w:tc>
          <w:tcPr>
            <w:tcW w:w="10100" w:type="dxa"/>
            <w:vAlign w:val="bottom"/>
            <w:gridSpan w:val="49"/>
          </w:tcPr>
          <w:p>
            <w:pPr>
              <w:spacing w:after="0"/>
              <w:rPr>
                <w:sz w:val="20"/>
                <w:szCs w:val="20"/>
                <w:color w:val="auto"/>
              </w:rPr>
            </w:pPr>
            <w:r>
              <w:rPr>
                <w:rFonts w:ascii="Arial" w:cs="Arial" w:eastAsia="Arial" w:hAnsi="Arial"/>
                <w:sz w:val="15"/>
                <w:szCs w:val="15"/>
                <w:color w:val="0000FF"/>
              </w:rPr>
              <w:t>Rule 13a-14(a)/15d-14(a) Certification of Chief Financial Officer of Registrant</w:t>
            </w:r>
          </w:p>
        </w:tc>
      </w:tr>
      <w:tr>
        <w:trPr>
          <w:trHeight w:val="183"/>
        </w:trPr>
        <w:tc>
          <w:tcPr>
            <w:tcW w:w="1160" w:type="dxa"/>
            <w:vAlign w:val="bottom"/>
          </w:tcPr>
          <w:p>
            <w:pPr>
              <w:spacing w:after="0" w:line="183" w:lineRule="exact"/>
              <w:rPr>
                <w:sz w:val="20"/>
                <w:szCs w:val="20"/>
                <w:color w:val="auto"/>
              </w:rPr>
            </w:pPr>
            <w:r>
              <w:rPr>
                <w:rFonts w:ascii="Arial" w:cs="Arial" w:eastAsia="Arial" w:hAnsi="Arial"/>
                <w:sz w:val="15"/>
                <w:szCs w:val="15"/>
                <w:color w:val="auto"/>
              </w:rPr>
              <w:t>32.1*</w:t>
            </w:r>
            <w:r>
              <w:rPr>
                <w:rFonts w:ascii="Arial" w:cs="Arial" w:eastAsia="Arial" w:hAnsi="Arial"/>
                <w:sz w:val="19"/>
                <w:szCs w:val="19"/>
                <w:color w:val="auto"/>
                <w:vertAlign w:val="superscript"/>
              </w:rPr>
              <w:t>+</w:t>
            </w:r>
          </w:p>
        </w:tc>
        <w:tc>
          <w:tcPr>
            <w:tcW w:w="5200" w:type="dxa"/>
            <w:vAlign w:val="bottom"/>
            <w:tcBorders>
              <w:top w:val="single" w:sz="8" w:color="0000FF"/>
            </w:tcBorders>
            <w:gridSpan w:val="14"/>
          </w:tcPr>
          <w:p>
            <w:pPr>
              <w:spacing w:after="0"/>
              <w:rPr>
                <w:sz w:val="20"/>
                <w:szCs w:val="20"/>
                <w:color w:val="auto"/>
              </w:rPr>
            </w:pPr>
            <w:r>
              <w:rPr>
                <w:rFonts w:ascii="Arial" w:cs="Arial" w:eastAsia="Arial" w:hAnsi="Arial"/>
                <w:sz w:val="15"/>
                <w:szCs w:val="15"/>
                <w:color w:val="0000FF"/>
              </w:rPr>
              <w:t>Section 1350 Certification of Chief Executive Officer of Registrant</w:t>
            </w:r>
          </w:p>
        </w:tc>
        <w:tc>
          <w:tcPr>
            <w:tcW w:w="4900" w:type="dxa"/>
            <w:vAlign w:val="bottom"/>
            <w:gridSpan w:val="35"/>
          </w:tcPr>
          <w:p>
            <w:pPr>
              <w:spacing w:after="0"/>
              <w:rPr>
                <w:sz w:val="15"/>
                <w:szCs w:val="15"/>
                <w:color w:val="auto"/>
              </w:rPr>
            </w:pPr>
          </w:p>
        </w:tc>
      </w:tr>
      <w:tr>
        <w:trPr>
          <w:trHeight w:val="183"/>
        </w:trPr>
        <w:tc>
          <w:tcPr>
            <w:tcW w:w="1160" w:type="dxa"/>
            <w:vAlign w:val="bottom"/>
          </w:tcPr>
          <w:p>
            <w:pPr>
              <w:spacing w:after="0" w:line="183" w:lineRule="exact"/>
              <w:rPr>
                <w:sz w:val="20"/>
                <w:szCs w:val="20"/>
                <w:color w:val="auto"/>
              </w:rPr>
            </w:pPr>
            <w:r>
              <w:rPr>
                <w:rFonts w:ascii="Arial" w:cs="Arial" w:eastAsia="Arial" w:hAnsi="Arial"/>
                <w:sz w:val="15"/>
                <w:szCs w:val="15"/>
                <w:color w:val="auto"/>
              </w:rPr>
              <w:t>32.2*</w:t>
            </w:r>
            <w:r>
              <w:rPr>
                <w:rFonts w:ascii="Arial" w:cs="Arial" w:eastAsia="Arial" w:hAnsi="Arial"/>
                <w:sz w:val="19"/>
                <w:szCs w:val="19"/>
                <w:color w:val="auto"/>
                <w:vertAlign w:val="superscript"/>
              </w:rPr>
              <w:t>+</w:t>
            </w:r>
          </w:p>
        </w:tc>
        <w:tc>
          <w:tcPr>
            <w:tcW w:w="43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5"/>
                <w:szCs w:val="15"/>
                <w:color w:val="0000FF"/>
              </w:rPr>
              <w:t>Section 1350 Certification of Chief Financial Officer of Registrant</w:t>
            </w:r>
          </w:p>
        </w:tc>
        <w:tc>
          <w:tcPr>
            <w:tcW w:w="40" w:type="dxa"/>
            <w:vAlign w:val="bottom"/>
            <w:tcBorders>
              <w:top w:val="single" w:sz="8" w:color="0000FF"/>
            </w:tcBorders>
          </w:tcPr>
          <w:p>
            <w:pPr>
              <w:spacing w:after="0"/>
              <w:rPr>
                <w:sz w:val="15"/>
                <w:szCs w:val="15"/>
                <w:color w:val="auto"/>
              </w:rPr>
            </w:pPr>
          </w:p>
        </w:tc>
        <w:tc>
          <w:tcPr>
            <w:tcW w:w="5680" w:type="dxa"/>
            <w:vAlign w:val="bottom"/>
            <w:gridSpan w:val="39"/>
          </w:tcPr>
          <w:p>
            <w:pPr>
              <w:spacing w:after="0"/>
              <w:rPr>
                <w:sz w:val="15"/>
                <w:szCs w:val="15"/>
                <w:color w:val="auto"/>
              </w:rPr>
            </w:pPr>
          </w:p>
        </w:tc>
      </w:tr>
      <w:tr>
        <w:trPr>
          <w:trHeight w:val="183"/>
        </w:trPr>
        <w:tc>
          <w:tcPr>
            <w:tcW w:w="1160" w:type="dxa"/>
            <w:vAlign w:val="bottom"/>
          </w:tcPr>
          <w:p>
            <w:pPr>
              <w:spacing w:after="0"/>
              <w:rPr>
                <w:sz w:val="20"/>
                <w:szCs w:val="20"/>
                <w:color w:val="auto"/>
              </w:rPr>
            </w:pPr>
            <w:r>
              <w:rPr>
                <w:rFonts w:ascii="Arial" w:cs="Arial" w:eastAsia="Arial" w:hAnsi="Arial"/>
                <w:sz w:val="15"/>
                <w:szCs w:val="15"/>
                <w:color w:val="auto"/>
              </w:rPr>
              <w:t>97.1</w:t>
            </w:r>
          </w:p>
        </w:tc>
        <w:tc>
          <w:tcPr>
            <w:tcW w:w="10100" w:type="dxa"/>
            <w:vAlign w:val="bottom"/>
            <w:gridSpan w:val="49"/>
          </w:tcPr>
          <w:p>
            <w:pPr>
              <w:spacing w:after="0"/>
              <w:rPr>
                <w:rFonts w:ascii="Arial" w:cs="Arial" w:eastAsia="Arial" w:hAnsi="Arial"/>
                <w:sz w:val="15"/>
                <w:szCs w:val="15"/>
                <w:color w:val="0000FF"/>
              </w:rPr>
            </w:pPr>
            <w:hyperlink r:id="rId218">
              <w:r>
                <w:rPr>
                  <w:rFonts w:ascii="Arial" w:cs="Arial" w:eastAsia="Arial" w:hAnsi="Arial"/>
                  <w:sz w:val="15"/>
                  <w:szCs w:val="15"/>
                  <w:color w:val="0000FF"/>
                </w:rPr>
                <w:t>Policy relating to recovery of erroneously awarded compensation, as required by applicable listing standards adopted pursuant to 17 CFR 240.10D-</w:t>
              </w:r>
            </w:hyperlink>
          </w:p>
        </w:tc>
      </w:tr>
      <w:tr>
        <w:trPr>
          <w:trHeight w:val="129"/>
        </w:trPr>
        <w:tc>
          <w:tcPr>
            <w:tcW w:w="1160" w:type="dxa"/>
            <w:vAlign w:val="bottom"/>
          </w:tcPr>
          <w:p>
            <w:pPr>
              <w:spacing w:after="0"/>
              <w:rPr>
                <w:sz w:val="11"/>
                <w:szCs w:val="11"/>
                <w:color w:val="auto"/>
              </w:rPr>
            </w:pPr>
          </w:p>
        </w:tc>
        <w:tc>
          <w:tcPr>
            <w:tcW w:w="7420" w:type="dxa"/>
            <w:vAlign w:val="bottom"/>
            <w:tcBorders>
              <w:top w:val="single" w:sz="8" w:color="0000FF"/>
              <w:bottom w:val="single" w:sz="8" w:color="0000FF"/>
            </w:tcBorders>
            <w:gridSpan w:val="19"/>
          </w:tcPr>
          <w:p>
            <w:pPr>
              <w:spacing w:after="0" w:line="129" w:lineRule="exact"/>
              <w:rPr>
                <w:rFonts w:ascii="Arial" w:cs="Arial" w:eastAsia="Arial" w:hAnsi="Arial"/>
                <w:sz w:val="14"/>
                <w:szCs w:val="14"/>
                <w:color w:val="0000FF"/>
              </w:rPr>
            </w:pPr>
            <w:hyperlink r:id="rId218">
              <w:r>
                <w:rPr>
                  <w:rFonts w:ascii="Arial" w:cs="Arial" w:eastAsia="Arial" w:hAnsi="Arial"/>
                  <w:sz w:val="14"/>
                  <w:szCs w:val="14"/>
                  <w:color w:val="0000FF"/>
                </w:rPr>
                <w:t>1(incorporated by reference to Exhibit 97.1 of the Form 10-K filed on February 28, 2024 (File No. 001-34927))</w:t>
              </w:r>
            </w:hyperlink>
          </w:p>
        </w:tc>
        <w:tc>
          <w:tcPr>
            <w:tcW w:w="2580" w:type="dxa"/>
            <w:vAlign w:val="bottom"/>
            <w:tcBorders>
              <w:top w:val="single" w:sz="8" w:color="0000FF"/>
            </w:tcBorders>
            <w:gridSpan w:val="2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99.1</w:t>
            </w:r>
          </w:p>
        </w:tc>
        <w:tc>
          <w:tcPr>
            <w:tcW w:w="10100" w:type="dxa"/>
            <w:vAlign w:val="bottom"/>
            <w:gridSpan w:val="49"/>
          </w:tcPr>
          <w:p>
            <w:pPr>
              <w:spacing w:after="0"/>
              <w:rPr>
                <w:rFonts w:ascii="Arial" w:cs="Arial" w:eastAsia="Arial" w:hAnsi="Arial"/>
                <w:sz w:val="15"/>
                <w:szCs w:val="15"/>
                <w:color w:val="0000FF"/>
              </w:rPr>
            </w:pPr>
            <w:hyperlink r:id="rId219">
              <w:r>
                <w:rPr>
                  <w:rFonts w:ascii="Arial" w:cs="Arial" w:eastAsia="Arial" w:hAnsi="Arial"/>
                  <w:sz w:val="15"/>
                  <w:szCs w:val="15"/>
                  <w:color w:val="0000FF"/>
                </w:rPr>
                <w:t>Stock Purchase Agreement dated March 31, 2010 by and among Gable 5, Inc., Liberty Safe and Security Products, LLC and Liberty Safe Holding</w:t>
              </w:r>
            </w:hyperlink>
          </w:p>
        </w:tc>
      </w:tr>
      <w:tr>
        <w:trPr>
          <w:trHeight w:val="128"/>
        </w:trPr>
        <w:tc>
          <w:tcPr>
            <w:tcW w:w="1160" w:type="dxa"/>
            <w:vAlign w:val="bottom"/>
          </w:tcPr>
          <w:p>
            <w:pPr>
              <w:spacing w:after="0"/>
              <w:rPr>
                <w:sz w:val="11"/>
                <w:szCs w:val="11"/>
                <w:color w:val="auto"/>
              </w:rPr>
            </w:pPr>
          </w:p>
        </w:tc>
        <w:tc>
          <w:tcPr>
            <w:tcW w:w="7740" w:type="dxa"/>
            <w:vAlign w:val="bottom"/>
            <w:tcBorders>
              <w:top w:val="single" w:sz="8" w:color="0000FF"/>
              <w:bottom w:val="single" w:sz="8" w:color="0000FF"/>
            </w:tcBorders>
            <w:gridSpan w:val="20"/>
          </w:tcPr>
          <w:p>
            <w:pPr>
              <w:spacing w:after="0" w:line="129" w:lineRule="exact"/>
              <w:rPr>
                <w:rFonts w:ascii="Arial" w:cs="Arial" w:eastAsia="Arial" w:hAnsi="Arial"/>
                <w:sz w:val="14"/>
                <w:szCs w:val="14"/>
                <w:color w:val="0000FF"/>
              </w:rPr>
            </w:pPr>
            <w:hyperlink r:id="rId219">
              <w:r>
                <w:rPr>
                  <w:rFonts w:ascii="Arial" w:cs="Arial" w:eastAsia="Arial" w:hAnsi="Arial"/>
                  <w:sz w:val="14"/>
                  <w:szCs w:val="14"/>
                  <w:color w:val="0000FF"/>
                </w:rPr>
                <w:t>Corporation (incorporated by reference to Exhibit 99.1 of the Form 8-K filed on April 1, 2010 (File No. 000-51937)).</w:t>
              </w:r>
            </w:hyperlink>
          </w:p>
        </w:tc>
        <w:tc>
          <w:tcPr>
            <w:tcW w:w="2120" w:type="dxa"/>
            <w:vAlign w:val="bottom"/>
            <w:tcBorders>
              <w:top w:val="single" w:sz="8" w:color="0000FF"/>
            </w:tcBorders>
            <w:gridSpan w:val="17"/>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99.2</w:t>
            </w:r>
          </w:p>
        </w:tc>
        <w:tc>
          <w:tcPr>
            <w:tcW w:w="10100" w:type="dxa"/>
            <w:vAlign w:val="bottom"/>
            <w:gridSpan w:val="49"/>
          </w:tcPr>
          <w:p>
            <w:pPr>
              <w:spacing w:after="0"/>
              <w:rPr>
                <w:rFonts w:ascii="Arial" w:cs="Arial" w:eastAsia="Arial" w:hAnsi="Arial"/>
                <w:sz w:val="15"/>
                <w:szCs w:val="15"/>
                <w:color w:val="0000FF"/>
              </w:rPr>
            </w:pPr>
            <w:hyperlink r:id="rId220">
              <w:r>
                <w:rPr>
                  <w:rFonts w:ascii="Arial" w:cs="Arial" w:eastAsia="Arial" w:hAnsi="Arial"/>
                  <w:sz w:val="15"/>
                  <w:szCs w:val="15"/>
                  <w:color w:val="0000FF"/>
                </w:rPr>
                <w:t>Stock Purchase Agreement dated September 16, 2010, by and among ERGO Baby Intermediate Holding Corporation, The ERGO Baby Carrier,</w:t>
              </w:r>
            </w:hyperlink>
          </w:p>
        </w:tc>
      </w:tr>
      <w:tr>
        <w:trPr>
          <w:trHeight w:val="128"/>
        </w:trPr>
        <w:tc>
          <w:tcPr>
            <w:tcW w:w="1160" w:type="dxa"/>
            <w:vAlign w:val="bottom"/>
          </w:tcPr>
          <w:p>
            <w:pPr>
              <w:spacing w:after="0"/>
              <w:rPr>
                <w:sz w:val="11"/>
                <w:szCs w:val="11"/>
                <w:color w:val="auto"/>
              </w:rPr>
            </w:pPr>
          </w:p>
        </w:tc>
        <w:tc>
          <w:tcPr>
            <w:tcW w:w="9740" w:type="dxa"/>
            <w:vAlign w:val="bottom"/>
            <w:tcBorders>
              <w:top w:val="single" w:sz="8" w:color="0000FF"/>
              <w:bottom w:val="single" w:sz="8" w:color="0000FF"/>
            </w:tcBorders>
            <w:gridSpan w:val="31"/>
          </w:tcPr>
          <w:p>
            <w:pPr>
              <w:spacing w:after="0" w:line="129" w:lineRule="exact"/>
              <w:rPr>
                <w:rFonts w:ascii="Arial" w:cs="Arial" w:eastAsia="Arial" w:hAnsi="Arial"/>
                <w:sz w:val="14"/>
                <w:szCs w:val="14"/>
                <w:color w:val="0000FF"/>
              </w:rPr>
            </w:pPr>
            <w:hyperlink r:id="rId220">
              <w:r>
                <w:rPr>
                  <w:rFonts w:ascii="Arial" w:cs="Arial" w:eastAsia="Arial" w:hAnsi="Arial"/>
                  <w:sz w:val="14"/>
                  <w:szCs w:val="14"/>
                  <w:color w:val="0000FF"/>
                </w:rPr>
                <w:t>Inc., Karin A. Frost, in her individual capacity and as Trustee of the Revocable Trust of Karin A. Frost dated February 22, 2008 and as Trustee of</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1160" w:type="dxa"/>
            <w:vAlign w:val="bottom"/>
          </w:tcPr>
          <w:p>
            <w:pPr>
              <w:spacing w:after="0"/>
              <w:rPr>
                <w:sz w:val="11"/>
                <w:szCs w:val="11"/>
                <w:color w:val="auto"/>
              </w:rPr>
            </w:pPr>
          </w:p>
        </w:tc>
        <w:tc>
          <w:tcPr>
            <w:tcW w:w="10100" w:type="dxa"/>
            <w:vAlign w:val="bottom"/>
            <w:gridSpan w:val="49"/>
          </w:tcPr>
          <w:p>
            <w:pPr>
              <w:spacing w:after="0" w:line="129" w:lineRule="exact"/>
              <w:rPr>
                <w:rFonts w:ascii="Arial" w:cs="Arial" w:eastAsia="Arial" w:hAnsi="Arial"/>
                <w:sz w:val="14"/>
                <w:szCs w:val="14"/>
                <w:color w:val="0000FF"/>
              </w:rPr>
            </w:pPr>
            <w:hyperlink r:id="rId220">
              <w:r>
                <w:rPr>
                  <w:rFonts w:ascii="Arial" w:cs="Arial" w:eastAsia="Arial" w:hAnsi="Arial"/>
                  <w:sz w:val="14"/>
                  <w:szCs w:val="14"/>
                  <w:color w:val="0000FF"/>
                </w:rPr>
                <w:t>the Karin A. Frost 2009 Qualified Annuity Trust u/a/d 12/21/2009 (incorporated by reference to Exhibit 99.1 of the Form 8-K filed on September 17,</w:t>
              </w:r>
            </w:hyperlink>
          </w:p>
        </w:tc>
      </w:tr>
      <w:tr>
        <w:trPr>
          <w:trHeight w:val="142"/>
        </w:trPr>
        <w:tc>
          <w:tcPr>
            <w:tcW w:w="1160" w:type="dxa"/>
            <w:vAlign w:val="bottom"/>
          </w:tcPr>
          <w:p>
            <w:pPr>
              <w:spacing w:after="0"/>
              <w:rPr>
                <w:sz w:val="12"/>
                <w:szCs w:val="12"/>
                <w:color w:val="auto"/>
              </w:rPr>
            </w:pPr>
          </w:p>
        </w:tc>
        <w:tc>
          <w:tcPr>
            <w:tcW w:w="9900" w:type="dxa"/>
            <w:vAlign w:val="bottom"/>
            <w:tcBorders>
              <w:top w:val="single" w:sz="8" w:color="0000FF"/>
            </w:tcBorders>
            <w:gridSpan w:val="39"/>
          </w:tcPr>
          <w:p>
            <w:pPr>
              <w:spacing w:after="0" w:line="142" w:lineRule="exact"/>
              <w:rPr>
                <w:rFonts w:ascii="Arial" w:cs="Arial" w:eastAsia="Arial" w:hAnsi="Arial"/>
                <w:sz w:val="15"/>
                <w:szCs w:val="15"/>
                <w:color w:val="0000FF"/>
              </w:rPr>
            </w:pPr>
            <w:hyperlink r:id="rId220">
              <w:r>
                <w:rPr>
                  <w:rFonts w:ascii="Arial" w:cs="Arial" w:eastAsia="Arial" w:hAnsi="Arial"/>
                  <w:sz w:val="15"/>
                  <w:szCs w:val="15"/>
                  <w:color w:val="0000FF"/>
                </w:rPr>
                <w:t>2010 (File No. 000-51937)).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60" w:type="dxa"/>
            <w:vAlign w:val="bottom"/>
          </w:tcPr>
          <w:p>
            <w:pPr>
              <w:spacing w:after="0" w:line="169" w:lineRule="exact"/>
              <w:rPr>
                <w:sz w:val="20"/>
                <w:szCs w:val="20"/>
                <w:color w:val="auto"/>
              </w:rPr>
            </w:pPr>
            <w:r>
              <w:rPr>
                <w:rFonts w:ascii="Arial" w:cs="Arial" w:eastAsia="Arial" w:hAnsi="Arial"/>
                <w:sz w:val="15"/>
                <w:szCs w:val="15"/>
                <w:color w:val="auto"/>
              </w:rPr>
              <w:t>99.3</w:t>
            </w:r>
          </w:p>
        </w:tc>
        <w:tc>
          <w:tcPr>
            <w:tcW w:w="10100" w:type="dxa"/>
            <w:vAlign w:val="bottom"/>
            <w:gridSpan w:val="49"/>
          </w:tcPr>
          <w:p>
            <w:pPr>
              <w:spacing w:after="0" w:line="169" w:lineRule="exact"/>
              <w:rPr>
                <w:rFonts w:ascii="Arial" w:cs="Arial" w:eastAsia="Arial" w:hAnsi="Arial"/>
                <w:sz w:val="15"/>
                <w:szCs w:val="15"/>
                <w:color w:val="0000FF"/>
              </w:rPr>
            </w:pPr>
            <w:hyperlink r:id="rId221">
              <w:r>
                <w:rPr>
                  <w:rFonts w:ascii="Arial" w:cs="Arial" w:eastAsia="Arial" w:hAnsi="Arial"/>
                  <w:sz w:val="15"/>
                  <w:szCs w:val="15"/>
                  <w:color w:val="0000FF"/>
                </w:rPr>
                <w:t>Stock Purchase Agreement dated as of March 5, 2012, by and among Arnold Magnetic Technologies Holdings Corporation, Arnold Magnetic</w:t>
              </w:r>
            </w:hyperlink>
          </w:p>
        </w:tc>
      </w:tr>
      <w:tr>
        <w:trPr>
          <w:trHeight w:val="135"/>
        </w:trPr>
        <w:tc>
          <w:tcPr>
            <w:tcW w:w="1160" w:type="dxa"/>
            <w:vAlign w:val="bottom"/>
          </w:tcPr>
          <w:p>
            <w:pPr>
              <w:spacing w:after="0"/>
              <w:rPr>
                <w:sz w:val="11"/>
                <w:szCs w:val="11"/>
                <w:color w:val="auto"/>
              </w:rPr>
            </w:pPr>
          </w:p>
        </w:tc>
        <w:tc>
          <w:tcPr>
            <w:tcW w:w="9500" w:type="dxa"/>
            <w:vAlign w:val="bottom"/>
            <w:tcBorders>
              <w:top w:val="single" w:sz="8" w:color="0000FF"/>
            </w:tcBorders>
            <w:gridSpan w:val="25"/>
          </w:tcPr>
          <w:p>
            <w:pPr>
              <w:spacing w:after="0" w:line="135" w:lineRule="exact"/>
              <w:rPr>
                <w:rFonts w:ascii="Arial" w:cs="Arial" w:eastAsia="Arial" w:hAnsi="Arial"/>
                <w:sz w:val="15"/>
                <w:szCs w:val="15"/>
                <w:color w:val="0000FF"/>
              </w:rPr>
            </w:pPr>
            <w:hyperlink r:id="rId221">
              <w:r>
                <w:rPr>
                  <w:rFonts w:ascii="Arial" w:cs="Arial" w:eastAsia="Arial" w:hAnsi="Arial"/>
                  <w:sz w:val="15"/>
                  <w:szCs w:val="15"/>
                  <w:color w:val="0000FF"/>
                </w:rPr>
                <w:t>Technologies, LLC and AMT Acquisition Corp. (incorporated by reference to Exhibit 99.1 of the Form 8-K filed on March 6, 2012 (File No. 001</w:t>
              </w:r>
            </w:hyperlink>
          </w:p>
        </w:tc>
        <w:tc>
          <w:tcPr>
            <w:tcW w:w="200" w:type="dxa"/>
            <w:vAlign w:val="bottom"/>
            <w:gridSpan w:val="5"/>
          </w:tcPr>
          <w:p>
            <w:pPr>
              <w:jc w:val="right"/>
              <w:ind w:right="100"/>
              <w:spacing w:after="0" w:line="135" w:lineRule="exact"/>
              <w:rPr>
                <w:rFonts w:ascii="Arial" w:cs="Arial" w:eastAsia="Arial" w:hAnsi="Arial"/>
                <w:sz w:val="15"/>
                <w:szCs w:val="15"/>
                <w:color w:val="0000FF"/>
              </w:rPr>
            </w:pPr>
            <w:hyperlink r:id="rId221">
              <w:r>
                <w:rPr>
                  <w:rFonts w:ascii="Arial" w:cs="Arial" w:eastAsia="Arial" w:hAnsi="Arial"/>
                  <w:sz w:val="15"/>
                  <w:szCs w:val="15"/>
                  <w:color w:val="0000FF"/>
                </w:rPr>
                <w:t>-</w:t>
              </w:r>
            </w:hyperlink>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160" w:type="dxa"/>
            <w:vAlign w:val="bottom"/>
          </w:tcPr>
          <w:p>
            <w:pPr>
              <w:spacing w:after="0"/>
              <w:rPr>
                <w:sz w:val="11"/>
                <w:szCs w:val="11"/>
                <w:color w:val="auto"/>
              </w:rPr>
            </w:pPr>
          </w:p>
        </w:tc>
        <w:tc>
          <w:tcPr>
            <w:tcW w:w="5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221">
              <w:r>
                <w:rPr>
                  <w:rFonts w:ascii="Arial" w:cs="Arial" w:eastAsia="Arial" w:hAnsi="Arial"/>
                  <w:sz w:val="14"/>
                  <w:szCs w:val="14"/>
                  <w:color w:val="0000FF"/>
                </w:rPr>
                <w:t>34927)</w:t>
              </w:r>
              <w:r>
                <w:rPr>
                  <w:rFonts w:ascii="Arial" w:cs="Arial" w:eastAsia="Arial" w:hAnsi="Arial"/>
                  <w:sz w:val="14"/>
                  <w:szCs w:val="14"/>
                  <w:u w:val="single" w:color="auto"/>
                  <w:color w:val="0000FF"/>
                </w:rPr>
                <w:t>)</w:t>
              </w:r>
              <w:r>
                <w:rPr>
                  <w:rFonts w:ascii="Arial" w:cs="Arial" w:eastAsia="Arial" w:hAnsi="Arial"/>
                  <w:sz w:val="14"/>
                  <w:szCs w:val="14"/>
                  <w:color w:val="0000FF"/>
                </w:rPr>
                <w:t>.</w:t>
              </w:r>
            </w:hyperlink>
          </w:p>
        </w:tc>
        <w:tc>
          <w:tcPr>
            <w:tcW w:w="30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99.4</w:t>
            </w:r>
          </w:p>
        </w:tc>
        <w:tc>
          <w:tcPr>
            <w:tcW w:w="10100" w:type="dxa"/>
            <w:vAlign w:val="bottom"/>
            <w:gridSpan w:val="49"/>
          </w:tcPr>
          <w:p>
            <w:pPr>
              <w:spacing w:after="0"/>
              <w:rPr>
                <w:rFonts w:ascii="Arial" w:cs="Arial" w:eastAsia="Arial" w:hAnsi="Arial"/>
                <w:sz w:val="15"/>
                <w:szCs w:val="15"/>
                <w:color w:val="0000FF"/>
              </w:rPr>
            </w:pPr>
            <w:hyperlink r:id="rId222">
              <w:r>
                <w:rPr>
                  <w:rFonts w:ascii="Arial" w:cs="Arial" w:eastAsia="Arial" w:hAnsi="Arial"/>
                  <w:sz w:val="15"/>
                  <w:szCs w:val="15"/>
                  <w:color w:val="0000FF"/>
                </w:rPr>
                <w:t>Membership Interest Purchase Agreement dated as of October 10, 2014, by and among Candle Lamp Holdings, LLC, Candle Lamp Company, LLC</w:t>
              </w:r>
            </w:hyperlink>
          </w:p>
        </w:tc>
      </w:tr>
      <w:tr>
        <w:trPr>
          <w:trHeight w:val="128"/>
        </w:trPr>
        <w:tc>
          <w:tcPr>
            <w:tcW w:w="1160" w:type="dxa"/>
            <w:vAlign w:val="bottom"/>
          </w:tcPr>
          <w:p>
            <w:pPr>
              <w:spacing w:after="0"/>
              <w:rPr>
                <w:sz w:val="11"/>
                <w:szCs w:val="11"/>
                <w:color w:val="auto"/>
              </w:rPr>
            </w:pPr>
          </w:p>
        </w:tc>
        <w:tc>
          <w:tcPr>
            <w:tcW w:w="9560" w:type="dxa"/>
            <w:vAlign w:val="bottom"/>
            <w:tcBorders>
              <w:top w:val="single" w:sz="8" w:color="0000FF"/>
              <w:bottom w:val="single" w:sz="8" w:color="0000FF"/>
            </w:tcBorders>
            <w:gridSpan w:val="28"/>
          </w:tcPr>
          <w:p>
            <w:pPr>
              <w:spacing w:after="0" w:line="129" w:lineRule="exact"/>
              <w:rPr>
                <w:rFonts w:ascii="Arial" w:cs="Arial" w:eastAsia="Arial" w:hAnsi="Arial"/>
                <w:sz w:val="14"/>
                <w:szCs w:val="14"/>
                <w:color w:val="0000FF"/>
              </w:rPr>
            </w:pPr>
            <w:hyperlink r:id="rId222">
              <w:r>
                <w:rPr>
                  <w:rFonts w:ascii="Arial" w:cs="Arial" w:eastAsia="Arial" w:hAnsi="Arial"/>
                  <w:sz w:val="14"/>
                  <w:szCs w:val="14"/>
                  <w:color w:val="0000FF"/>
                </w:rPr>
                <w:t>and Sternocandlelamp Holdings, Inc. (incorporated by reference to Exhibit 99.1 of the Form 8-K filed October 14, 2014 (File No. 001-34927)).</w:t>
              </w:r>
            </w:hyperlink>
          </w:p>
        </w:tc>
        <w:tc>
          <w:tcPr>
            <w:tcW w:w="420" w:type="dxa"/>
            <w:vAlign w:val="bottom"/>
            <w:tcBorders>
              <w:top w:val="single" w:sz="8" w:color="0000FF"/>
            </w:tcBorders>
            <w:gridSpan w:val="15"/>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99.5</w:t>
            </w:r>
          </w:p>
        </w:tc>
        <w:tc>
          <w:tcPr>
            <w:tcW w:w="10100" w:type="dxa"/>
            <w:vAlign w:val="bottom"/>
            <w:gridSpan w:val="49"/>
          </w:tcPr>
          <w:p>
            <w:pPr>
              <w:spacing w:after="0"/>
              <w:rPr>
                <w:rFonts w:ascii="Arial" w:cs="Arial" w:eastAsia="Arial" w:hAnsi="Arial"/>
                <w:sz w:val="15"/>
                <w:szCs w:val="15"/>
                <w:color w:val="0000FF"/>
              </w:rPr>
            </w:pPr>
            <w:hyperlink r:id="rId223">
              <w:r>
                <w:rPr>
                  <w:rFonts w:ascii="Arial" w:cs="Arial" w:eastAsia="Arial" w:hAnsi="Arial"/>
                  <w:sz w:val="15"/>
                  <w:szCs w:val="15"/>
                  <w:color w:val="0000FF"/>
                </w:rPr>
                <w:t>Agreement and Plan of Merger, dated as of July 29, 2016, by and among 5.11 ABR Corp., 5.11 ABR Merger Corp., 5.11 Acquisition Corp., TA</w:t>
              </w:r>
            </w:hyperlink>
          </w:p>
        </w:tc>
      </w:tr>
      <w:tr>
        <w:trPr>
          <w:trHeight w:val="128"/>
        </w:trPr>
        <w:tc>
          <w:tcPr>
            <w:tcW w:w="1160" w:type="dxa"/>
            <w:vAlign w:val="bottom"/>
          </w:tcPr>
          <w:p>
            <w:pPr>
              <w:spacing w:after="0"/>
              <w:rPr>
                <w:sz w:val="11"/>
                <w:szCs w:val="11"/>
                <w:color w:val="auto"/>
              </w:rPr>
            </w:pPr>
          </w:p>
        </w:tc>
        <w:tc>
          <w:tcPr>
            <w:tcW w:w="956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223">
              <w:r>
                <w:rPr>
                  <w:rFonts w:ascii="Arial" w:cs="Arial" w:eastAsia="Arial" w:hAnsi="Arial"/>
                  <w:sz w:val="14"/>
                  <w:szCs w:val="14"/>
                  <w:color w:val="0000FF"/>
                </w:rPr>
                <w:t>Associates Management, L.P., as the agent and attorney in fact of the holders of stock and options in 5.11 Acquisition Corp. (incorporated by</w:t>
              </w:r>
            </w:hyperlink>
          </w:p>
        </w:tc>
        <w:tc>
          <w:tcPr>
            <w:tcW w:w="14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1160" w:type="dxa"/>
            <w:vAlign w:val="bottom"/>
          </w:tcPr>
          <w:p>
            <w:pPr>
              <w:spacing w:after="0"/>
              <w:rPr>
                <w:sz w:val="11"/>
                <w:szCs w:val="11"/>
                <w:color w:val="auto"/>
              </w:rPr>
            </w:pPr>
          </w:p>
        </w:tc>
        <w:tc>
          <w:tcPr>
            <w:tcW w:w="5920" w:type="dxa"/>
            <w:vAlign w:val="bottom"/>
            <w:tcBorders>
              <w:top w:val="single" w:sz="8" w:color="0000FF"/>
              <w:bottom w:val="single" w:sz="8" w:color="0000FF"/>
            </w:tcBorders>
            <w:gridSpan w:val="17"/>
          </w:tcPr>
          <w:p>
            <w:pPr>
              <w:spacing w:after="0" w:line="129" w:lineRule="exact"/>
              <w:rPr>
                <w:rFonts w:ascii="Arial" w:cs="Arial" w:eastAsia="Arial" w:hAnsi="Arial"/>
                <w:sz w:val="14"/>
                <w:szCs w:val="14"/>
                <w:color w:val="0000FF"/>
              </w:rPr>
            </w:pPr>
            <w:hyperlink r:id="rId223">
              <w:r>
                <w:rPr>
                  <w:rFonts w:ascii="Arial" w:cs="Arial" w:eastAsia="Arial" w:hAnsi="Arial"/>
                  <w:sz w:val="14"/>
                  <w:szCs w:val="14"/>
                  <w:color w:val="0000FF"/>
                </w:rPr>
                <w:t>reference to Exhibit 99.1 of the Form 8-K filed on August 1, 2016 (File No. 001-34927)).</w:t>
              </w:r>
            </w:hyperlink>
          </w:p>
        </w:tc>
        <w:tc>
          <w:tcPr>
            <w:tcW w:w="360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3"/>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9"/>
        </w:trPr>
        <w:tc>
          <w:tcPr>
            <w:tcW w:w="1160" w:type="dxa"/>
            <w:vAlign w:val="bottom"/>
          </w:tcPr>
          <w:p>
            <w:pPr>
              <w:spacing w:after="0"/>
              <w:rPr>
                <w:sz w:val="20"/>
                <w:szCs w:val="20"/>
                <w:color w:val="auto"/>
              </w:rPr>
            </w:pPr>
            <w:r>
              <w:rPr>
                <w:rFonts w:ascii="Arial" w:cs="Arial" w:eastAsia="Arial" w:hAnsi="Arial"/>
                <w:sz w:val="15"/>
                <w:szCs w:val="15"/>
                <w:color w:val="auto"/>
              </w:rPr>
              <w:t>99.6</w:t>
            </w:r>
          </w:p>
        </w:tc>
        <w:tc>
          <w:tcPr>
            <w:tcW w:w="10100" w:type="dxa"/>
            <w:vAlign w:val="bottom"/>
            <w:gridSpan w:val="49"/>
          </w:tcPr>
          <w:p>
            <w:pPr>
              <w:spacing w:after="0"/>
              <w:rPr>
                <w:rFonts w:ascii="Arial" w:cs="Arial" w:eastAsia="Arial" w:hAnsi="Arial"/>
                <w:sz w:val="15"/>
                <w:szCs w:val="15"/>
                <w:color w:val="0000FF"/>
              </w:rPr>
            </w:pPr>
            <w:hyperlink r:id="rId224">
              <w:r>
                <w:rPr>
                  <w:rFonts w:ascii="Arial" w:cs="Arial" w:eastAsia="Arial" w:hAnsi="Arial"/>
                  <w:sz w:val="15"/>
                  <w:szCs w:val="15"/>
                  <w:color w:val="0000FF"/>
                </w:rPr>
                <w:t>Equity Purchase Agreement, dated June 2, 2017, by and among Bullseye Holding Company LLC, Bullseye Acquisition Corporation, CBCP</w:t>
              </w:r>
            </w:hyperlink>
          </w:p>
        </w:tc>
      </w:tr>
      <w:tr>
        <w:trPr>
          <w:trHeight w:val="135"/>
        </w:trPr>
        <w:tc>
          <w:tcPr>
            <w:tcW w:w="1160" w:type="dxa"/>
            <w:vAlign w:val="bottom"/>
          </w:tcPr>
          <w:p>
            <w:pPr>
              <w:spacing w:after="0"/>
              <w:rPr>
                <w:sz w:val="11"/>
                <w:szCs w:val="11"/>
                <w:color w:val="auto"/>
              </w:rPr>
            </w:pPr>
          </w:p>
        </w:tc>
        <w:tc>
          <w:tcPr>
            <w:tcW w:w="9360" w:type="dxa"/>
            <w:vAlign w:val="bottom"/>
            <w:tcBorders>
              <w:top w:val="single" w:sz="8" w:color="0000FF"/>
            </w:tcBorders>
            <w:gridSpan w:val="23"/>
          </w:tcPr>
          <w:p>
            <w:pPr>
              <w:spacing w:after="0" w:line="135" w:lineRule="exact"/>
              <w:rPr>
                <w:rFonts w:ascii="Arial" w:cs="Arial" w:eastAsia="Arial" w:hAnsi="Arial"/>
                <w:sz w:val="15"/>
                <w:szCs w:val="15"/>
                <w:color w:val="0000FF"/>
              </w:rPr>
            </w:pPr>
            <w:hyperlink r:id="rId224">
              <w:r>
                <w:rPr>
                  <w:rFonts w:ascii="Arial" w:cs="Arial" w:eastAsia="Arial" w:hAnsi="Arial"/>
                  <w:sz w:val="15"/>
                  <w:szCs w:val="15"/>
                  <w:color w:val="0000FF"/>
                </w:rPr>
                <w:t>Acquisition Corp. and Wellspring Capital Partners IV, L.P. (incorporated by reference to Exhibit 99.1 of the Form 8-K filed on June 5, 2017</w:t>
              </w:r>
            </w:hyperlink>
          </w:p>
        </w:tc>
        <w:tc>
          <w:tcPr>
            <w:tcW w:w="740" w:type="dxa"/>
            <w:vAlign w:val="bottom"/>
            <w:gridSpan w:val="26"/>
          </w:tcPr>
          <w:p>
            <w:pPr>
              <w:spacing w:after="0" w:line="135" w:lineRule="exact"/>
              <w:rPr>
                <w:rFonts w:ascii="Arial" w:cs="Arial" w:eastAsia="Arial" w:hAnsi="Arial"/>
                <w:sz w:val="15"/>
                <w:szCs w:val="15"/>
                <w:color w:val="0000FF"/>
              </w:rPr>
            </w:pPr>
            <w:hyperlink r:id="rId224">
              <w:r>
                <w:rPr>
                  <w:rFonts w:ascii="Arial" w:cs="Arial" w:eastAsia="Arial" w:hAnsi="Arial"/>
                  <w:sz w:val="15"/>
                  <w:szCs w:val="15"/>
                  <w:color w:val="0000FF"/>
                </w:rPr>
                <w:t>(File No.</w:t>
              </w:r>
            </w:hyperlink>
          </w:p>
        </w:tc>
      </w:tr>
      <w:tr>
        <w:trPr>
          <w:trHeight w:val="129"/>
        </w:trPr>
        <w:tc>
          <w:tcPr>
            <w:tcW w:w="1160" w:type="dxa"/>
            <w:vAlign w:val="bottom"/>
          </w:tcPr>
          <w:p>
            <w:pPr>
              <w:spacing w:after="0"/>
              <w:rPr>
                <w:sz w:val="11"/>
                <w:szCs w:val="11"/>
                <w:color w:val="auto"/>
              </w:rPr>
            </w:pPr>
          </w:p>
        </w:tc>
        <w:tc>
          <w:tcPr>
            <w:tcW w:w="88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224">
              <w:r>
                <w:rPr>
                  <w:rFonts w:ascii="Arial" w:cs="Arial" w:eastAsia="Arial" w:hAnsi="Arial"/>
                  <w:sz w:val="14"/>
                  <w:szCs w:val="14"/>
                  <w:color w:val="0000FF"/>
                </w:rPr>
                <w:t>001-34927)).</w:t>
              </w:r>
            </w:hyperlink>
          </w:p>
        </w:tc>
        <w:tc>
          <w:tcPr>
            <w:tcW w:w="4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99.7</w:t>
            </w:r>
          </w:p>
        </w:tc>
        <w:tc>
          <w:tcPr>
            <w:tcW w:w="10100" w:type="dxa"/>
            <w:vAlign w:val="bottom"/>
            <w:gridSpan w:val="49"/>
          </w:tcPr>
          <w:p>
            <w:pPr>
              <w:spacing w:after="0"/>
              <w:rPr>
                <w:rFonts w:ascii="Arial" w:cs="Arial" w:eastAsia="Arial" w:hAnsi="Arial"/>
                <w:sz w:val="15"/>
                <w:szCs w:val="15"/>
                <w:color w:val="0000FF"/>
              </w:rPr>
            </w:pPr>
            <w:hyperlink r:id="rId225">
              <w:r>
                <w:rPr>
                  <w:rFonts w:ascii="Arial" w:cs="Arial" w:eastAsia="Arial" w:hAnsi="Arial"/>
                  <w:sz w:val="15"/>
                  <w:szCs w:val="15"/>
                  <w:color w:val="0000FF"/>
                </w:rPr>
                <w:t>Stock Purchase Agreement, dated January 18, 2018, between Warren F. Florkiewicz and FFI Compass, Inc. (incorporated by reference to Exhibit</w:t>
              </w:r>
            </w:hyperlink>
          </w:p>
        </w:tc>
      </w:tr>
      <w:tr>
        <w:trPr>
          <w:trHeight w:val="128"/>
        </w:trPr>
        <w:tc>
          <w:tcPr>
            <w:tcW w:w="1160" w:type="dxa"/>
            <w:vAlign w:val="bottom"/>
          </w:tcPr>
          <w:p>
            <w:pPr>
              <w:spacing w:after="0"/>
              <w:rPr>
                <w:sz w:val="11"/>
                <w:szCs w:val="11"/>
                <w:color w:val="auto"/>
              </w:rPr>
            </w:pPr>
          </w:p>
        </w:tc>
        <w:tc>
          <w:tcPr>
            <w:tcW w:w="982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225">
              <w:r>
                <w:rPr>
                  <w:rFonts w:ascii="Arial" w:cs="Arial" w:eastAsia="Arial" w:hAnsi="Arial"/>
                  <w:sz w:val="14"/>
                  <w:szCs w:val="14"/>
                  <w:color w:val="0000FF"/>
                </w:rPr>
                <w:t>99.</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of the Form 8-K filed on January 18, 2018 (File No. 001-34927)).</w:t>
              </w:r>
            </w:hyperlink>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92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99.8</w:t>
            </w:r>
          </w:p>
        </w:tc>
        <w:tc>
          <w:tcPr>
            <w:tcW w:w="10100" w:type="dxa"/>
            <w:vAlign w:val="bottom"/>
            <w:gridSpan w:val="49"/>
          </w:tcPr>
          <w:p>
            <w:pPr>
              <w:spacing w:after="0"/>
              <w:rPr>
                <w:rFonts w:ascii="Arial" w:cs="Arial" w:eastAsia="Arial" w:hAnsi="Arial"/>
                <w:sz w:val="15"/>
                <w:szCs w:val="15"/>
                <w:color w:val="0000FF"/>
              </w:rPr>
            </w:pPr>
            <w:hyperlink r:id="rId226">
              <w:r>
                <w:rPr>
                  <w:rFonts w:ascii="Arial" w:cs="Arial" w:eastAsia="Arial" w:hAnsi="Arial"/>
                  <w:sz w:val="15"/>
                  <w:szCs w:val="15"/>
                  <w:color w:val="0000FF"/>
                </w:rPr>
                <w:t>Arrangement Agreement, dated February 19, 2019, by and among FHF Holdings Ltd.; 1197879 B.C. Ltd.; Tilray, Inc.; Compass Group Diversified</w:t>
              </w:r>
            </w:hyperlink>
          </w:p>
        </w:tc>
      </w:tr>
      <w:tr>
        <w:trPr>
          <w:trHeight w:val="128"/>
        </w:trPr>
        <w:tc>
          <w:tcPr>
            <w:tcW w:w="1160" w:type="dxa"/>
            <w:vAlign w:val="bottom"/>
          </w:tcPr>
          <w:p>
            <w:pPr>
              <w:spacing w:after="0"/>
              <w:rPr>
                <w:sz w:val="11"/>
                <w:szCs w:val="11"/>
                <w:color w:val="auto"/>
              </w:rPr>
            </w:pPr>
          </w:p>
        </w:tc>
        <w:tc>
          <w:tcPr>
            <w:tcW w:w="10060" w:type="dxa"/>
            <w:vAlign w:val="bottom"/>
            <w:tcBorders>
              <w:top w:val="single" w:sz="8" w:color="0000FF"/>
              <w:bottom w:val="single" w:sz="8" w:color="0000FF"/>
            </w:tcBorders>
            <w:gridSpan w:val="47"/>
          </w:tcPr>
          <w:p>
            <w:pPr>
              <w:spacing w:after="0" w:line="129" w:lineRule="exact"/>
              <w:rPr>
                <w:rFonts w:ascii="Arial" w:cs="Arial" w:eastAsia="Arial" w:hAnsi="Arial"/>
                <w:sz w:val="14"/>
                <w:szCs w:val="14"/>
                <w:color w:val="0000FF"/>
              </w:rPr>
            </w:pPr>
            <w:hyperlink r:id="rId226">
              <w:r>
                <w:rPr>
                  <w:rFonts w:ascii="Arial" w:cs="Arial" w:eastAsia="Arial" w:hAnsi="Arial"/>
                  <w:sz w:val="14"/>
                  <w:szCs w:val="14"/>
                  <w:color w:val="0000FF"/>
                </w:rPr>
                <w:t>Holdings LLC and each Shareholder that is, or is made pursuant to the Plan of Arrangement, a party thereto (incorporated by reference to Exhibit</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1160" w:type="dxa"/>
            <w:vAlign w:val="bottom"/>
          </w:tcPr>
          <w:p>
            <w:pPr>
              <w:spacing w:after="0"/>
              <w:rPr>
                <w:sz w:val="11"/>
                <w:szCs w:val="11"/>
                <w:color w:val="auto"/>
              </w:rPr>
            </w:pPr>
          </w:p>
        </w:tc>
        <w:tc>
          <w:tcPr>
            <w:tcW w:w="4780" w:type="dxa"/>
            <w:vAlign w:val="bottom"/>
            <w:tcBorders>
              <w:bottom w:val="single" w:sz="8" w:color="0000FF"/>
            </w:tcBorders>
            <w:gridSpan w:val="12"/>
          </w:tcPr>
          <w:p>
            <w:pPr>
              <w:spacing w:after="0" w:line="129" w:lineRule="exact"/>
              <w:rPr>
                <w:rFonts w:ascii="Arial" w:cs="Arial" w:eastAsia="Arial" w:hAnsi="Arial"/>
                <w:sz w:val="14"/>
                <w:szCs w:val="14"/>
                <w:color w:val="0000FF"/>
              </w:rPr>
            </w:pPr>
            <w:hyperlink r:id="rId226">
              <w:r>
                <w:rPr>
                  <w:rFonts w:ascii="Arial" w:cs="Arial" w:eastAsia="Arial" w:hAnsi="Arial"/>
                  <w:sz w:val="14"/>
                  <w:szCs w:val="14"/>
                  <w:color w:val="0000FF"/>
                </w:rPr>
                <w:t>99.</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of the Form 8-K filed on February 20, 2019 (File No. 001-34927)).</w:t>
              </w:r>
            </w:hyperlink>
          </w:p>
        </w:tc>
        <w:tc>
          <w:tcPr>
            <w:tcW w:w="5300" w:type="dxa"/>
            <w:vAlign w:val="bottom"/>
            <w:gridSpan w:val="36"/>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99.9</w:t>
            </w:r>
          </w:p>
        </w:tc>
        <w:tc>
          <w:tcPr>
            <w:tcW w:w="10100" w:type="dxa"/>
            <w:vAlign w:val="bottom"/>
            <w:gridSpan w:val="49"/>
          </w:tcPr>
          <w:p>
            <w:pPr>
              <w:spacing w:after="0"/>
              <w:rPr>
                <w:rFonts w:ascii="Arial" w:cs="Arial" w:eastAsia="Arial" w:hAnsi="Arial"/>
                <w:sz w:val="15"/>
                <w:szCs w:val="15"/>
                <w:color w:val="0000FF"/>
              </w:rPr>
            </w:pPr>
            <w:hyperlink r:id="rId227">
              <w:r>
                <w:rPr>
                  <w:rFonts w:ascii="Arial" w:cs="Arial" w:eastAsia="Arial" w:hAnsi="Arial"/>
                  <w:sz w:val="15"/>
                  <w:szCs w:val="15"/>
                  <w:color w:val="0000FF"/>
                </w:rPr>
                <w:t>Agreement and Plan of Merger, dated as of March 6, 2020, among Marucci Sports, LLC, Wheelhouse Holdings, Inc., Wheelhouse Holdings Merger</w:t>
              </w:r>
            </w:hyperlink>
          </w:p>
        </w:tc>
      </w:tr>
      <w:tr>
        <w:trPr>
          <w:trHeight w:val="128"/>
        </w:trPr>
        <w:tc>
          <w:tcPr>
            <w:tcW w:w="1160" w:type="dxa"/>
            <w:vAlign w:val="bottom"/>
          </w:tcPr>
          <w:p>
            <w:pPr>
              <w:spacing w:after="0"/>
              <w:rPr>
                <w:sz w:val="11"/>
                <w:szCs w:val="11"/>
                <w:color w:val="auto"/>
              </w:rPr>
            </w:pPr>
          </w:p>
        </w:tc>
        <w:tc>
          <w:tcPr>
            <w:tcW w:w="9540" w:type="dxa"/>
            <w:vAlign w:val="bottom"/>
            <w:tcBorders>
              <w:top w:val="single" w:sz="8" w:color="0000FF"/>
              <w:bottom w:val="single" w:sz="8" w:color="0000FF"/>
            </w:tcBorders>
            <w:gridSpan w:val="27"/>
          </w:tcPr>
          <w:p>
            <w:pPr>
              <w:spacing w:after="0" w:line="129" w:lineRule="exact"/>
              <w:rPr>
                <w:rFonts w:ascii="Arial" w:cs="Arial" w:eastAsia="Arial" w:hAnsi="Arial"/>
                <w:sz w:val="14"/>
                <w:szCs w:val="14"/>
                <w:color w:val="0000FF"/>
              </w:rPr>
            </w:pPr>
            <w:hyperlink r:id="rId227">
              <w:r>
                <w:rPr>
                  <w:rFonts w:ascii="Arial" w:cs="Arial" w:eastAsia="Arial" w:hAnsi="Arial"/>
                  <w:sz w:val="14"/>
                  <w:szCs w:val="14"/>
                  <w:color w:val="0000FF"/>
                </w:rPr>
                <w:t>Sub LLC and Wheelhouse 2020 LLC (incorporated by reference to Exhibit 99.1 of the Form 8-K filed on March 9, 2020 (File No. 001-34927))</w:t>
              </w:r>
            </w:hyperlink>
          </w:p>
        </w:tc>
        <w:tc>
          <w:tcPr>
            <w:tcW w:w="420" w:type="dxa"/>
            <w:vAlign w:val="bottom"/>
            <w:tcBorders>
              <w:top w:val="single" w:sz="8" w:color="0000FF"/>
            </w:tcBorders>
            <w:gridSpan w:val="15"/>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99.10</w:t>
            </w:r>
          </w:p>
        </w:tc>
        <w:tc>
          <w:tcPr>
            <w:tcW w:w="10100" w:type="dxa"/>
            <w:vAlign w:val="bottom"/>
            <w:gridSpan w:val="49"/>
          </w:tcPr>
          <w:p>
            <w:pPr>
              <w:spacing w:after="0"/>
              <w:rPr>
                <w:rFonts w:ascii="Arial" w:cs="Arial" w:eastAsia="Arial" w:hAnsi="Arial"/>
                <w:sz w:val="15"/>
                <w:szCs w:val="15"/>
                <w:color w:val="0000FF"/>
              </w:rPr>
            </w:pPr>
            <w:hyperlink r:id="rId228">
              <w:r>
                <w:rPr>
                  <w:rFonts w:ascii="Arial" w:cs="Arial" w:eastAsia="Arial" w:hAnsi="Arial"/>
                  <w:sz w:val="15"/>
                  <w:szCs w:val="15"/>
                  <w:color w:val="0000FF"/>
                </w:rPr>
                <w:t>Agreement and Plan of Merger, among Reel Holding Corp., BOA Parent Inc., BOA Merger Sub Inc. and Shareholder Representative Services LLC</w:t>
              </w:r>
            </w:hyperlink>
          </w:p>
        </w:tc>
      </w:tr>
      <w:tr>
        <w:trPr>
          <w:trHeight w:val="128"/>
        </w:trPr>
        <w:tc>
          <w:tcPr>
            <w:tcW w:w="1160" w:type="dxa"/>
            <w:vAlign w:val="bottom"/>
          </w:tcPr>
          <w:p>
            <w:pPr>
              <w:spacing w:after="0"/>
              <w:rPr>
                <w:sz w:val="11"/>
                <w:szCs w:val="11"/>
                <w:color w:val="auto"/>
              </w:rPr>
            </w:pPr>
          </w:p>
        </w:tc>
        <w:tc>
          <w:tcPr>
            <w:tcW w:w="738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rPr>
            </w:pPr>
            <w:hyperlink r:id="rId228">
              <w:r>
                <w:rPr>
                  <w:rFonts w:ascii="Arial" w:cs="Arial" w:eastAsia="Arial" w:hAnsi="Arial"/>
                  <w:sz w:val="14"/>
                  <w:szCs w:val="14"/>
                  <w:color w:val="0000FF"/>
                </w:rPr>
                <w:t>(incorporated by reference to Exhibit 99.3 of the Form 8-K filed on September 22, 2020 (File No. 001-34927))</w:t>
              </w:r>
            </w:hyperlink>
          </w:p>
        </w:tc>
        <w:tc>
          <w:tcPr>
            <w:tcW w:w="2540" w:type="dxa"/>
            <w:vAlign w:val="bottom"/>
            <w:tcBorders>
              <w:top w:val="single" w:sz="8" w:color="0000FF"/>
            </w:tcBorders>
            <w:gridSpan w:val="2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90"/>
        </w:trPr>
        <w:tc>
          <w:tcPr>
            <w:tcW w:w="1160" w:type="dxa"/>
            <w:vAlign w:val="bottom"/>
          </w:tcPr>
          <w:p>
            <w:pPr>
              <w:spacing w:after="0"/>
              <w:rPr>
                <w:sz w:val="20"/>
                <w:szCs w:val="20"/>
                <w:color w:val="auto"/>
              </w:rPr>
            </w:pPr>
            <w:r>
              <w:rPr>
                <w:rFonts w:ascii="Arial" w:cs="Arial" w:eastAsia="Arial" w:hAnsi="Arial"/>
                <w:sz w:val="15"/>
                <w:szCs w:val="15"/>
                <w:color w:val="auto"/>
              </w:rPr>
              <w:t>99.11</w:t>
            </w:r>
          </w:p>
        </w:tc>
        <w:tc>
          <w:tcPr>
            <w:tcW w:w="10100" w:type="dxa"/>
            <w:vAlign w:val="bottom"/>
            <w:gridSpan w:val="49"/>
          </w:tcPr>
          <w:p>
            <w:pPr>
              <w:spacing w:after="0"/>
              <w:rPr>
                <w:rFonts w:ascii="Arial" w:cs="Arial" w:eastAsia="Arial" w:hAnsi="Arial"/>
                <w:sz w:val="15"/>
                <w:szCs w:val="15"/>
                <w:color w:val="0000FF"/>
              </w:rPr>
            </w:pPr>
            <w:hyperlink r:id="rId229">
              <w:r>
                <w:rPr>
                  <w:rFonts w:ascii="Arial" w:cs="Arial" w:eastAsia="Arial" w:hAnsi="Arial"/>
                  <w:sz w:val="15"/>
                  <w:szCs w:val="15"/>
                  <w:color w:val="0000FF"/>
                </w:rPr>
                <w:t>First Amendment to Agreement and Plan of Merger, dated October 16, 2020, among Reel Holding Corp., BOA Parent Inc., BOA Merger Sub Inc.</w:t>
              </w:r>
            </w:hyperlink>
          </w:p>
        </w:tc>
      </w:tr>
      <w:tr>
        <w:trPr>
          <w:trHeight w:val="135"/>
        </w:trPr>
        <w:tc>
          <w:tcPr>
            <w:tcW w:w="1160" w:type="dxa"/>
            <w:vAlign w:val="bottom"/>
          </w:tcPr>
          <w:p>
            <w:pPr>
              <w:spacing w:after="0"/>
              <w:rPr>
                <w:sz w:val="11"/>
                <w:szCs w:val="11"/>
                <w:color w:val="auto"/>
              </w:rPr>
            </w:pPr>
          </w:p>
        </w:tc>
        <w:tc>
          <w:tcPr>
            <w:tcW w:w="9780" w:type="dxa"/>
            <w:vAlign w:val="bottom"/>
            <w:tcBorders>
              <w:top w:val="single" w:sz="8" w:color="0000FF"/>
            </w:tcBorders>
            <w:gridSpan w:val="33"/>
          </w:tcPr>
          <w:p>
            <w:pPr>
              <w:spacing w:after="0" w:line="135" w:lineRule="exact"/>
              <w:rPr>
                <w:rFonts w:ascii="Arial" w:cs="Arial" w:eastAsia="Arial" w:hAnsi="Arial"/>
                <w:sz w:val="15"/>
                <w:szCs w:val="15"/>
                <w:color w:val="0000FF"/>
              </w:rPr>
            </w:pPr>
            <w:hyperlink r:id="rId229">
              <w:r>
                <w:rPr>
                  <w:rFonts w:ascii="Arial" w:cs="Arial" w:eastAsia="Arial" w:hAnsi="Arial"/>
                  <w:sz w:val="15"/>
                  <w:szCs w:val="15"/>
                  <w:color w:val="0000FF"/>
                </w:rPr>
                <w:t>and Shareholder Representative Services LLC (incorporated by reference to Exhibit 99.2 of the Form 8-K filed on October 19, 2020 (File No. 001</w:t>
              </w:r>
            </w:hyperlink>
          </w:p>
        </w:tc>
        <w:tc>
          <w:tcPr>
            <w:tcW w:w="160" w:type="dxa"/>
            <w:vAlign w:val="bottom"/>
            <w:gridSpan w:val="8"/>
          </w:tcPr>
          <w:p>
            <w:pPr>
              <w:jc w:val="right"/>
              <w:ind w:right="100"/>
              <w:spacing w:after="0" w:line="135" w:lineRule="exact"/>
              <w:rPr>
                <w:rFonts w:ascii="Arial" w:cs="Arial" w:eastAsia="Arial" w:hAnsi="Arial"/>
                <w:sz w:val="15"/>
                <w:szCs w:val="15"/>
                <w:color w:val="0000FF"/>
                <w:w w:val="79"/>
              </w:rPr>
            </w:pPr>
            <w:hyperlink r:id="rId229">
              <w:r>
                <w:rPr>
                  <w:rFonts w:ascii="Arial" w:cs="Arial" w:eastAsia="Arial" w:hAnsi="Arial"/>
                  <w:sz w:val="15"/>
                  <w:szCs w:val="15"/>
                  <w:color w:val="0000FF"/>
                  <w:w w:val="79"/>
                </w:rPr>
                <w:t>-</w:t>
              </w:r>
            </w:hyperlink>
          </w:p>
        </w:tc>
        <w:tc>
          <w:tcPr>
            <w:tcW w:w="10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28"/>
        </w:trPr>
        <w:tc>
          <w:tcPr>
            <w:tcW w:w="1160" w:type="dxa"/>
            <w:vAlign w:val="bottom"/>
          </w:tcPr>
          <w:p>
            <w:pPr>
              <w:spacing w:after="0"/>
              <w:rPr>
                <w:sz w:val="11"/>
                <w:szCs w:val="11"/>
                <w:color w:val="auto"/>
              </w:rPr>
            </w:pPr>
          </w:p>
        </w:tc>
        <w:tc>
          <w:tcPr>
            <w:tcW w:w="54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229">
              <w:r>
                <w:rPr>
                  <w:rFonts w:ascii="Arial" w:cs="Arial" w:eastAsia="Arial" w:hAnsi="Arial"/>
                  <w:sz w:val="14"/>
                  <w:szCs w:val="14"/>
                  <w:color w:val="0000FF"/>
                </w:rPr>
                <w:t>34927)</w:t>
              </w:r>
              <w:r>
                <w:rPr>
                  <w:rFonts w:ascii="Arial" w:cs="Arial" w:eastAsia="Arial" w:hAnsi="Arial"/>
                  <w:sz w:val="14"/>
                  <w:szCs w:val="14"/>
                  <w:u w:val="single" w:color="auto"/>
                  <w:color w:val="0000FF"/>
                </w:rPr>
                <w:t>)</w:t>
              </w:r>
            </w:hyperlink>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99.12</w:t>
            </w:r>
          </w:p>
        </w:tc>
        <w:tc>
          <w:tcPr>
            <w:tcW w:w="10100" w:type="dxa"/>
            <w:vAlign w:val="bottom"/>
            <w:gridSpan w:val="49"/>
          </w:tcPr>
          <w:p>
            <w:pPr>
              <w:spacing w:after="0"/>
              <w:rPr>
                <w:rFonts w:ascii="Arial" w:cs="Arial" w:eastAsia="Arial" w:hAnsi="Arial"/>
                <w:sz w:val="15"/>
                <w:szCs w:val="15"/>
                <w:color w:val="0000FF"/>
              </w:rPr>
            </w:pPr>
            <w:hyperlink r:id="rId230">
              <w:r>
                <w:rPr>
                  <w:rFonts w:ascii="Arial" w:cs="Arial" w:eastAsia="Arial" w:hAnsi="Arial"/>
                  <w:sz w:val="15"/>
                  <w:szCs w:val="15"/>
                  <w:color w:val="0000FF"/>
                </w:rPr>
                <w:t>Stock Purchase Agreement, dated September 3, 2021, between Lugano Buyer Inc., Mordechai Haim Ferder, as trustee of The Haim Family Trust</w:t>
              </w:r>
            </w:hyperlink>
          </w:p>
        </w:tc>
      </w:tr>
      <w:tr>
        <w:trPr>
          <w:trHeight w:val="129"/>
        </w:trPr>
        <w:tc>
          <w:tcPr>
            <w:tcW w:w="1160" w:type="dxa"/>
            <w:vAlign w:val="bottom"/>
          </w:tcPr>
          <w:p>
            <w:pPr>
              <w:spacing w:after="0"/>
              <w:rPr>
                <w:sz w:val="11"/>
                <w:szCs w:val="11"/>
                <w:color w:val="auto"/>
              </w:rPr>
            </w:pPr>
          </w:p>
        </w:tc>
        <w:tc>
          <w:tcPr>
            <w:tcW w:w="982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230">
              <w:r>
                <w:rPr>
                  <w:rFonts w:ascii="Arial" w:cs="Arial" w:eastAsia="Arial" w:hAnsi="Arial"/>
                  <w:sz w:val="14"/>
                  <w:szCs w:val="14"/>
                  <w:color w:val="0000FF"/>
                </w:rPr>
                <w:t>dated 2/24/2009, Edit Fintzi Ferder, as trustee of The RF 2021 Irrevocable Trust dated 8/30/2021, Mordechai Haim Ferder, as trustee of The TF</w:t>
              </w:r>
            </w:hyperlink>
          </w:p>
        </w:tc>
        <w:tc>
          <w:tcPr>
            <w:tcW w:w="120" w:type="dxa"/>
            <w:vAlign w:val="bottom"/>
            <w:gridSpan w:val="6"/>
          </w:tcPr>
          <w:p>
            <w:pPr>
              <w:spacing w:after="0"/>
              <w:rPr>
                <w:sz w:val="11"/>
                <w:szCs w:val="11"/>
                <w:color w:val="auto"/>
              </w:rPr>
            </w:pPr>
          </w:p>
        </w:tc>
        <w:tc>
          <w:tcPr>
            <w:tcW w:w="10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28"/>
        </w:trPr>
        <w:tc>
          <w:tcPr>
            <w:tcW w:w="1160" w:type="dxa"/>
            <w:vAlign w:val="bottom"/>
          </w:tcPr>
          <w:p>
            <w:pPr>
              <w:spacing w:after="0"/>
              <w:rPr>
                <w:sz w:val="11"/>
                <w:szCs w:val="11"/>
                <w:color w:val="auto"/>
              </w:rPr>
            </w:pPr>
          </w:p>
        </w:tc>
        <w:tc>
          <w:tcPr>
            <w:tcW w:w="9700" w:type="dxa"/>
            <w:vAlign w:val="bottom"/>
            <w:tcBorders>
              <w:top w:val="single" w:sz="8" w:color="0000FF"/>
              <w:bottom w:val="single" w:sz="8" w:color="0000FF"/>
            </w:tcBorders>
            <w:gridSpan w:val="30"/>
          </w:tcPr>
          <w:p>
            <w:pPr>
              <w:spacing w:after="0" w:line="129" w:lineRule="exact"/>
              <w:rPr>
                <w:rFonts w:ascii="Arial" w:cs="Arial" w:eastAsia="Arial" w:hAnsi="Arial"/>
                <w:sz w:val="14"/>
                <w:szCs w:val="14"/>
                <w:color w:val="0000FF"/>
              </w:rPr>
            </w:pPr>
            <w:hyperlink r:id="rId230">
              <w:r>
                <w:rPr>
                  <w:rFonts w:ascii="Arial" w:cs="Arial" w:eastAsia="Arial" w:hAnsi="Arial"/>
                  <w:sz w:val="14"/>
                  <w:szCs w:val="14"/>
                  <w:color w:val="0000FF"/>
                </w:rPr>
                <w:t>2021 Irrevocable Trust dated 8/30/2021, Simba IL Holdings, LLC and Mordechai Haim Ferder in his individual capacity and as initial representative</w:t>
              </w:r>
            </w:hyperlink>
          </w:p>
        </w:tc>
        <w:tc>
          <w:tcPr>
            <w:tcW w:w="240" w:type="dxa"/>
            <w:vAlign w:val="bottom"/>
            <w:tcBorders>
              <w:bottom w:val="single" w:sz="8" w:color="0000FF"/>
            </w:tcBorders>
            <w:gridSpan w:val="11"/>
          </w:tcPr>
          <w:p>
            <w:pPr>
              <w:spacing w:after="0"/>
              <w:rPr>
                <w:sz w:val="11"/>
                <w:szCs w:val="11"/>
                <w:color w:val="auto"/>
              </w:rPr>
            </w:pPr>
          </w:p>
        </w:tc>
        <w:tc>
          <w:tcPr>
            <w:tcW w:w="10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42"/>
        </w:trPr>
        <w:tc>
          <w:tcPr>
            <w:tcW w:w="1160" w:type="dxa"/>
            <w:vAlign w:val="bottom"/>
          </w:tcPr>
          <w:p>
            <w:pPr>
              <w:spacing w:after="0"/>
              <w:rPr>
                <w:sz w:val="12"/>
                <w:szCs w:val="12"/>
                <w:color w:val="auto"/>
              </w:rPr>
            </w:pPr>
          </w:p>
        </w:tc>
        <w:tc>
          <w:tcPr>
            <w:tcW w:w="9940" w:type="dxa"/>
            <w:vAlign w:val="bottom"/>
            <w:gridSpan w:val="41"/>
          </w:tcPr>
          <w:p>
            <w:pPr>
              <w:spacing w:after="0" w:line="142" w:lineRule="exact"/>
              <w:rPr>
                <w:rFonts w:ascii="Arial" w:cs="Arial" w:eastAsia="Arial" w:hAnsi="Arial"/>
                <w:sz w:val="15"/>
                <w:szCs w:val="15"/>
                <w:color w:val="0000FF"/>
              </w:rPr>
            </w:pPr>
            <w:hyperlink r:id="rId230">
              <w:r>
                <w:rPr>
                  <w:rFonts w:ascii="Arial" w:cs="Arial" w:eastAsia="Arial" w:hAnsi="Arial"/>
                  <w:sz w:val="15"/>
                  <w:szCs w:val="15"/>
                  <w:color w:val="0000FF"/>
                </w:rPr>
                <w:t>of the Sellers (incorporated by reference to Exhibit 99.2 of the Form 8-K filed on September 7, 2021 (File No. 001-34927 and Accession No.</w:t>
              </w:r>
            </w:hyperlink>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28"/>
        </w:trPr>
        <w:tc>
          <w:tcPr>
            <w:tcW w:w="1160" w:type="dxa"/>
            <w:vAlign w:val="bottom"/>
          </w:tcPr>
          <w:p>
            <w:pPr>
              <w:spacing w:after="0"/>
              <w:rPr>
                <w:sz w:val="11"/>
                <w:szCs w:val="11"/>
                <w:color w:val="auto"/>
              </w:rPr>
            </w:pPr>
          </w:p>
        </w:tc>
        <w:tc>
          <w:tcPr>
            <w:tcW w:w="178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rPr>
            </w:pPr>
            <w:hyperlink r:id="rId230">
              <w:r>
                <w:rPr>
                  <w:rFonts w:ascii="Arial" w:cs="Arial" w:eastAsia="Arial" w:hAnsi="Arial"/>
                  <w:sz w:val="14"/>
                  <w:szCs w:val="14"/>
                  <w:color w:val="0000FF"/>
                </w:rPr>
                <w:t>0001345126-21-000039)).</w:t>
              </w:r>
            </w:hyperlink>
          </w:p>
        </w:tc>
        <w:tc>
          <w:tcPr>
            <w:tcW w:w="1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1160" w:type="dxa"/>
            <w:vAlign w:val="bottom"/>
          </w:tcPr>
          <w:p>
            <w:pPr>
              <w:spacing w:after="0"/>
              <w:rPr>
                <w:sz w:val="20"/>
                <w:szCs w:val="20"/>
                <w:color w:val="auto"/>
              </w:rPr>
            </w:pPr>
            <w:r>
              <w:rPr>
                <w:rFonts w:ascii="Arial" w:cs="Arial" w:eastAsia="Arial" w:hAnsi="Arial"/>
                <w:sz w:val="15"/>
                <w:szCs w:val="15"/>
                <w:color w:val="auto"/>
              </w:rPr>
              <w:t>99.13</w:t>
            </w:r>
          </w:p>
        </w:tc>
        <w:tc>
          <w:tcPr>
            <w:tcW w:w="10100" w:type="dxa"/>
            <w:vAlign w:val="bottom"/>
            <w:gridSpan w:val="49"/>
          </w:tcPr>
          <w:p>
            <w:pPr>
              <w:spacing w:after="0"/>
              <w:rPr>
                <w:rFonts w:ascii="Arial" w:cs="Arial" w:eastAsia="Arial" w:hAnsi="Arial"/>
                <w:sz w:val="15"/>
                <w:szCs w:val="15"/>
                <w:color w:val="0000FF"/>
              </w:rPr>
            </w:pPr>
            <w:hyperlink r:id="rId231">
              <w:r>
                <w:rPr>
                  <w:rFonts w:ascii="Arial" w:cs="Arial" w:eastAsia="Arial" w:hAnsi="Arial"/>
                  <w:sz w:val="15"/>
                  <w:szCs w:val="15"/>
                  <w:color w:val="0000FF"/>
                </w:rPr>
                <w:t>Stock Purchase Agreement, dated June 4, 2022, between VP PrimaLoft Holdings, LLC and Relentless Intermediate, Inc. (incorporated by reference</w:t>
              </w:r>
            </w:hyperlink>
          </w:p>
        </w:tc>
      </w:tr>
      <w:tr>
        <w:trPr>
          <w:trHeight w:val="128"/>
        </w:trPr>
        <w:tc>
          <w:tcPr>
            <w:tcW w:w="1160" w:type="dxa"/>
            <w:vAlign w:val="bottom"/>
          </w:tcPr>
          <w:p>
            <w:pPr>
              <w:spacing w:after="0"/>
              <w:rPr>
                <w:sz w:val="11"/>
                <w:szCs w:val="11"/>
                <w:color w:val="auto"/>
              </w:rPr>
            </w:pPr>
          </w:p>
        </w:tc>
        <w:tc>
          <w:tcPr>
            <w:tcW w:w="10040" w:type="dxa"/>
            <w:vAlign w:val="bottom"/>
            <w:tcBorders>
              <w:top w:val="single" w:sz="8" w:color="0000FF"/>
            </w:tcBorders>
            <w:gridSpan w:val="46"/>
          </w:tcPr>
          <w:p>
            <w:pPr>
              <w:spacing w:after="0" w:line="129" w:lineRule="exact"/>
              <w:rPr>
                <w:rFonts w:ascii="Arial" w:cs="Arial" w:eastAsia="Arial" w:hAnsi="Arial"/>
                <w:sz w:val="14"/>
                <w:szCs w:val="14"/>
                <w:color w:val="0000FF"/>
              </w:rPr>
            </w:pPr>
            <w:hyperlink r:id="rId231">
              <w:r>
                <w:rPr>
                  <w:rFonts w:ascii="Arial" w:cs="Arial" w:eastAsia="Arial" w:hAnsi="Arial"/>
                  <w:sz w:val="14"/>
                  <w:szCs w:val="14"/>
                  <w:color w:val="0000FF"/>
                </w:rPr>
                <w:t>to Exhibit 99.3 of the Form 8-K filed on June 6, 2022 (File No. 001-34927)).</w:t>
              </w:r>
            </w:hyperlink>
          </w:p>
        </w:tc>
        <w:tc>
          <w:tcPr>
            <w:tcW w:w="60" w:type="dxa"/>
            <w:vAlign w:val="bottom"/>
            <w:gridSpan w:val="3"/>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141" w:right="379" w:bottom="1440" w:gutter="0" w:footer="0" w:header="0"/>
        </w:sectPr>
      </w:pPr>
    </w:p>
    <w:bookmarkStart w:id="130" w:name="page131"/>
    <w:bookmarkEnd w:id="130"/>
    <w:tbl>
      <w:tblPr>
        <w:tblLayout w:type="fixed"/>
        <w:tblInd w:w="40" w:type="dxa"/>
        <w:tblCellMar>
          <w:top w:w="0" w:type="dxa"/>
          <w:left w:w="0" w:type="dxa"/>
          <w:bottom w:w="0" w:type="dxa"/>
          <w:right w:w="0" w:type="dxa"/>
        </w:tblCellMar>
      </w:tblPr>
      <w:tr>
        <w:trPr>
          <w:trHeight w:val="172"/>
        </w:trPr>
        <w:tc>
          <w:tcPr>
            <w:tcW w:w="1160" w:type="dxa"/>
            <w:vAlign w:val="bottom"/>
          </w:tcPr>
          <w:p>
            <w:pPr>
              <w:spacing w:after="0"/>
              <w:rPr>
                <w:sz w:val="20"/>
                <w:szCs w:val="20"/>
                <w:color w:val="auto"/>
              </w:rPr>
            </w:pPr>
            <w:r>
              <w:rPr>
                <w:rFonts w:ascii="Arial" w:cs="Arial" w:eastAsia="Arial" w:hAnsi="Arial"/>
                <w:sz w:val="15"/>
                <w:szCs w:val="15"/>
                <w:color w:val="auto"/>
              </w:rPr>
              <w:t>99.14</w:t>
            </w:r>
          </w:p>
        </w:tc>
        <w:tc>
          <w:tcPr>
            <w:tcW w:w="10000" w:type="dxa"/>
            <w:vAlign w:val="bottom"/>
            <w:gridSpan w:val="4"/>
          </w:tcPr>
          <w:p>
            <w:pPr>
              <w:spacing w:after="0"/>
              <w:rPr>
                <w:rFonts w:ascii="Arial" w:cs="Arial" w:eastAsia="Arial" w:hAnsi="Arial"/>
                <w:sz w:val="15"/>
                <w:szCs w:val="15"/>
                <w:color w:val="0000FF"/>
              </w:rPr>
            </w:pPr>
            <w:hyperlink r:id="rId233">
              <w:r>
                <w:rPr>
                  <w:rFonts w:ascii="Arial" w:cs="Arial" w:eastAsia="Arial" w:hAnsi="Arial"/>
                  <w:sz w:val="15"/>
                  <w:szCs w:val="15"/>
                  <w:color w:val="0000FF"/>
                </w:rPr>
                <w:t>Merger and Stock Purchase Agreement, dated January 14, 2024, by and among The Honey Pot Company Holdings, LLC, VMG Honey Pot Blocker,</w:t>
              </w:r>
            </w:hyperlink>
          </w:p>
        </w:tc>
      </w:tr>
      <w:tr>
        <w:trPr>
          <w:trHeight w:val="128"/>
        </w:trPr>
        <w:tc>
          <w:tcPr>
            <w:tcW w:w="1160" w:type="dxa"/>
            <w:vAlign w:val="bottom"/>
          </w:tcPr>
          <w:p>
            <w:pPr>
              <w:spacing w:after="0"/>
              <w:rPr>
                <w:sz w:val="11"/>
                <w:szCs w:val="11"/>
                <w:color w:val="auto"/>
              </w:rPr>
            </w:pPr>
          </w:p>
        </w:tc>
        <w:tc>
          <w:tcPr>
            <w:tcW w:w="9980" w:type="dxa"/>
            <w:vAlign w:val="bottom"/>
            <w:tcBorders>
              <w:top w:val="single" w:sz="8" w:color="0000FF"/>
            </w:tcBorders>
            <w:gridSpan w:val="3"/>
          </w:tcPr>
          <w:p>
            <w:pPr>
              <w:spacing w:after="0" w:line="129" w:lineRule="exact"/>
              <w:rPr>
                <w:rFonts w:ascii="Arial" w:cs="Arial" w:eastAsia="Arial" w:hAnsi="Arial"/>
                <w:sz w:val="14"/>
                <w:szCs w:val="14"/>
                <w:color w:val="0000FF"/>
              </w:rPr>
            </w:pPr>
            <w:hyperlink r:id="rId233">
              <w:r>
                <w:rPr>
                  <w:rFonts w:ascii="Arial" w:cs="Arial" w:eastAsia="Arial" w:hAnsi="Arial"/>
                  <w:sz w:val="14"/>
                  <w:szCs w:val="14"/>
                  <w:color w:val="0000FF"/>
                </w:rPr>
                <w:t>Inc., NVB1, Inc., VMG Tax-Exempt IV, L.P., New Voices Fund, LP, THP Intermediate, Inc., THP Merger Sub, LLC, the Sellers’ Representative and</w:t>
              </w:r>
            </w:hyperlink>
          </w:p>
        </w:tc>
        <w:tc>
          <w:tcPr>
            <w:tcW w:w="20" w:type="dxa"/>
            <w:vAlign w:val="bottom"/>
          </w:tcPr>
          <w:p>
            <w:pPr>
              <w:spacing w:after="0"/>
              <w:rPr>
                <w:sz w:val="11"/>
                <w:szCs w:val="11"/>
                <w:color w:val="auto"/>
              </w:rPr>
            </w:pPr>
          </w:p>
        </w:tc>
      </w:tr>
      <w:tr>
        <w:trPr>
          <w:trHeight w:val="129"/>
        </w:trPr>
        <w:tc>
          <w:tcPr>
            <w:tcW w:w="1160" w:type="dxa"/>
            <w:vAlign w:val="bottom"/>
          </w:tcPr>
          <w:p>
            <w:pPr>
              <w:spacing w:after="0"/>
              <w:rPr>
                <w:sz w:val="11"/>
                <w:szCs w:val="11"/>
                <w:color w:val="auto"/>
              </w:rPr>
            </w:pPr>
          </w:p>
        </w:tc>
        <w:tc>
          <w:tcPr>
            <w:tcW w:w="9820" w:type="dxa"/>
            <w:vAlign w:val="bottom"/>
            <w:tcBorders>
              <w:top w:val="single" w:sz="8" w:color="0000FF"/>
            </w:tcBorders>
            <w:gridSpan w:val="2"/>
          </w:tcPr>
          <w:p>
            <w:pPr>
              <w:spacing w:after="0" w:line="129" w:lineRule="exact"/>
              <w:rPr>
                <w:rFonts w:ascii="Arial" w:cs="Arial" w:eastAsia="Arial" w:hAnsi="Arial"/>
                <w:sz w:val="14"/>
                <w:szCs w:val="14"/>
                <w:color w:val="0000FF"/>
              </w:rPr>
            </w:pPr>
            <w:hyperlink r:id="rId233">
              <w:r>
                <w:rPr>
                  <w:rFonts w:ascii="Arial" w:cs="Arial" w:eastAsia="Arial" w:hAnsi="Arial"/>
                  <w:sz w:val="14"/>
                  <w:szCs w:val="14"/>
                  <w:color w:val="0000FF"/>
                </w:rPr>
                <w:t>certain other equity holders of THP.(incorporated by reference to Exhibit 99.3 of the Form 8-K filed on January 16, 2024 (File No. 001-34927)).</w:t>
              </w:r>
            </w:hyperlink>
          </w:p>
        </w:tc>
        <w:tc>
          <w:tcPr>
            <w:tcW w:w="180" w:type="dxa"/>
            <w:vAlign w:val="bottom"/>
            <w:gridSpan w:val="2"/>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96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00" w:type="dxa"/>
            <w:vAlign w:val="bottom"/>
            <w:gridSpan w:val="4"/>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 within</w:t>
            </w:r>
          </w:p>
        </w:tc>
      </w:tr>
      <w:tr>
        <w:trPr>
          <w:trHeight w:val="210"/>
        </w:trPr>
        <w:tc>
          <w:tcPr>
            <w:tcW w:w="1160" w:type="dxa"/>
            <w:vAlign w:val="bottom"/>
          </w:tcPr>
          <w:p>
            <w:pPr>
              <w:spacing w:after="0"/>
              <w:rPr>
                <w:sz w:val="20"/>
                <w:szCs w:val="20"/>
                <w:color w:val="auto"/>
              </w:rPr>
            </w:pPr>
            <w:r>
              <w:rPr>
                <w:rFonts w:ascii="Arial" w:cs="Arial" w:eastAsia="Arial" w:hAnsi="Arial"/>
                <w:sz w:val="15"/>
                <w:szCs w:val="15"/>
                <w:color w:val="auto"/>
              </w:rPr>
              <w:t>101.INS*</w:t>
            </w:r>
          </w:p>
        </w:tc>
        <w:tc>
          <w:tcPr>
            <w:tcW w:w="10000" w:type="dxa"/>
            <w:vAlign w:val="bottom"/>
            <w:gridSpan w:val="4"/>
          </w:tcPr>
          <w:p>
            <w:pPr>
              <w:spacing w:after="0"/>
              <w:rPr>
                <w:sz w:val="20"/>
                <w:szCs w:val="20"/>
                <w:color w:val="auto"/>
              </w:rPr>
            </w:pPr>
            <w:r>
              <w:rPr>
                <w:rFonts w:ascii="Arial" w:cs="Arial" w:eastAsia="Arial" w:hAnsi="Arial"/>
                <w:sz w:val="15"/>
                <w:szCs w:val="15"/>
                <w:color w:val="auto"/>
              </w:rPr>
              <w:t>the Inline XBRL document.</w:t>
            </w:r>
          </w:p>
        </w:tc>
      </w:tr>
      <w:tr>
        <w:trPr>
          <w:trHeight w:val="203"/>
        </w:trPr>
        <w:tc>
          <w:tcPr>
            <w:tcW w:w="1160" w:type="dxa"/>
            <w:vAlign w:val="bottom"/>
          </w:tcPr>
          <w:p>
            <w:pPr>
              <w:spacing w:after="0"/>
              <w:rPr>
                <w:sz w:val="20"/>
                <w:szCs w:val="20"/>
                <w:color w:val="auto"/>
              </w:rPr>
            </w:pPr>
            <w:r>
              <w:rPr>
                <w:rFonts w:ascii="Arial" w:cs="Arial" w:eastAsia="Arial" w:hAnsi="Arial"/>
                <w:sz w:val="15"/>
                <w:szCs w:val="15"/>
                <w:color w:val="auto"/>
              </w:rPr>
              <w:t>101.SCH*</w:t>
            </w:r>
          </w:p>
        </w:tc>
        <w:tc>
          <w:tcPr>
            <w:tcW w:w="10000" w:type="dxa"/>
            <w:vAlign w:val="bottom"/>
            <w:gridSpan w:val="4"/>
          </w:tcPr>
          <w:p>
            <w:pPr>
              <w:spacing w:after="0"/>
              <w:rPr>
                <w:sz w:val="20"/>
                <w:szCs w:val="20"/>
                <w:color w:val="auto"/>
              </w:rPr>
            </w:pPr>
            <w:r>
              <w:rPr>
                <w:rFonts w:ascii="Arial" w:cs="Arial" w:eastAsia="Arial" w:hAnsi="Arial"/>
                <w:sz w:val="15"/>
                <w:szCs w:val="15"/>
                <w:color w:val="auto"/>
              </w:rPr>
              <w:t>Inline XBRL Taxonomy Extension Schema Document</w:t>
            </w:r>
          </w:p>
        </w:tc>
      </w:tr>
      <w:tr>
        <w:trPr>
          <w:trHeight w:val="203"/>
        </w:trPr>
        <w:tc>
          <w:tcPr>
            <w:tcW w:w="1160" w:type="dxa"/>
            <w:vAlign w:val="bottom"/>
          </w:tcPr>
          <w:p>
            <w:pPr>
              <w:spacing w:after="0"/>
              <w:rPr>
                <w:sz w:val="20"/>
                <w:szCs w:val="20"/>
                <w:color w:val="auto"/>
              </w:rPr>
            </w:pPr>
            <w:r>
              <w:rPr>
                <w:rFonts w:ascii="Arial" w:cs="Arial" w:eastAsia="Arial" w:hAnsi="Arial"/>
                <w:sz w:val="15"/>
                <w:szCs w:val="15"/>
                <w:color w:val="auto"/>
              </w:rPr>
              <w:t>101.CAL*</w:t>
            </w:r>
          </w:p>
        </w:tc>
        <w:tc>
          <w:tcPr>
            <w:tcW w:w="10000" w:type="dxa"/>
            <w:vAlign w:val="bottom"/>
            <w:gridSpan w:val="4"/>
          </w:tcPr>
          <w:p>
            <w:pPr>
              <w:spacing w:after="0"/>
              <w:rPr>
                <w:sz w:val="20"/>
                <w:szCs w:val="20"/>
                <w:color w:val="auto"/>
              </w:rPr>
            </w:pPr>
            <w:r>
              <w:rPr>
                <w:rFonts w:ascii="Arial" w:cs="Arial" w:eastAsia="Arial" w:hAnsi="Arial"/>
                <w:sz w:val="15"/>
                <w:szCs w:val="15"/>
                <w:color w:val="auto"/>
              </w:rPr>
              <w:t>Inline XBRL Taxonomy Extension Calculation Linkbase Document</w:t>
            </w:r>
          </w:p>
        </w:tc>
      </w:tr>
      <w:tr>
        <w:trPr>
          <w:trHeight w:val="203"/>
        </w:trPr>
        <w:tc>
          <w:tcPr>
            <w:tcW w:w="1160" w:type="dxa"/>
            <w:vAlign w:val="bottom"/>
          </w:tcPr>
          <w:p>
            <w:pPr>
              <w:spacing w:after="0"/>
              <w:rPr>
                <w:sz w:val="20"/>
                <w:szCs w:val="20"/>
                <w:color w:val="auto"/>
              </w:rPr>
            </w:pPr>
            <w:r>
              <w:rPr>
                <w:rFonts w:ascii="Arial" w:cs="Arial" w:eastAsia="Arial" w:hAnsi="Arial"/>
                <w:sz w:val="15"/>
                <w:szCs w:val="15"/>
                <w:color w:val="auto"/>
              </w:rPr>
              <w:t>101.DEF*</w:t>
            </w:r>
          </w:p>
        </w:tc>
        <w:tc>
          <w:tcPr>
            <w:tcW w:w="10000" w:type="dxa"/>
            <w:vAlign w:val="bottom"/>
            <w:gridSpan w:val="4"/>
          </w:tcPr>
          <w:p>
            <w:pPr>
              <w:spacing w:after="0"/>
              <w:rPr>
                <w:sz w:val="20"/>
                <w:szCs w:val="20"/>
                <w:color w:val="auto"/>
              </w:rPr>
            </w:pPr>
            <w:r>
              <w:rPr>
                <w:rFonts w:ascii="Arial" w:cs="Arial" w:eastAsia="Arial" w:hAnsi="Arial"/>
                <w:sz w:val="15"/>
                <w:szCs w:val="15"/>
                <w:color w:val="auto"/>
              </w:rPr>
              <w:t>Inline XBRL Taxonomy Extension Definition Linkbase Document</w:t>
            </w:r>
          </w:p>
        </w:tc>
      </w:tr>
      <w:tr>
        <w:trPr>
          <w:trHeight w:val="203"/>
        </w:trPr>
        <w:tc>
          <w:tcPr>
            <w:tcW w:w="1160" w:type="dxa"/>
            <w:vAlign w:val="bottom"/>
          </w:tcPr>
          <w:p>
            <w:pPr>
              <w:spacing w:after="0"/>
              <w:rPr>
                <w:sz w:val="20"/>
                <w:szCs w:val="20"/>
                <w:color w:val="auto"/>
              </w:rPr>
            </w:pPr>
            <w:r>
              <w:rPr>
                <w:rFonts w:ascii="Arial" w:cs="Arial" w:eastAsia="Arial" w:hAnsi="Arial"/>
                <w:sz w:val="15"/>
                <w:szCs w:val="15"/>
                <w:color w:val="auto"/>
              </w:rPr>
              <w:t>101.LAB*</w:t>
            </w:r>
          </w:p>
        </w:tc>
        <w:tc>
          <w:tcPr>
            <w:tcW w:w="10000" w:type="dxa"/>
            <w:vAlign w:val="bottom"/>
            <w:gridSpan w:val="4"/>
          </w:tcPr>
          <w:p>
            <w:pPr>
              <w:spacing w:after="0"/>
              <w:rPr>
                <w:sz w:val="20"/>
                <w:szCs w:val="20"/>
                <w:color w:val="auto"/>
              </w:rPr>
            </w:pPr>
            <w:r>
              <w:rPr>
                <w:rFonts w:ascii="Arial" w:cs="Arial" w:eastAsia="Arial" w:hAnsi="Arial"/>
                <w:sz w:val="15"/>
                <w:szCs w:val="15"/>
                <w:color w:val="auto"/>
              </w:rPr>
              <w:t>Inline XBRL Taxonomy Extension Label Linkbase Document</w:t>
            </w:r>
          </w:p>
        </w:tc>
      </w:tr>
      <w:tr>
        <w:trPr>
          <w:trHeight w:val="203"/>
        </w:trPr>
        <w:tc>
          <w:tcPr>
            <w:tcW w:w="1160" w:type="dxa"/>
            <w:vAlign w:val="bottom"/>
          </w:tcPr>
          <w:p>
            <w:pPr>
              <w:spacing w:after="0"/>
              <w:rPr>
                <w:sz w:val="20"/>
                <w:szCs w:val="20"/>
                <w:color w:val="auto"/>
              </w:rPr>
            </w:pPr>
            <w:r>
              <w:rPr>
                <w:rFonts w:ascii="Arial" w:cs="Arial" w:eastAsia="Arial" w:hAnsi="Arial"/>
                <w:sz w:val="15"/>
                <w:szCs w:val="15"/>
                <w:color w:val="auto"/>
              </w:rPr>
              <w:t>101.PRE*</w:t>
            </w:r>
          </w:p>
        </w:tc>
        <w:tc>
          <w:tcPr>
            <w:tcW w:w="10000" w:type="dxa"/>
            <w:vAlign w:val="bottom"/>
            <w:gridSpan w:val="4"/>
          </w:tcPr>
          <w:p>
            <w:pPr>
              <w:spacing w:after="0"/>
              <w:rPr>
                <w:sz w:val="20"/>
                <w:szCs w:val="20"/>
                <w:color w:val="auto"/>
              </w:rPr>
            </w:pPr>
            <w:r>
              <w:rPr>
                <w:rFonts w:ascii="Arial" w:cs="Arial" w:eastAsia="Arial" w:hAnsi="Arial"/>
                <w:sz w:val="15"/>
                <w:szCs w:val="15"/>
                <w:color w:val="auto"/>
              </w:rPr>
              <w:t>Inline XBRL Taxonomy Extension Presentation Linkbase Document</w:t>
            </w:r>
          </w:p>
        </w:tc>
      </w:tr>
      <w:tr>
        <w:trPr>
          <w:trHeight w:val="203"/>
        </w:trPr>
        <w:tc>
          <w:tcPr>
            <w:tcW w:w="1160" w:type="dxa"/>
            <w:vAlign w:val="bottom"/>
          </w:tcPr>
          <w:p>
            <w:pPr>
              <w:spacing w:after="0"/>
              <w:rPr>
                <w:sz w:val="20"/>
                <w:szCs w:val="20"/>
                <w:color w:val="auto"/>
              </w:rPr>
            </w:pPr>
            <w:r>
              <w:rPr>
                <w:rFonts w:ascii="Arial" w:cs="Arial" w:eastAsia="Arial" w:hAnsi="Arial"/>
                <w:sz w:val="15"/>
                <w:szCs w:val="15"/>
                <w:color w:val="auto"/>
              </w:rPr>
              <w:t>104</w:t>
            </w:r>
          </w:p>
        </w:tc>
        <w:tc>
          <w:tcPr>
            <w:tcW w:w="10000" w:type="dxa"/>
            <w:vAlign w:val="bottom"/>
            <w:gridSpan w:val="4"/>
          </w:tcPr>
          <w:p>
            <w:pPr>
              <w:spacing w:after="0"/>
              <w:rPr>
                <w:sz w:val="20"/>
                <w:szCs w:val="20"/>
                <w:color w:val="auto"/>
              </w:rPr>
            </w:pPr>
            <w:r>
              <w:rPr>
                <w:rFonts w:ascii="Arial" w:cs="Arial" w:eastAsia="Arial" w:hAnsi="Arial"/>
                <w:sz w:val="15"/>
                <w:szCs w:val="15"/>
                <w:color w:val="auto"/>
              </w:rPr>
              <w:t>Cover page formatted as Inline XBRL and contained in Exhibit 101</w:t>
            </w:r>
          </w:p>
        </w:tc>
      </w:tr>
      <w:tr>
        <w:trPr>
          <w:trHeight w:val="303"/>
        </w:trPr>
        <w:tc>
          <w:tcPr>
            <w:tcW w:w="1160" w:type="dxa"/>
            <w:vAlign w:val="bottom"/>
          </w:tcPr>
          <w:p>
            <w:pPr>
              <w:spacing w:after="0"/>
              <w:rPr>
                <w:sz w:val="24"/>
                <w:szCs w:val="24"/>
                <w:color w:val="auto"/>
              </w:rPr>
            </w:pPr>
          </w:p>
        </w:tc>
        <w:tc>
          <w:tcPr>
            <w:tcW w:w="10000" w:type="dxa"/>
            <w:vAlign w:val="bottom"/>
            <w:gridSpan w:val="4"/>
          </w:tcPr>
          <w:p>
            <w:pPr>
              <w:ind w:left="4380"/>
              <w:spacing w:after="0"/>
              <w:rPr>
                <w:sz w:val="20"/>
                <w:szCs w:val="20"/>
                <w:color w:val="auto"/>
              </w:rPr>
            </w:pPr>
            <w:r>
              <w:rPr>
                <w:rFonts w:ascii="Times New Roman" w:cs="Times New Roman" w:eastAsia="Times New Roman" w:hAnsi="Times New Roman"/>
                <w:sz w:val="18"/>
                <w:szCs w:val="18"/>
                <w:color w:val="auto"/>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111125</wp:posOffset>
            </wp:positionV>
            <wp:extent cx="7543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4">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87" w:lineRule="exact"/>
        <w:rPr>
          <w:sz w:val="20"/>
          <w:szCs w:val="20"/>
          <w:color w:val="auto"/>
        </w:rPr>
      </w:pPr>
    </w:p>
    <w:p>
      <w:pPr>
        <w:ind w:left="560" w:hanging="534"/>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5"/>
          <w:szCs w:val="15"/>
          <w:color w:val="auto"/>
        </w:rPr>
        <w:t>Filed or furnished herewith.</w:t>
      </w:r>
    </w:p>
    <w:p>
      <w:pPr>
        <w:spacing w:after="0" w:line="34" w:lineRule="exact"/>
        <w:rPr>
          <w:sz w:val="20"/>
          <w:szCs w:val="20"/>
          <w:color w:val="auto"/>
        </w:rPr>
      </w:pPr>
    </w:p>
    <w:p>
      <w:pPr>
        <w:ind w:left="560" w:hanging="534"/>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5"/>
          <w:szCs w:val="15"/>
          <w:color w:val="auto"/>
        </w:rPr>
        <w:t>Denotes management contracts and compensatory plans or arrangements.</w:t>
      </w:r>
    </w:p>
    <w:p>
      <w:pPr>
        <w:spacing w:after="0" w:line="32" w:lineRule="exact"/>
        <w:rPr>
          <w:sz w:val="20"/>
          <w:szCs w:val="20"/>
          <w:color w:val="auto"/>
        </w:rPr>
      </w:pPr>
    </w:p>
    <w:p>
      <w:pPr>
        <w:jc w:val="both"/>
        <w:ind w:left="560" w:hanging="534"/>
        <w:spacing w:after="0" w:line="221" w:lineRule="auto"/>
        <w:tabs>
          <w:tab w:leader="none" w:pos="560" w:val="left"/>
        </w:tabs>
        <w:numPr>
          <w:ilvl w:val="0"/>
          <w:numId w:val="62"/>
        </w:numPr>
        <w:rPr>
          <w:rFonts w:ascii="Arial" w:cs="Arial" w:eastAsia="Arial" w:hAnsi="Arial"/>
          <w:sz w:val="16"/>
          <w:szCs w:val="16"/>
          <w:color w:val="auto"/>
        </w:rPr>
      </w:pPr>
      <w:r>
        <w:rPr>
          <w:rFonts w:ascii="Arial" w:cs="Arial" w:eastAsia="Arial" w:hAnsi="Arial"/>
          <w:sz w:val="15"/>
          <w:szCs w:val="15"/>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32.2 hereto are deemed to accompany this Annual Report on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3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1" w:right="37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7520" w:type="dxa"/>
            <w:vAlign w:val="bottom"/>
            <w:gridSpan w:val="2"/>
          </w:tcPr>
          <w:p>
            <w:pPr>
              <w:ind w:left="1840"/>
              <w:spacing w:after="0"/>
              <w:rPr>
                <w:sz w:val="20"/>
                <w:szCs w:val="20"/>
                <w:color w:val="auto"/>
              </w:rPr>
            </w:pPr>
            <w:r>
              <w:rPr>
                <w:rFonts w:ascii="Arial" w:cs="Arial" w:eastAsia="Arial" w:hAnsi="Arial"/>
                <w:sz w:val="17"/>
                <w:szCs w:val="17"/>
                <w:color w:val="auto"/>
              </w:rPr>
              <w:t>COMPASS GROUP DIVERSIFIED HOLDINGS LLC</w:t>
            </w:r>
          </w:p>
        </w:tc>
      </w:tr>
      <w:tr>
        <w:trPr>
          <w:trHeight w:val="452"/>
        </w:trPr>
        <w:tc>
          <w:tcPr>
            <w:tcW w:w="3680" w:type="dxa"/>
            <w:vAlign w:val="bottom"/>
          </w:tcPr>
          <w:p>
            <w:pPr>
              <w:spacing w:after="0"/>
              <w:rPr>
                <w:sz w:val="20"/>
                <w:szCs w:val="20"/>
                <w:color w:val="auto"/>
              </w:rPr>
            </w:pPr>
            <w:r>
              <w:rPr>
                <w:rFonts w:ascii="Arial" w:cs="Arial" w:eastAsia="Arial" w:hAnsi="Arial"/>
                <w:sz w:val="17"/>
                <w:szCs w:val="17"/>
                <w:color w:val="auto"/>
              </w:rPr>
              <w:t>Date: February 27, 2025</w:t>
            </w:r>
          </w:p>
        </w:tc>
        <w:tc>
          <w:tcPr>
            <w:tcW w:w="2480" w:type="dxa"/>
            <w:vAlign w:val="bottom"/>
          </w:tcPr>
          <w:p>
            <w:pPr>
              <w:ind w:left="1840"/>
              <w:spacing w:after="0"/>
              <w:rPr>
                <w:sz w:val="20"/>
                <w:szCs w:val="20"/>
                <w:color w:val="auto"/>
              </w:rPr>
            </w:pPr>
            <w:r>
              <w:rPr>
                <w:rFonts w:ascii="Arial" w:cs="Arial" w:eastAsia="Arial" w:hAnsi="Arial"/>
                <w:sz w:val="17"/>
                <w:szCs w:val="17"/>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Elias J. Sabo</w:t>
            </w:r>
          </w:p>
        </w:tc>
      </w:tr>
      <w:tr>
        <w:trPr>
          <w:trHeight w:val="221"/>
        </w:trPr>
        <w:tc>
          <w:tcPr>
            <w:tcW w:w="36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7"/>
                <w:szCs w:val="17"/>
                <w:color w:val="auto"/>
              </w:rPr>
              <w:t>Elias J. Sabo</w:t>
            </w:r>
          </w:p>
        </w:tc>
      </w:tr>
      <w:tr>
        <w:trPr>
          <w:trHeight w:val="225"/>
        </w:trPr>
        <w:tc>
          <w:tcPr>
            <w:tcW w:w="36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Elias J. Sabo and Stephen Keller,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95"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rPr>
              <w:t>Signature</w:t>
            </w:r>
          </w:p>
        </w:tc>
        <w:tc>
          <w:tcPr>
            <w:tcW w:w="15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7"/>
                <w:szCs w:val="17"/>
                <w:b w:val="1"/>
                <w:bCs w:val="1"/>
                <w:color w:val="auto"/>
              </w:rPr>
              <w:t>Title</w:t>
            </w:r>
          </w:p>
        </w:tc>
        <w:tc>
          <w:tcPr>
            <w:tcW w:w="2080" w:type="dxa"/>
            <w:vAlign w:val="bottom"/>
          </w:tcPr>
          <w:p>
            <w:pPr>
              <w:spacing w:after="0"/>
              <w:rPr>
                <w:sz w:val="16"/>
                <w:szCs w:val="16"/>
                <w:color w:val="auto"/>
              </w:rPr>
            </w:pPr>
          </w:p>
        </w:tc>
        <w:tc>
          <w:tcPr>
            <w:tcW w:w="2540" w:type="dxa"/>
            <w:vAlign w:val="bottom"/>
            <w:gridSpan w:val="3"/>
          </w:tcPr>
          <w:p>
            <w:pPr>
              <w:jc w:val="center"/>
              <w:ind w:left="15"/>
              <w:spacing w:after="0"/>
              <w:rPr>
                <w:sz w:val="20"/>
                <w:szCs w:val="20"/>
                <w:color w:val="auto"/>
              </w:rPr>
            </w:pPr>
            <w:r>
              <w:rPr>
                <w:rFonts w:ascii="Arial" w:cs="Arial" w:eastAsia="Arial" w:hAnsi="Arial"/>
                <w:sz w:val="17"/>
                <w:szCs w:val="17"/>
                <w:b w:val="1"/>
                <w:bCs w:val="1"/>
                <w:color w:val="auto"/>
                <w:w w:val="97"/>
              </w:rPr>
              <w:t>Date</w:t>
            </w:r>
          </w:p>
        </w:tc>
      </w:tr>
      <w:tr>
        <w:trPr>
          <w:trHeight w:val="20"/>
        </w:trPr>
        <w:tc>
          <w:tcPr>
            <w:tcW w:w="1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1"/>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Elias J. Sabo</w:t>
            </w: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w w:val="99"/>
              </w:rPr>
              <w:t>Chief Executive Officer</w:t>
            </w:r>
          </w:p>
        </w:tc>
        <w:tc>
          <w:tcPr>
            <w:tcW w:w="2540" w:type="dxa"/>
            <w:vAlign w:val="bottom"/>
            <w:gridSpan w:val="3"/>
          </w:tcPr>
          <w:p>
            <w:pPr>
              <w:jc w:val="center"/>
              <w:ind w:left="15"/>
              <w:spacing w:after="0"/>
              <w:rPr>
                <w:sz w:val="20"/>
                <w:szCs w:val="20"/>
                <w:color w:val="auto"/>
              </w:rPr>
            </w:pPr>
            <w:r>
              <w:rPr>
                <w:rFonts w:ascii="Arial" w:cs="Arial" w:eastAsia="Arial" w:hAnsi="Arial"/>
                <w:sz w:val="17"/>
                <w:szCs w:val="17"/>
                <w:color w:val="auto"/>
              </w:rPr>
              <w:t>February 27, 2025</w:t>
            </w:r>
          </w:p>
        </w:tc>
      </w:tr>
      <w:tr>
        <w:trPr>
          <w:trHeight w:val="156"/>
        </w:trPr>
        <w:tc>
          <w:tcPr>
            <w:tcW w:w="3820" w:type="dxa"/>
            <w:vAlign w:val="bottom"/>
            <w:gridSpan w:val="3"/>
          </w:tcPr>
          <w:p>
            <w:pPr>
              <w:jc w:val="center"/>
              <w:spacing w:after="0" w:line="156" w:lineRule="exact"/>
              <w:rPr>
                <w:sz w:val="20"/>
                <w:szCs w:val="20"/>
                <w:color w:val="auto"/>
              </w:rPr>
            </w:pPr>
            <w:r>
              <w:rPr>
                <w:rFonts w:ascii="Arial" w:cs="Arial" w:eastAsia="Arial" w:hAnsi="Arial"/>
                <w:sz w:val="17"/>
                <w:szCs w:val="17"/>
                <w:color w:val="auto"/>
              </w:rPr>
              <w:t>Elias J. Sabo</w:t>
            </w:r>
          </w:p>
        </w:tc>
        <w:tc>
          <w:tcPr>
            <w:tcW w:w="4880" w:type="dxa"/>
            <w:vAlign w:val="bottom"/>
            <w:gridSpan w:val="3"/>
          </w:tcPr>
          <w:p>
            <w:pPr>
              <w:jc w:val="center"/>
              <w:ind w:left="275"/>
              <w:spacing w:after="0" w:line="156" w:lineRule="exact"/>
              <w:rPr>
                <w:sz w:val="20"/>
                <w:szCs w:val="20"/>
                <w:color w:val="auto"/>
              </w:rPr>
            </w:pPr>
            <w:r>
              <w:rPr>
                <w:rFonts w:ascii="Arial" w:cs="Arial" w:eastAsia="Arial" w:hAnsi="Arial"/>
                <w:sz w:val="17"/>
                <w:szCs w:val="17"/>
                <w:color w:val="auto"/>
              </w:rPr>
              <w:t>(Principal Executive Officer)</w:t>
            </w: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5"/>
        </w:trPr>
        <w:tc>
          <w:tcPr>
            <w:tcW w:w="1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w w:val="99"/>
              </w:rPr>
              <w:t>and Director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5"/>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Stephen Keller</w:t>
            </w: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rPr>
              <w:t>Chief Financial Officer</w:t>
            </w:r>
          </w:p>
        </w:tc>
        <w:tc>
          <w:tcPr>
            <w:tcW w:w="2540" w:type="dxa"/>
            <w:vAlign w:val="bottom"/>
            <w:gridSpan w:val="3"/>
          </w:tcPr>
          <w:p>
            <w:pPr>
              <w:jc w:val="center"/>
              <w:ind w:left="15"/>
              <w:spacing w:after="0"/>
              <w:rPr>
                <w:sz w:val="20"/>
                <w:szCs w:val="20"/>
                <w:color w:val="auto"/>
              </w:rPr>
            </w:pPr>
            <w:r>
              <w:rPr>
                <w:rFonts w:ascii="Arial" w:cs="Arial" w:eastAsia="Arial" w:hAnsi="Arial"/>
                <w:sz w:val="17"/>
                <w:szCs w:val="17"/>
                <w:color w:val="auto"/>
              </w:rPr>
              <w:t>February 27, 2025</w:t>
            </w:r>
          </w:p>
        </w:tc>
      </w:tr>
      <w:tr>
        <w:trPr>
          <w:trHeight w:val="225"/>
        </w:trPr>
        <w:tc>
          <w:tcPr>
            <w:tcW w:w="3820" w:type="dxa"/>
            <w:vAlign w:val="bottom"/>
            <w:gridSpan w:val="3"/>
          </w:tcPr>
          <w:p>
            <w:pPr>
              <w:jc w:val="center"/>
              <w:spacing w:after="0"/>
              <w:rPr>
                <w:sz w:val="20"/>
                <w:szCs w:val="20"/>
                <w:color w:val="auto"/>
              </w:rPr>
            </w:pPr>
            <w:r>
              <w:rPr>
                <w:rFonts w:ascii="Arial" w:cs="Arial" w:eastAsia="Arial" w:hAnsi="Arial"/>
                <w:sz w:val="17"/>
                <w:szCs w:val="17"/>
                <w:color w:val="auto"/>
              </w:rPr>
              <w:t>Stephen Keller</w:t>
            </w: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rPr>
              <w:t>(Principal Financial and Accounting Officer)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2"/>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Alexander S. Bhathal</w:t>
            </w: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rPr>
              <w:t>Director</w:t>
            </w:r>
          </w:p>
        </w:tc>
        <w:tc>
          <w:tcPr>
            <w:tcW w:w="2540" w:type="dxa"/>
            <w:vAlign w:val="bottom"/>
            <w:gridSpan w:val="3"/>
          </w:tcPr>
          <w:p>
            <w:pPr>
              <w:jc w:val="center"/>
              <w:ind w:left="15"/>
              <w:spacing w:after="0"/>
              <w:rPr>
                <w:sz w:val="20"/>
                <w:szCs w:val="20"/>
                <w:color w:val="auto"/>
              </w:rPr>
            </w:pPr>
            <w:r>
              <w:rPr>
                <w:rFonts w:ascii="Arial" w:cs="Arial" w:eastAsia="Arial" w:hAnsi="Arial"/>
                <w:sz w:val="17"/>
                <w:szCs w:val="17"/>
                <w:color w:val="auto"/>
              </w:rPr>
              <w:t>February 27, 2025</w:t>
            </w:r>
          </w:p>
        </w:tc>
      </w:tr>
      <w:tr>
        <w:trPr>
          <w:trHeight w:val="225"/>
        </w:trPr>
        <w:tc>
          <w:tcPr>
            <w:tcW w:w="3820" w:type="dxa"/>
            <w:vAlign w:val="bottom"/>
            <w:gridSpan w:val="3"/>
          </w:tcPr>
          <w:p>
            <w:pPr>
              <w:jc w:val="center"/>
              <w:spacing w:after="0"/>
              <w:rPr>
                <w:sz w:val="20"/>
                <w:szCs w:val="20"/>
                <w:color w:val="auto"/>
              </w:rPr>
            </w:pPr>
            <w:r>
              <w:rPr>
                <w:rFonts w:ascii="Arial" w:cs="Arial" w:eastAsia="Arial" w:hAnsi="Arial"/>
                <w:sz w:val="17"/>
                <w:szCs w:val="17"/>
                <w:color w:val="auto"/>
              </w:rPr>
              <w:t>Alexander S. Bhathal</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2"/>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James J. Bottiglieri</w:t>
            </w: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rPr>
              <w:t>Director</w:t>
            </w:r>
          </w:p>
        </w:tc>
        <w:tc>
          <w:tcPr>
            <w:tcW w:w="2540" w:type="dxa"/>
            <w:vAlign w:val="bottom"/>
            <w:gridSpan w:val="3"/>
          </w:tcPr>
          <w:p>
            <w:pPr>
              <w:jc w:val="center"/>
              <w:ind w:left="15"/>
              <w:spacing w:after="0"/>
              <w:rPr>
                <w:sz w:val="20"/>
                <w:szCs w:val="20"/>
                <w:color w:val="auto"/>
              </w:rPr>
            </w:pPr>
            <w:r>
              <w:rPr>
                <w:rFonts w:ascii="Arial" w:cs="Arial" w:eastAsia="Arial" w:hAnsi="Arial"/>
                <w:sz w:val="17"/>
                <w:szCs w:val="17"/>
                <w:color w:val="auto"/>
              </w:rPr>
              <w:t>February 27, 2025</w:t>
            </w:r>
          </w:p>
        </w:tc>
      </w:tr>
      <w:tr>
        <w:trPr>
          <w:trHeight w:val="225"/>
        </w:trPr>
        <w:tc>
          <w:tcPr>
            <w:tcW w:w="3820" w:type="dxa"/>
            <w:vAlign w:val="bottom"/>
            <w:gridSpan w:val="3"/>
          </w:tcPr>
          <w:p>
            <w:pPr>
              <w:jc w:val="center"/>
              <w:spacing w:after="0"/>
              <w:rPr>
                <w:sz w:val="20"/>
                <w:szCs w:val="20"/>
                <w:color w:val="auto"/>
              </w:rPr>
            </w:pPr>
            <w:r>
              <w:rPr>
                <w:rFonts w:ascii="Arial" w:cs="Arial" w:eastAsia="Arial" w:hAnsi="Arial"/>
                <w:sz w:val="17"/>
                <w:szCs w:val="17"/>
                <w:color w:val="auto"/>
              </w:rPr>
              <w:t>James J. Bottiglieri</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2"/>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9"/>
              </w:rPr>
              <w:t>/s/ Gordon Burns</w:t>
            </w: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rPr>
              <w:t>Director</w:t>
            </w:r>
          </w:p>
        </w:tc>
        <w:tc>
          <w:tcPr>
            <w:tcW w:w="2540" w:type="dxa"/>
            <w:vAlign w:val="bottom"/>
            <w:gridSpan w:val="3"/>
          </w:tcPr>
          <w:p>
            <w:pPr>
              <w:jc w:val="center"/>
              <w:ind w:left="15"/>
              <w:spacing w:after="0"/>
              <w:rPr>
                <w:sz w:val="20"/>
                <w:szCs w:val="20"/>
                <w:color w:val="auto"/>
              </w:rPr>
            </w:pPr>
            <w:r>
              <w:rPr>
                <w:rFonts w:ascii="Arial" w:cs="Arial" w:eastAsia="Arial" w:hAnsi="Arial"/>
                <w:sz w:val="17"/>
                <w:szCs w:val="17"/>
                <w:color w:val="auto"/>
              </w:rPr>
              <w:t>February 27, 2025</w:t>
            </w:r>
          </w:p>
        </w:tc>
      </w:tr>
      <w:tr>
        <w:trPr>
          <w:trHeight w:val="225"/>
        </w:trPr>
        <w:tc>
          <w:tcPr>
            <w:tcW w:w="3820" w:type="dxa"/>
            <w:vAlign w:val="bottom"/>
            <w:gridSpan w:val="3"/>
          </w:tcPr>
          <w:p>
            <w:pPr>
              <w:jc w:val="center"/>
              <w:spacing w:after="0"/>
              <w:rPr>
                <w:sz w:val="20"/>
                <w:szCs w:val="20"/>
                <w:color w:val="auto"/>
              </w:rPr>
            </w:pPr>
            <w:r>
              <w:rPr>
                <w:rFonts w:ascii="Arial" w:cs="Arial" w:eastAsia="Arial" w:hAnsi="Arial"/>
                <w:sz w:val="17"/>
                <w:szCs w:val="17"/>
                <w:color w:val="auto"/>
              </w:rPr>
              <w:t>Gordon Burns</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2"/>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9"/>
              </w:rPr>
              <w:t>/s/ Harold S. Edwards</w:t>
            </w: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rPr>
              <w:t>Director</w:t>
            </w:r>
          </w:p>
        </w:tc>
        <w:tc>
          <w:tcPr>
            <w:tcW w:w="2540" w:type="dxa"/>
            <w:vAlign w:val="bottom"/>
            <w:gridSpan w:val="3"/>
          </w:tcPr>
          <w:p>
            <w:pPr>
              <w:jc w:val="center"/>
              <w:ind w:left="15"/>
              <w:spacing w:after="0"/>
              <w:rPr>
                <w:sz w:val="20"/>
                <w:szCs w:val="20"/>
                <w:color w:val="auto"/>
              </w:rPr>
            </w:pPr>
            <w:r>
              <w:rPr>
                <w:rFonts w:ascii="Arial" w:cs="Arial" w:eastAsia="Arial" w:hAnsi="Arial"/>
                <w:sz w:val="17"/>
                <w:szCs w:val="17"/>
                <w:color w:val="auto"/>
              </w:rPr>
              <w:t>February 27, 2025</w:t>
            </w:r>
          </w:p>
        </w:tc>
      </w:tr>
      <w:tr>
        <w:trPr>
          <w:trHeight w:val="225"/>
        </w:trPr>
        <w:tc>
          <w:tcPr>
            <w:tcW w:w="3820" w:type="dxa"/>
            <w:vAlign w:val="bottom"/>
            <w:gridSpan w:val="3"/>
          </w:tcPr>
          <w:p>
            <w:pPr>
              <w:jc w:val="center"/>
              <w:spacing w:after="0"/>
              <w:rPr>
                <w:sz w:val="20"/>
                <w:szCs w:val="20"/>
                <w:color w:val="auto"/>
              </w:rPr>
            </w:pPr>
            <w:r>
              <w:rPr>
                <w:rFonts w:ascii="Arial" w:cs="Arial" w:eastAsia="Arial" w:hAnsi="Arial"/>
                <w:sz w:val="17"/>
                <w:szCs w:val="17"/>
                <w:color w:val="auto"/>
              </w:rPr>
              <w:t>Harold S. Edwards</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2"/>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9"/>
              </w:rPr>
              <w:t>/s/ Larry L. Enterline</w:t>
            </w: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rPr>
              <w:t>Director</w:t>
            </w:r>
          </w:p>
        </w:tc>
        <w:tc>
          <w:tcPr>
            <w:tcW w:w="2540" w:type="dxa"/>
            <w:vAlign w:val="bottom"/>
            <w:gridSpan w:val="3"/>
          </w:tcPr>
          <w:p>
            <w:pPr>
              <w:jc w:val="center"/>
              <w:ind w:left="15"/>
              <w:spacing w:after="0"/>
              <w:rPr>
                <w:sz w:val="20"/>
                <w:szCs w:val="20"/>
                <w:color w:val="auto"/>
              </w:rPr>
            </w:pPr>
            <w:r>
              <w:rPr>
                <w:rFonts w:ascii="Arial" w:cs="Arial" w:eastAsia="Arial" w:hAnsi="Arial"/>
                <w:sz w:val="17"/>
                <w:szCs w:val="17"/>
                <w:color w:val="auto"/>
              </w:rPr>
              <w:t>February 27, 2025</w:t>
            </w:r>
          </w:p>
        </w:tc>
      </w:tr>
      <w:tr>
        <w:trPr>
          <w:trHeight w:val="225"/>
        </w:trPr>
        <w:tc>
          <w:tcPr>
            <w:tcW w:w="3820" w:type="dxa"/>
            <w:vAlign w:val="bottom"/>
            <w:gridSpan w:val="3"/>
          </w:tcPr>
          <w:p>
            <w:pPr>
              <w:jc w:val="center"/>
              <w:spacing w:after="0"/>
              <w:rPr>
                <w:sz w:val="20"/>
                <w:szCs w:val="20"/>
                <w:color w:val="auto"/>
              </w:rPr>
            </w:pPr>
            <w:r>
              <w:rPr>
                <w:rFonts w:ascii="Arial" w:cs="Arial" w:eastAsia="Arial" w:hAnsi="Arial"/>
                <w:sz w:val="17"/>
                <w:szCs w:val="17"/>
                <w:color w:val="auto"/>
              </w:rPr>
              <w:t>Larry L. Enterline</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2"/>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9"/>
              </w:rPr>
              <w:t>/s/ Nancy B. Mahon</w:t>
            </w: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rPr>
              <w:t>Director</w:t>
            </w:r>
          </w:p>
        </w:tc>
        <w:tc>
          <w:tcPr>
            <w:tcW w:w="2540" w:type="dxa"/>
            <w:vAlign w:val="bottom"/>
            <w:gridSpan w:val="3"/>
          </w:tcPr>
          <w:p>
            <w:pPr>
              <w:jc w:val="center"/>
              <w:ind w:left="15"/>
              <w:spacing w:after="0"/>
              <w:rPr>
                <w:sz w:val="20"/>
                <w:szCs w:val="20"/>
                <w:color w:val="auto"/>
              </w:rPr>
            </w:pPr>
            <w:r>
              <w:rPr>
                <w:rFonts w:ascii="Arial" w:cs="Arial" w:eastAsia="Arial" w:hAnsi="Arial"/>
                <w:sz w:val="17"/>
                <w:szCs w:val="17"/>
                <w:color w:val="auto"/>
              </w:rPr>
              <w:t>February 27, 2025</w:t>
            </w:r>
          </w:p>
        </w:tc>
      </w:tr>
      <w:tr>
        <w:trPr>
          <w:trHeight w:val="225"/>
        </w:trPr>
        <w:tc>
          <w:tcPr>
            <w:tcW w:w="3820" w:type="dxa"/>
            <w:vAlign w:val="bottom"/>
            <w:gridSpan w:val="3"/>
          </w:tcPr>
          <w:p>
            <w:pPr>
              <w:jc w:val="center"/>
              <w:spacing w:after="0"/>
              <w:rPr>
                <w:sz w:val="20"/>
                <w:szCs w:val="20"/>
                <w:color w:val="auto"/>
              </w:rPr>
            </w:pPr>
            <w:r>
              <w:rPr>
                <w:rFonts w:ascii="Arial" w:cs="Arial" w:eastAsia="Arial" w:hAnsi="Arial"/>
                <w:sz w:val="17"/>
                <w:szCs w:val="17"/>
                <w:color w:val="auto"/>
              </w:rPr>
              <w:t>Nancy B. Mahon</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2"/>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9"/>
              </w:rPr>
              <w:t>/s/ Teri R. Shaffer</w:t>
            </w: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rPr>
              <w:t>Director</w:t>
            </w:r>
          </w:p>
        </w:tc>
        <w:tc>
          <w:tcPr>
            <w:tcW w:w="2540" w:type="dxa"/>
            <w:vAlign w:val="bottom"/>
            <w:gridSpan w:val="3"/>
          </w:tcPr>
          <w:p>
            <w:pPr>
              <w:jc w:val="center"/>
              <w:ind w:left="15"/>
              <w:spacing w:after="0"/>
              <w:rPr>
                <w:sz w:val="20"/>
                <w:szCs w:val="20"/>
                <w:color w:val="auto"/>
              </w:rPr>
            </w:pPr>
            <w:r>
              <w:rPr>
                <w:rFonts w:ascii="Arial" w:cs="Arial" w:eastAsia="Arial" w:hAnsi="Arial"/>
                <w:sz w:val="17"/>
                <w:szCs w:val="17"/>
                <w:color w:val="auto"/>
              </w:rPr>
              <w:t>February 27, 2025</w:t>
            </w:r>
          </w:p>
        </w:tc>
      </w:tr>
      <w:tr>
        <w:trPr>
          <w:trHeight w:val="225"/>
        </w:trPr>
        <w:tc>
          <w:tcPr>
            <w:tcW w:w="3820" w:type="dxa"/>
            <w:vAlign w:val="bottom"/>
            <w:gridSpan w:val="3"/>
          </w:tcPr>
          <w:p>
            <w:pPr>
              <w:jc w:val="center"/>
              <w:spacing w:after="0"/>
              <w:rPr>
                <w:sz w:val="20"/>
                <w:szCs w:val="20"/>
                <w:color w:val="auto"/>
              </w:rPr>
            </w:pPr>
            <w:r>
              <w:rPr>
                <w:rFonts w:ascii="Arial" w:cs="Arial" w:eastAsia="Arial" w:hAnsi="Arial"/>
                <w:sz w:val="17"/>
                <w:szCs w:val="17"/>
                <w:color w:val="auto"/>
                <w:w w:val="97"/>
              </w:rPr>
              <w:t>Teri R. Shaffer</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2"/>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9"/>
              </w:rPr>
              <w:t>/s/ Heidi Locke Simon</w:t>
            </w:r>
          </w:p>
        </w:tc>
        <w:tc>
          <w:tcPr>
            <w:tcW w:w="4880" w:type="dxa"/>
            <w:vAlign w:val="bottom"/>
            <w:gridSpan w:val="3"/>
          </w:tcPr>
          <w:p>
            <w:pPr>
              <w:jc w:val="center"/>
              <w:ind w:left="275"/>
              <w:spacing w:after="0"/>
              <w:rPr>
                <w:sz w:val="20"/>
                <w:szCs w:val="20"/>
                <w:color w:val="auto"/>
              </w:rPr>
            </w:pPr>
            <w:r>
              <w:rPr>
                <w:rFonts w:ascii="Arial" w:cs="Arial" w:eastAsia="Arial" w:hAnsi="Arial"/>
                <w:sz w:val="17"/>
                <w:szCs w:val="17"/>
                <w:color w:val="auto"/>
              </w:rPr>
              <w:t>Director</w:t>
            </w:r>
          </w:p>
        </w:tc>
        <w:tc>
          <w:tcPr>
            <w:tcW w:w="2540" w:type="dxa"/>
            <w:vAlign w:val="bottom"/>
            <w:gridSpan w:val="3"/>
          </w:tcPr>
          <w:p>
            <w:pPr>
              <w:jc w:val="center"/>
              <w:ind w:left="15"/>
              <w:spacing w:after="0"/>
              <w:rPr>
                <w:sz w:val="20"/>
                <w:szCs w:val="20"/>
                <w:color w:val="auto"/>
              </w:rPr>
            </w:pPr>
            <w:r>
              <w:rPr>
                <w:rFonts w:ascii="Arial" w:cs="Arial" w:eastAsia="Arial" w:hAnsi="Arial"/>
                <w:sz w:val="17"/>
                <w:szCs w:val="17"/>
                <w:color w:val="auto"/>
              </w:rPr>
              <w:t>February 27, 2025</w:t>
            </w:r>
          </w:p>
        </w:tc>
      </w:tr>
      <w:tr>
        <w:trPr>
          <w:trHeight w:val="225"/>
        </w:trPr>
        <w:tc>
          <w:tcPr>
            <w:tcW w:w="3820" w:type="dxa"/>
            <w:vAlign w:val="bottom"/>
            <w:gridSpan w:val="3"/>
          </w:tcPr>
          <w:p>
            <w:pPr>
              <w:jc w:val="center"/>
              <w:spacing w:after="0"/>
              <w:rPr>
                <w:sz w:val="20"/>
                <w:szCs w:val="20"/>
                <w:color w:val="auto"/>
              </w:rPr>
            </w:pPr>
            <w:r>
              <w:rPr>
                <w:rFonts w:ascii="Arial" w:cs="Arial" w:eastAsia="Arial" w:hAnsi="Arial"/>
                <w:sz w:val="17"/>
                <w:szCs w:val="17"/>
                <w:color w:val="auto"/>
              </w:rPr>
              <w:t>Heide Locke Simon</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907"/>
        </w:trPr>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40" w:type="dxa"/>
            <w:vAlign w:val="bottom"/>
          </w:tcPr>
          <w:p>
            <w:pPr>
              <w:jc w:val="right"/>
              <w:ind w:right="415"/>
              <w:spacing w:after="0"/>
              <w:rPr>
                <w:sz w:val="20"/>
                <w:szCs w:val="20"/>
                <w:color w:val="auto"/>
              </w:rPr>
            </w:pPr>
            <w:r>
              <w:rPr>
                <w:rFonts w:ascii="Arial" w:cs="Arial" w:eastAsia="Arial" w:hAnsi="Arial"/>
                <w:sz w:val="16"/>
                <w:szCs w:val="16"/>
                <w:color w:val="auto"/>
              </w:rPr>
              <w:t>132</w:t>
            </w: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4"/>
        </w:trPr>
        <w:tc>
          <w:tcPr>
            <w:tcW w:w="15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168"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7520" w:type="dxa"/>
            <w:vAlign w:val="bottom"/>
            <w:gridSpan w:val="2"/>
          </w:tcPr>
          <w:p>
            <w:pPr>
              <w:ind w:left="1840"/>
              <w:spacing w:after="0"/>
              <w:rPr>
                <w:sz w:val="20"/>
                <w:szCs w:val="20"/>
                <w:color w:val="auto"/>
              </w:rPr>
            </w:pPr>
            <w:r>
              <w:rPr>
                <w:rFonts w:ascii="Arial" w:cs="Arial" w:eastAsia="Arial" w:hAnsi="Arial"/>
                <w:sz w:val="17"/>
                <w:szCs w:val="17"/>
                <w:color w:val="auto"/>
              </w:rPr>
              <w:t>COMPASS DIVERSIFIED HOLDINGS</w:t>
            </w:r>
          </w:p>
        </w:tc>
      </w:tr>
      <w:tr>
        <w:trPr>
          <w:trHeight w:val="452"/>
        </w:trPr>
        <w:tc>
          <w:tcPr>
            <w:tcW w:w="3680" w:type="dxa"/>
            <w:vAlign w:val="bottom"/>
          </w:tcPr>
          <w:p>
            <w:pPr>
              <w:spacing w:after="0"/>
              <w:rPr>
                <w:sz w:val="20"/>
                <w:szCs w:val="20"/>
                <w:color w:val="auto"/>
              </w:rPr>
            </w:pPr>
            <w:r>
              <w:rPr>
                <w:rFonts w:ascii="Arial" w:cs="Arial" w:eastAsia="Arial" w:hAnsi="Arial"/>
                <w:sz w:val="17"/>
                <w:szCs w:val="17"/>
                <w:color w:val="auto"/>
              </w:rPr>
              <w:t>Date: February 27, 2025</w:t>
            </w:r>
          </w:p>
        </w:tc>
        <w:tc>
          <w:tcPr>
            <w:tcW w:w="2480" w:type="dxa"/>
            <w:vAlign w:val="bottom"/>
          </w:tcPr>
          <w:p>
            <w:pPr>
              <w:ind w:left="1840"/>
              <w:spacing w:after="0"/>
              <w:rPr>
                <w:sz w:val="20"/>
                <w:szCs w:val="20"/>
                <w:color w:val="auto"/>
              </w:rPr>
            </w:pPr>
            <w:r>
              <w:rPr>
                <w:rFonts w:ascii="Arial" w:cs="Arial" w:eastAsia="Arial" w:hAnsi="Arial"/>
                <w:sz w:val="17"/>
                <w:szCs w:val="17"/>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Stephen Keller</w:t>
            </w:r>
          </w:p>
        </w:tc>
      </w:tr>
      <w:tr>
        <w:trPr>
          <w:trHeight w:val="221"/>
        </w:trPr>
        <w:tc>
          <w:tcPr>
            <w:tcW w:w="36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7"/>
                <w:szCs w:val="17"/>
                <w:color w:val="auto"/>
              </w:rPr>
              <w:t>Stephen Keller</w:t>
            </w:r>
          </w:p>
        </w:tc>
      </w:tr>
      <w:tr>
        <w:trPr>
          <w:trHeight w:val="225"/>
        </w:trPr>
        <w:tc>
          <w:tcPr>
            <w:tcW w:w="36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7"/>
                <w:szCs w:val="17"/>
                <w:color w:val="auto"/>
              </w:rPr>
              <w:t>Regular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133" w:name="page134"/>
    <w:bookmarkEnd w:id="133"/>
    <w:p>
      <w:pPr>
        <w:ind w:left="4060"/>
        <w:spacing w:after="0"/>
        <w:rPr>
          <w:sz w:val="20"/>
          <w:szCs w:val="20"/>
          <w:color w:val="auto"/>
        </w:rPr>
      </w:pPr>
      <w:r>
        <w:rPr>
          <w:rFonts w:ascii="Arial" w:cs="Arial" w:eastAsia="Arial" w:hAnsi="Arial"/>
          <w:sz w:val="18"/>
          <w:szCs w:val="18"/>
          <w:b w:val="1"/>
          <w:bCs w:val="1"/>
          <w:color w:val="auto"/>
        </w:rPr>
        <w:t>COMPASS DIVERSIFIED HOLDINGS</w:t>
      </w:r>
    </w:p>
    <w:p>
      <w:pPr>
        <w:spacing w:after="0" w:line="10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SUPPLEMENTAL FINANCIAL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ind w:left="180"/>
              <w:spacing w:after="0"/>
              <w:rPr>
                <w:sz w:val="20"/>
                <w:szCs w:val="20"/>
                <w:color w:val="auto"/>
              </w:rPr>
            </w:pPr>
            <w:r>
              <w:rPr>
                <w:rFonts w:ascii="Arial" w:cs="Arial" w:eastAsia="Arial" w:hAnsi="Arial"/>
                <w:sz w:val="17"/>
                <w:szCs w:val="17"/>
                <w:color w:val="auto"/>
              </w:rPr>
              <w:t>Page</w:t>
            </w:r>
          </w:p>
        </w:tc>
      </w:tr>
      <w:tr>
        <w:trPr>
          <w:trHeight w:val="207"/>
        </w:trPr>
        <w:tc>
          <w:tcPr>
            <w:tcW w:w="10280" w:type="dxa"/>
            <w:vAlign w:val="bottom"/>
            <w:gridSpan w:val="9"/>
          </w:tcPr>
          <w:p>
            <w:pPr>
              <w:spacing w:after="0"/>
              <w:rPr>
                <w:sz w:val="20"/>
                <w:szCs w:val="20"/>
                <w:color w:val="auto"/>
              </w:rPr>
            </w:pPr>
            <w:r>
              <w:rPr>
                <w:rFonts w:ascii="Arial" w:cs="Arial" w:eastAsia="Arial" w:hAnsi="Arial"/>
                <w:sz w:val="17"/>
                <w:szCs w:val="17"/>
                <w:b w:val="1"/>
                <w:bCs w:val="1"/>
                <w:color w:val="auto"/>
              </w:rPr>
              <w:t>Historical Financial Statements: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4"/>
        </w:trPr>
        <w:tc>
          <w:tcPr>
            <w:tcW w:w="10280" w:type="dxa"/>
            <w:vAlign w:val="bottom"/>
            <w:gridSpan w:val="9"/>
          </w:tcPr>
          <w:p>
            <w:pPr>
              <w:spacing w:after="0" w:line="185" w:lineRule="exact"/>
              <w:rPr>
                <w:sz w:val="20"/>
                <w:szCs w:val="20"/>
                <w:color w:val="auto"/>
              </w:rPr>
            </w:pPr>
            <w:r>
              <w:rPr>
                <w:rFonts w:ascii="Arial" w:cs="Arial" w:eastAsia="Arial" w:hAnsi="Arial"/>
                <w:sz w:val="17"/>
                <w:szCs w:val="17"/>
                <w:color w:val="0000FF"/>
              </w:rPr>
              <w:t>Report of Independent Registered Public Accounting Firm on Internal Control Over Financial Reporting</w:t>
            </w:r>
          </w:p>
        </w:tc>
        <w:tc>
          <w:tcPr>
            <w:tcW w:w="20" w:type="dxa"/>
            <w:vAlign w:val="bottom"/>
          </w:tcPr>
          <w:p>
            <w:pPr>
              <w:spacing w:after="0"/>
              <w:rPr>
                <w:sz w:val="16"/>
                <w:szCs w:val="16"/>
                <w:color w:val="auto"/>
              </w:rPr>
            </w:pPr>
          </w:p>
        </w:tc>
        <w:tc>
          <w:tcPr>
            <w:tcW w:w="780" w:type="dxa"/>
            <w:vAlign w:val="bottom"/>
            <w:gridSpan w:val="3"/>
          </w:tcPr>
          <w:p>
            <w:pPr>
              <w:spacing w:after="0" w:line="185" w:lineRule="exact"/>
              <w:rPr>
                <w:sz w:val="20"/>
                <w:szCs w:val="20"/>
                <w:color w:val="auto"/>
              </w:rPr>
            </w:pPr>
            <w:r>
              <w:rPr>
                <w:rFonts w:ascii="Arial" w:cs="Arial" w:eastAsia="Arial" w:hAnsi="Arial"/>
                <w:sz w:val="17"/>
                <w:szCs w:val="17"/>
                <w:color w:val="0000FF"/>
              </w:rPr>
              <w:t>F-2</w:t>
            </w:r>
          </w:p>
        </w:tc>
      </w:tr>
      <w:tr>
        <w:trPr>
          <w:trHeight w:val="20"/>
        </w:trPr>
        <w:tc>
          <w:tcPr>
            <w:tcW w:w="2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7760" w:type="dxa"/>
            <w:vAlign w:val="bottom"/>
            <w:gridSpan w:val="8"/>
          </w:tcPr>
          <w:p>
            <w:pPr>
              <w:spacing w:after="0"/>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Number 248)</w:t>
            </w: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spacing w:after="0"/>
              <w:rPr>
                <w:sz w:val="20"/>
                <w:szCs w:val="20"/>
                <w:color w:val="auto"/>
              </w:rPr>
            </w:pPr>
            <w:r>
              <w:rPr>
                <w:rFonts w:ascii="Arial" w:cs="Arial" w:eastAsia="Arial" w:hAnsi="Arial"/>
                <w:sz w:val="17"/>
                <w:szCs w:val="17"/>
                <w:color w:val="0000FF"/>
              </w:rPr>
              <w:t>F-4</w:t>
            </w:r>
          </w:p>
        </w:tc>
      </w:tr>
      <w:tr>
        <w:trPr>
          <w:trHeight w:val="20"/>
        </w:trPr>
        <w:tc>
          <w:tcPr>
            <w:tcW w:w="2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4380" w:type="dxa"/>
            <w:vAlign w:val="bottom"/>
            <w:gridSpan w:val="7"/>
          </w:tcPr>
          <w:p>
            <w:pPr>
              <w:spacing w:after="0"/>
              <w:rPr>
                <w:sz w:val="20"/>
                <w:szCs w:val="20"/>
                <w:color w:val="auto"/>
              </w:rPr>
            </w:pPr>
            <w:r>
              <w:rPr>
                <w:rFonts w:ascii="Arial" w:cs="Arial" w:eastAsia="Arial" w:hAnsi="Arial"/>
                <w:sz w:val="17"/>
                <w:szCs w:val="17"/>
                <w:color w:val="0000FF"/>
              </w:rPr>
              <w:t>Consolidated Balance Sheets</w:t>
            </w:r>
          </w:p>
        </w:tc>
        <w:tc>
          <w:tcPr>
            <w:tcW w:w="59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7"/>
                <w:szCs w:val="17"/>
                <w:color w:val="0000FF"/>
              </w:rPr>
              <w:t>F-6</w:t>
            </w:r>
          </w:p>
        </w:tc>
      </w:tr>
      <w:tr>
        <w:trPr>
          <w:trHeight w:val="20"/>
        </w:trPr>
        <w:tc>
          <w:tcPr>
            <w:tcW w:w="22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0280" w:type="dxa"/>
            <w:vAlign w:val="bottom"/>
            <w:gridSpan w:val="9"/>
          </w:tcPr>
          <w:p>
            <w:pPr>
              <w:spacing w:after="0"/>
              <w:rPr>
                <w:sz w:val="20"/>
                <w:szCs w:val="20"/>
                <w:color w:val="auto"/>
              </w:rPr>
            </w:pPr>
            <w:r>
              <w:rPr>
                <w:rFonts w:ascii="Arial" w:cs="Arial" w:eastAsia="Arial" w:hAnsi="Arial"/>
                <w:sz w:val="17"/>
                <w:szCs w:val="17"/>
                <w:color w:val="0000FF"/>
              </w:rPr>
              <w:t>Consolidated Statements of Operations</w:t>
            </w:r>
          </w:p>
        </w:tc>
        <w:tc>
          <w:tcPr>
            <w:tcW w:w="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7"/>
                <w:szCs w:val="17"/>
                <w:color w:val="0000FF"/>
              </w:rPr>
              <w:t>F-7</w:t>
            </w:r>
          </w:p>
        </w:tc>
      </w:tr>
      <w:tr>
        <w:trPr>
          <w:trHeight w:val="20"/>
        </w:trPr>
        <w:tc>
          <w:tcPr>
            <w:tcW w:w="2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3960" w:type="dxa"/>
            <w:vAlign w:val="bottom"/>
            <w:gridSpan w:val="6"/>
          </w:tcPr>
          <w:p>
            <w:pPr>
              <w:spacing w:after="0"/>
              <w:rPr>
                <w:sz w:val="20"/>
                <w:szCs w:val="20"/>
                <w:color w:val="auto"/>
              </w:rPr>
            </w:pPr>
            <w:r>
              <w:rPr>
                <w:rFonts w:ascii="Arial" w:cs="Arial" w:eastAsia="Arial" w:hAnsi="Arial"/>
                <w:sz w:val="17"/>
                <w:szCs w:val="17"/>
                <w:color w:val="0000FF"/>
              </w:rPr>
              <w:t>Consolidated Statements of Comprehensive Income</w:t>
            </w:r>
          </w:p>
        </w:tc>
        <w:tc>
          <w:tcPr>
            <w:tcW w:w="63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7"/>
                <w:szCs w:val="17"/>
                <w:color w:val="0000FF"/>
              </w:rPr>
              <w:t>F-8</w:t>
            </w:r>
          </w:p>
        </w:tc>
      </w:tr>
      <w:tr>
        <w:trPr>
          <w:trHeight w:val="20"/>
        </w:trPr>
        <w:tc>
          <w:tcPr>
            <w:tcW w:w="3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3960" w:type="dxa"/>
            <w:vAlign w:val="bottom"/>
            <w:gridSpan w:val="6"/>
          </w:tcPr>
          <w:p>
            <w:pPr>
              <w:spacing w:after="0"/>
              <w:rPr>
                <w:sz w:val="20"/>
                <w:szCs w:val="20"/>
                <w:color w:val="auto"/>
              </w:rPr>
            </w:pPr>
            <w:r>
              <w:rPr>
                <w:rFonts w:ascii="Arial" w:cs="Arial" w:eastAsia="Arial" w:hAnsi="Arial"/>
                <w:sz w:val="17"/>
                <w:szCs w:val="17"/>
                <w:color w:val="0000FF"/>
              </w:rPr>
              <w:t>Consolidated Statements of Stockholders’ Equity</w:t>
            </w:r>
          </w:p>
        </w:tc>
        <w:tc>
          <w:tcPr>
            <w:tcW w:w="63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7"/>
                <w:szCs w:val="17"/>
                <w:color w:val="0000FF"/>
              </w:rPr>
              <w:t>F-9</w:t>
            </w:r>
          </w:p>
        </w:tc>
      </w:tr>
      <w:tr>
        <w:trPr>
          <w:trHeight w:val="20"/>
        </w:trPr>
        <w:tc>
          <w:tcPr>
            <w:tcW w:w="2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3700" w:type="dxa"/>
            <w:vAlign w:val="bottom"/>
            <w:gridSpan w:val="5"/>
          </w:tcPr>
          <w:p>
            <w:pPr>
              <w:spacing w:after="0"/>
              <w:rPr>
                <w:sz w:val="20"/>
                <w:szCs w:val="20"/>
                <w:color w:val="auto"/>
              </w:rPr>
            </w:pPr>
            <w:r>
              <w:rPr>
                <w:rFonts w:ascii="Arial" w:cs="Arial" w:eastAsia="Arial" w:hAnsi="Arial"/>
                <w:sz w:val="17"/>
                <w:szCs w:val="17"/>
                <w:color w:val="0000FF"/>
              </w:rPr>
              <w:t>Consolidated Statements of Cash Flows</w:t>
            </w:r>
          </w:p>
        </w:tc>
        <w:tc>
          <w:tcPr>
            <w:tcW w:w="65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7"/>
                <w:szCs w:val="17"/>
                <w:color w:val="0000FF"/>
              </w:rPr>
              <w:t>F-11</w:t>
            </w:r>
          </w:p>
        </w:tc>
      </w:tr>
      <w:tr>
        <w:trPr>
          <w:trHeight w:val="20"/>
        </w:trPr>
        <w:tc>
          <w:tcPr>
            <w:tcW w:w="30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3340" w:type="dxa"/>
            <w:vAlign w:val="bottom"/>
            <w:gridSpan w:val="4"/>
          </w:tcPr>
          <w:p>
            <w:pPr>
              <w:spacing w:after="0"/>
              <w:rPr>
                <w:sz w:val="20"/>
                <w:szCs w:val="20"/>
                <w:color w:val="auto"/>
              </w:rPr>
            </w:pPr>
            <w:r>
              <w:rPr>
                <w:rFonts w:ascii="Arial" w:cs="Arial" w:eastAsia="Arial" w:hAnsi="Arial"/>
                <w:sz w:val="17"/>
                <w:szCs w:val="17"/>
                <w:color w:val="0000FF"/>
              </w:rPr>
              <w:t>Notes to Consolidated Financial Statements</w:t>
            </w:r>
          </w:p>
        </w:tc>
        <w:tc>
          <w:tcPr>
            <w:tcW w:w="694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7"/>
                <w:szCs w:val="17"/>
                <w:color w:val="0000FF"/>
              </w:rPr>
              <w:t>F-13</w:t>
            </w:r>
          </w:p>
        </w:tc>
      </w:tr>
      <w:tr>
        <w:trPr>
          <w:trHeight w:val="20"/>
        </w:trPr>
        <w:tc>
          <w:tcPr>
            <w:tcW w:w="2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Financial Data:</w:t>
      </w:r>
    </w:p>
    <w:p>
      <w:pPr>
        <w:spacing w:after="0" w:line="39" w:lineRule="exact"/>
        <w:rPr>
          <w:sz w:val="20"/>
          <w:szCs w:val="20"/>
          <w:color w:val="auto"/>
        </w:rPr>
      </w:pPr>
    </w:p>
    <w:p>
      <w:pPr>
        <w:ind w:right="840"/>
        <w:spacing w:after="0" w:line="242" w:lineRule="auto"/>
        <w:rPr>
          <w:sz w:val="20"/>
          <w:szCs w:val="20"/>
          <w:color w:val="auto"/>
        </w:rPr>
      </w:pPr>
      <w:r>
        <w:rPr>
          <w:rFonts w:ascii="Arial" w:cs="Arial" w:eastAsia="Arial" w:hAnsi="Arial"/>
          <w:sz w:val="17"/>
          <w:szCs w:val="17"/>
          <w:color w:val="auto"/>
        </w:rPr>
        <w:t>The following supplementary financial data of the registrant and its subsidiaries required to be included in Item 15(a)(2) of Form 10-K are listed below:</w:t>
      </w:r>
    </w:p>
    <w:tbl>
      <w:tblPr>
        <w:tblLayout w:type="fixed"/>
        <w:tblInd w:w="0" w:type="dxa"/>
        <w:tblCellMar>
          <w:top w:w="0" w:type="dxa"/>
          <w:left w:w="0" w:type="dxa"/>
          <w:bottom w:w="0" w:type="dxa"/>
          <w:right w:w="0" w:type="dxa"/>
        </w:tblCellMar>
      </w:tblPr>
      <w:tr>
        <w:trPr>
          <w:trHeight w:val="176"/>
        </w:trPr>
        <w:tc>
          <w:tcPr>
            <w:tcW w:w="3640" w:type="dxa"/>
            <w:vAlign w:val="bottom"/>
            <w:tcBorders>
              <w:bottom w:val="single" w:sz="8" w:color="0000FF"/>
            </w:tcBorders>
          </w:tcPr>
          <w:p>
            <w:pPr>
              <w:spacing w:after="0" w:line="176" w:lineRule="exact"/>
              <w:rPr>
                <w:sz w:val="20"/>
                <w:szCs w:val="20"/>
                <w:color w:val="auto"/>
              </w:rPr>
            </w:pPr>
            <w:r>
              <w:rPr>
                <w:rFonts w:ascii="Arial" w:cs="Arial" w:eastAsia="Arial" w:hAnsi="Arial"/>
                <w:sz w:val="17"/>
                <w:szCs w:val="17"/>
                <w:color w:val="0000FF"/>
                <w:w w:val="99"/>
              </w:rPr>
              <w:t>Schedule II – Valuation and Qualifying Accounts</w:t>
            </w:r>
          </w:p>
        </w:tc>
        <w:tc>
          <w:tcPr>
            <w:tcW w:w="6660" w:type="dxa"/>
            <w:vAlign w:val="bottom"/>
          </w:tcPr>
          <w:p>
            <w:pPr>
              <w:spacing w:after="0"/>
              <w:rPr>
                <w:sz w:val="15"/>
                <w:szCs w:val="15"/>
                <w:color w:val="auto"/>
              </w:rPr>
            </w:pPr>
          </w:p>
        </w:tc>
        <w:tc>
          <w:tcPr>
            <w:tcW w:w="260" w:type="dxa"/>
            <w:vAlign w:val="bottom"/>
            <w:tcBorders>
              <w:bottom w:val="single" w:sz="8" w:color="0000FF"/>
            </w:tcBorders>
          </w:tcPr>
          <w:p>
            <w:pPr>
              <w:spacing w:after="0" w:line="176" w:lineRule="exact"/>
              <w:rPr>
                <w:sz w:val="20"/>
                <w:szCs w:val="20"/>
                <w:color w:val="auto"/>
              </w:rPr>
            </w:pPr>
            <w:r>
              <w:rPr>
                <w:rFonts w:ascii="Arial" w:cs="Arial" w:eastAsia="Arial" w:hAnsi="Arial"/>
                <w:sz w:val="17"/>
                <w:szCs w:val="17"/>
                <w:color w:val="0000FF"/>
                <w:w w:val="90"/>
              </w:rPr>
              <w:t>S-1</w:t>
            </w:r>
          </w:p>
        </w:tc>
      </w:tr>
    </w:tbl>
    <w:p>
      <w:pPr>
        <w:spacing w:after="0" w:line="32" w:lineRule="exact"/>
        <w:rPr>
          <w:sz w:val="20"/>
          <w:szCs w:val="20"/>
          <w:color w:val="auto"/>
        </w:rPr>
      </w:pPr>
    </w:p>
    <w:p>
      <w:pPr>
        <w:ind w:right="1540"/>
        <w:spacing w:after="0" w:line="251" w:lineRule="auto"/>
        <w:rPr>
          <w:sz w:val="20"/>
          <w:szCs w:val="20"/>
          <w:color w:val="auto"/>
        </w:rPr>
      </w:pPr>
      <w:r>
        <w:rPr>
          <w:rFonts w:ascii="Arial" w:cs="Arial" w:eastAsia="Arial" w:hAnsi="Arial"/>
          <w:sz w:val="17"/>
          <w:szCs w:val="17"/>
          <w:color w:val="auto"/>
        </w:rPr>
        <w:t>All other schedules not listed above have been omitted as not applicable or because the required information is included in the Consolidated Financial Statements or in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336" w:right="47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Compass Diversified Holdings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Compass Diversified Holdings (a Delaware trust) and subsidiaries (the “Company”) as of December 31, 2024,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COSO.</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2024, and our report dated February 27, 2025 expressed an unqualified opinion on those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of, and opinion on, the Company’s internal control over financial reporting does not include the internal control over financial reporting of The Honey Pot Co. (“THP”), a majority-owned subsidiary, whose financial statements reflect total assets and net revenues constituting 10% and 5%, respectively, of the related consolidated financial statement amounts as of and for the year ended December 31, 2024. As indicated in Management’s Report, THP was acquired during 2024. Management’s assertion on the effectiveness of the Company’s internal control over financial reporting excluded internal control over financial reporting of THP.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5" w:name="page136"/>
    <w:bookmarkEnd w:id="135"/>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Compass Diversified Holdings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consolidated balance sheets of Compass Diversified Holdings (a Delaware trust) and subsidiaries (the “Company”) as of December 31, 2024 and 2023, the related consolidated statements of operations, comprehensive income, stockholders’ equity, and cash flows for each of the three years in the period ended December 31, 2024,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the 2013 Internal Control— Integrated Framework issued by the Committee of Sponsoring Organizations of the Treadway Commission (“COSO”), and our report dated February 27, 2025 expressed an unqualified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The Honey Pot Co. (“THP”) – Fair Value of Tradename Intangible Asset Acquired</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described further in Note C to the consolidated financial statements, the Company completed the acquisition of THP on January 31, 2024, for consideration of approximately $377.3 million. The identifiable intangible assets acquired includes a tradename, which has been recorded by management at its estimated acquisition date fair value of $225.0 million. We identified the valuation of the tradename intangible asset in the THP acquisition as a critical audit matter.</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principal consideration for our determination that the valuation of the tradename is a critical audit matter is that the determination of the fair value of the asset required management to make significant estimates and assumptions related to forecasted revenues and operating margins as well as the discount rate used. This required a high degree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7" w:name="page138"/>
    <w:bookmarkEnd w:id="137"/>
    <w:p>
      <w:pPr>
        <w:spacing w:after="0" w:line="287" w:lineRule="auto"/>
        <w:rPr>
          <w:sz w:val="20"/>
          <w:szCs w:val="20"/>
          <w:color w:val="auto"/>
        </w:rPr>
      </w:pPr>
      <w:r>
        <w:rPr>
          <w:rFonts w:ascii="Arial" w:cs="Arial" w:eastAsia="Arial" w:hAnsi="Arial"/>
          <w:sz w:val="18"/>
          <w:szCs w:val="18"/>
          <w:color w:val="auto"/>
        </w:rPr>
        <w:t>of auditor judgment and an increased extent of effort, including the involvement of professionals with specialized skill and knowledge, in auditing these assumptions made by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valuation of the tradename included the following, among others:</w:t>
      </w:r>
    </w:p>
    <w:p>
      <w:pPr>
        <w:spacing w:after="0" w:line="306" w:lineRule="exact"/>
        <w:rPr>
          <w:sz w:val="20"/>
          <w:szCs w:val="20"/>
          <w:color w:val="auto"/>
        </w:rPr>
      </w:pPr>
    </w:p>
    <w:p>
      <w:pPr>
        <w:jc w:val="both"/>
        <w:ind w:left="660" w:hanging="328"/>
        <w:spacing w:after="0" w:line="268"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controls relating to the determination of the tradename’s fair value, including controls over the development of revenue growth rates, operating margins and discount rate assumptions, as well as the controls around the appropriateness of the valuation model used.</w:t>
      </w:r>
    </w:p>
    <w:p>
      <w:pPr>
        <w:spacing w:after="0" w:line="8"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evaluated the valuation methodology and discount rate utilized by management with the assistance of our valuation professionals with specialized skills and knowledge.</w:t>
      </w:r>
    </w:p>
    <w:p>
      <w:pPr>
        <w:spacing w:after="0" w:line="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tested the forecasted revenues and operating margins by assessing the reasonableness of management’s forecasts compared to historical results and forecasted market and industry trends.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8" w:name="page139"/>
    <w:bookmarkEnd w:id="138"/>
    <w:p>
      <w:pPr>
        <w:ind w:left="4040"/>
        <w:spacing w:after="0"/>
        <w:rPr>
          <w:sz w:val="20"/>
          <w:szCs w:val="20"/>
          <w:color w:val="auto"/>
        </w:rPr>
      </w:pPr>
      <w:r>
        <w:rPr>
          <w:rFonts w:ascii="Arial" w:cs="Arial" w:eastAsia="Arial" w:hAnsi="Arial"/>
          <w:sz w:val="18"/>
          <w:szCs w:val="18"/>
          <w:b w:val="1"/>
          <w:bCs w:val="1"/>
          <w:color w:val="auto"/>
        </w:rPr>
        <w:t>COMPASS DIVERSIFIED HOLDINGS</w:t>
      </w:r>
    </w:p>
    <w:p>
      <w:pPr>
        <w:spacing w:after="0" w:line="4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December 31,</w:t>
            </w:r>
          </w:p>
        </w:tc>
        <w:tc>
          <w:tcPr>
            <w:tcW w:w="180" w:type="dxa"/>
            <w:vAlign w:val="bottom"/>
          </w:tcPr>
          <w:p>
            <w:pPr>
              <w:spacing w:after="0"/>
              <w:rPr>
                <w:sz w:val="14"/>
                <w:szCs w:val="14"/>
                <w:color w:val="auto"/>
              </w:rPr>
            </w:pPr>
          </w:p>
        </w:tc>
        <w:tc>
          <w:tcPr>
            <w:tcW w:w="1340" w:type="dxa"/>
            <w:vAlign w:val="bottom"/>
          </w:tcPr>
          <w:p>
            <w:pPr>
              <w:jc w:val="right"/>
              <w:ind w:right="18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8"/>
        </w:trPr>
        <w:tc>
          <w:tcPr>
            <w:tcW w:w="8020" w:type="dxa"/>
            <w:vAlign w:val="bottom"/>
            <w:tcBorders>
              <w:bottom w:val="single" w:sz="8" w:color="CCEEFF"/>
            </w:tcBorders>
          </w:tcPr>
          <w:p>
            <w:pPr>
              <w:spacing w:after="0"/>
              <w:rPr>
                <w:sz w:val="20"/>
                <w:szCs w:val="20"/>
                <w:color w:val="auto"/>
              </w:rPr>
            </w:pPr>
            <w:r>
              <w:rPr>
                <w:rFonts w:ascii="Arial" w:cs="Arial" w:eastAsia="Arial" w:hAnsi="Arial"/>
                <w:sz w:val="15"/>
                <w:szCs w:val="15"/>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59,727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446,684</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Accounts receivable, net</w:t>
            </w:r>
          </w:p>
        </w:tc>
        <w:tc>
          <w:tcPr>
            <w:tcW w:w="18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444,386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308,183</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Inventories, net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962,408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723,194</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18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101,129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88,844</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Current assets of discontinued operations</w:t>
            </w: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36,915</w:t>
            </w:r>
          </w:p>
        </w:tc>
        <w:tc>
          <w:tcPr>
            <w:tcW w:w="0" w:type="dxa"/>
            <w:vAlign w:val="bottom"/>
          </w:tcPr>
          <w:p>
            <w:pPr>
              <w:spacing w:after="0"/>
              <w:rPr>
                <w:sz w:val="1"/>
                <w:szCs w:val="1"/>
                <w:color w:val="auto"/>
              </w:rPr>
            </w:pPr>
          </w:p>
        </w:tc>
      </w:tr>
      <w:tr>
        <w:trPr>
          <w:trHeight w:val="195"/>
        </w:trPr>
        <w:tc>
          <w:tcPr>
            <w:tcW w:w="8020" w:type="dxa"/>
            <w:vAlign w:val="bottom"/>
          </w:tcPr>
          <w:p>
            <w:pPr>
              <w:ind w:left="340"/>
              <w:spacing w:after="0"/>
              <w:rPr>
                <w:sz w:val="20"/>
                <w:szCs w:val="20"/>
                <w:color w:val="auto"/>
              </w:rPr>
            </w:pPr>
            <w:r>
              <w:rPr>
                <w:rFonts w:ascii="Arial" w:cs="Arial" w:eastAsia="Arial" w:hAnsi="Arial"/>
                <w:sz w:val="15"/>
                <w:szCs w:val="15"/>
                <w:color w:val="auto"/>
              </w:rPr>
              <w:t>Total current assets</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1,567,650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1,603,820</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244,746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191,283</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982,253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859,907</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1,049,186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879,078</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Other non-current assets</w:t>
            </w:r>
          </w:p>
        </w:tc>
        <w:tc>
          <w:tcPr>
            <w:tcW w:w="18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208,587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195,010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Non-current assets of discontinued operations</w:t>
            </w: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87,883</w:t>
            </w:r>
          </w:p>
        </w:tc>
        <w:tc>
          <w:tcPr>
            <w:tcW w:w="0" w:type="dxa"/>
            <w:vAlign w:val="bottom"/>
          </w:tcPr>
          <w:p>
            <w:pPr>
              <w:spacing w:after="0"/>
              <w:rPr>
                <w:sz w:val="1"/>
                <w:szCs w:val="1"/>
                <w:color w:val="auto"/>
              </w:rPr>
            </w:pPr>
          </w:p>
        </w:tc>
      </w:tr>
      <w:tr>
        <w:trPr>
          <w:trHeight w:val="197"/>
        </w:trPr>
        <w:tc>
          <w:tcPr>
            <w:tcW w:w="802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4,052,422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3,816,981</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8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Accounts payable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104,304</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91,089</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Accrued expenses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197,829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151,443</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Due to related parties (refer to Note P)</w:t>
            </w:r>
          </w:p>
        </w:tc>
        <w:tc>
          <w:tcPr>
            <w:tcW w:w="18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18,036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16,025</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Current portion, long-term debt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Other current liabilities</w:t>
            </w:r>
          </w:p>
        </w:tc>
        <w:tc>
          <w:tcPr>
            <w:tcW w:w="18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49,617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34,812</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 of discontinued operations</w:t>
            </w: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8,986</w:t>
            </w:r>
          </w:p>
        </w:tc>
        <w:tc>
          <w:tcPr>
            <w:tcW w:w="0" w:type="dxa"/>
            <w:vAlign w:val="bottom"/>
          </w:tcPr>
          <w:p>
            <w:pPr>
              <w:spacing w:after="0"/>
              <w:rPr>
                <w:sz w:val="1"/>
                <w:szCs w:val="1"/>
                <w:color w:val="auto"/>
              </w:rPr>
            </w:pPr>
          </w:p>
        </w:tc>
      </w:tr>
      <w:tr>
        <w:trPr>
          <w:trHeight w:val="195"/>
        </w:trPr>
        <w:tc>
          <w:tcPr>
            <w:tcW w:w="8020" w:type="dxa"/>
            <w:vAlign w:val="bottom"/>
          </w:tcPr>
          <w:p>
            <w:pPr>
              <w:ind w:left="34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384,786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312,355</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Deferred income taxes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119,948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118,882</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Long-term debt</w:t>
            </w:r>
          </w:p>
        </w:tc>
        <w:tc>
          <w:tcPr>
            <w:tcW w:w="18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1,759,290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1,661,879</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Other non-current liabilities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225,334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203,207</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Non-current liabilities of discontinued operations</w:t>
            </w:r>
          </w:p>
        </w:tc>
        <w:tc>
          <w:tcPr>
            <w:tcW w:w="18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1,277</w:t>
            </w:r>
          </w:p>
        </w:tc>
        <w:tc>
          <w:tcPr>
            <w:tcW w:w="0" w:type="dxa"/>
            <w:vAlign w:val="bottom"/>
          </w:tcPr>
          <w:p>
            <w:pPr>
              <w:spacing w:after="0"/>
              <w:rPr>
                <w:sz w:val="1"/>
                <w:szCs w:val="1"/>
                <w:color w:val="auto"/>
              </w:rPr>
            </w:pPr>
          </w:p>
        </w:tc>
      </w:tr>
      <w:tr>
        <w:trPr>
          <w:trHeight w:val="197"/>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2,489,358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2,297,600</w:t>
            </w:r>
          </w:p>
        </w:tc>
        <w:tc>
          <w:tcPr>
            <w:tcW w:w="0" w:type="dxa"/>
            <w:vAlign w:val="bottom"/>
          </w:tcPr>
          <w:p>
            <w:pPr>
              <w:spacing w:after="0"/>
              <w:rPr>
                <w:sz w:val="1"/>
                <w:szCs w:val="1"/>
                <w:color w:val="auto"/>
              </w:rPr>
            </w:pPr>
          </w:p>
        </w:tc>
      </w:tr>
      <w:tr>
        <w:trPr>
          <w:trHeight w:val="108"/>
        </w:trPr>
        <w:tc>
          <w:tcPr>
            <w:tcW w:w="8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 (refer to Note O)</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8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020" w:type="dxa"/>
            <w:vAlign w:val="bottom"/>
          </w:tcPr>
          <w:p>
            <w:pPr>
              <w:spacing w:after="0" w:line="158" w:lineRule="exact"/>
              <w:rPr>
                <w:sz w:val="20"/>
                <w:szCs w:val="20"/>
                <w:color w:val="auto"/>
              </w:rPr>
            </w:pPr>
            <w:r>
              <w:rPr>
                <w:rFonts w:ascii="Arial" w:cs="Arial" w:eastAsia="Arial" w:hAnsi="Arial"/>
                <w:sz w:val="15"/>
                <w:szCs w:val="15"/>
                <w:color w:val="auto"/>
              </w:rPr>
              <w:t>Trust preferred shares, 50,000 authorized; 17,497 shares issued and outstanding at December 31, 2024 and 12,600</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20" w:type="dxa"/>
            <w:vAlign w:val="bottom"/>
          </w:tcPr>
          <w:p>
            <w:pPr>
              <w:spacing w:after="0"/>
              <w:rPr>
                <w:sz w:val="20"/>
                <w:szCs w:val="20"/>
                <w:color w:val="auto"/>
              </w:rPr>
            </w:pPr>
            <w:r>
              <w:rPr>
                <w:rFonts w:ascii="Arial" w:cs="Arial" w:eastAsia="Arial" w:hAnsi="Arial"/>
                <w:sz w:val="15"/>
                <w:szCs w:val="15"/>
                <w:color w:val="auto"/>
              </w:rPr>
              <w:t>shares issued and outstanding at December 31, 2023</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Series A preferred shares, no par value, 4,551 shares issued and outstanding at December 31, 2024 and 4,000</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shares issued and outstanding at December 31, 2023</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109,159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96,417</w:t>
            </w:r>
          </w:p>
        </w:tc>
        <w:tc>
          <w:tcPr>
            <w:tcW w:w="0" w:type="dxa"/>
            <w:vAlign w:val="bottom"/>
          </w:tcPr>
          <w:p>
            <w:pPr>
              <w:spacing w:after="0"/>
              <w:rPr>
                <w:sz w:val="1"/>
                <w:szCs w:val="1"/>
                <w:color w:val="auto"/>
              </w:rPr>
            </w:pPr>
          </w:p>
        </w:tc>
      </w:tr>
      <w:tr>
        <w:trPr>
          <w:trHeight w:val="158"/>
        </w:trPr>
        <w:tc>
          <w:tcPr>
            <w:tcW w:w="8020" w:type="dxa"/>
            <w:vAlign w:val="bottom"/>
          </w:tcPr>
          <w:p>
            <w:pPr>
              <w:ind w:left="120"/>
              <w:spacing w:after="0" w:line="158" w:lineRule="exact"/>
              <w:rPr>
                <w:sz w:val="20"/>
                <w:szCs w:val="20"/>
                <w:color w:val="auto"/>
              </w:rPr>
            </w:pPr>
            <w:r>
              <w:rPr>
                <w:rFonts w:ascii="Arial" w:cs="Arial" w:eastAsia="Arial" w:hAnsi="Arial"/>
                <w:sz w:val="15"/>
                <w:szCs w:val="15"/>
                <w:color w:val="auto"/>
              </w:rPr>
              <w:t>Series B preferred shares, no par value, 6,192 shares issued and outstanding at December 31, 2024 and 4,000</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120"/>
              <w:spacing w:after="0"/>
              <w:rPr>
                <w:sz w:val="20"/>
                <w:szCs w:val="20"/>
                <w:color w:val="auto"/>
              </w:rPr>
            </w:pPr>
            <w:r>
              <w:rPr>
                <w:rFonts w:ascii="Arial" w:cs="Arial" w:eastAsia="Arial" w:hAnsi="Arial"/>
                <w:sz w:val="15"/>
                <w:szCs w:val="15"/>
                <w:color w:val="auto"/>
              </w:rPr>
              <w:t>shares issued and outstanding at December 31, 2023</w:t>
            </w:r>
          </w:p>
        </w:tc>
        <w:tc>
          <w:tcPr>
            <w:tcW w:w="18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147,906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96,504</w:t>
            </w: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120"/>
              <w:spacing w:after="0" w:line="161" w:lineRule="exact"/>
              <w:rPr>
                <w:sz w:val="20"/>
                <w:szCs w:val="20"/>
                <w:color w:val="auto"/>
              </w:rPr>
            </w:pPr>
            <w:r>
              <w:rPr>
                <w:rFonts w:ascii="Arial" w:cs="Arial" w:eastAsia="Arial" w:hAnsi="Arial"/>
                <w:sz w:val="15"/>
                <w:szCs w:val="15"/>
                <w:color w:val="auto"/>
              </w:rPr>
              <w:t>Series C preferred shares, no par value, 6,754 shares issued and outstanding at December 31, 2024 and 4,600</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shares issued and outstanding at December 31, 2023</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161,767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110,997</w:t>
            </w:r>
          </w:p>
        </w:tc>
        <w:tc>
          <w:tcPr>
            <w:tcW w:w="0" w:type="dxa"/>
            <w:vAlign w:val="bottom"/>
          </w:tcPr>
          <w:p>
            <w:pPr>
              <w:spacing w:after="0"/>
              <w:rPr>
                <w:sz w:val="1"/>
                <w:szCs w:val="1"/>
                <w:color w:val="auto"/>
              </w:rPr>
            </w:pPr>
          </w:p>
        </w:tc>
      </w:tr>
      <w:tr>
        <w:trPr>
          <w:trHeight w:val="158"/>
        </w:trPr>
        <w:tc>
          <w:tcPr>
            <w:tcW w:w="8020" w:type="dxa"/>
            <w:vAlign w:val="bottom"/>
          </w:tcPr>
          <w:p>
            <w:pPr>
              <w:spacing w:after="0" w:line="158" w:lineRule="exact"/>
              <w:rPr>
                <w:sz w:val="20"/>
                <w:szCs w:val="20"/>
                <w:color w:val="auto"/>
              </w:rPr>
            </w:pPr>
            <w:r>
              <w:rPr>
                <w:rFonts w:ascii="Arial" w:cs="Arial" w:eastAsia="Arial" w:hAnsi="Arial"/>
                <w:sz w:val="15"/>
                <w:szCs w:val="15"/>
                <w:color w:val="auto"/>
              </w:rPr>
              <w:t>Trust common shares, no par value, 500,000 authorized; 76,135 shares issued and 75,236 shares outstanding at</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20" w:type="dxa"/>
            <w:vAlign w:val="bottom"/>
          </w:tcPr>
          <w:p>
            <w:pPr>
              <w:spacing w:after="0"/>
              <w:rPr>
                <w:sz w:val="20"/>
                <w:szCs w:val="20"/>
                <w:color w:val="auto"/>
              </w:rPr>
            </w:pPr>
            <w:r>
              <w:rPr>
                <w:rFonts w:ascii="Arial" w:cs="Arial" w:eastAsia="Arial" w:hAnsi="Arial"/>
                <w:sz w:val="15"/>
                <w:szCs w:val="15"/>
                <w:color w:val="auto"/>
              </w:rPr>
              <w:t>December 31, 2024 and 75,753 shares issued and 75,270 outstanding at December 31, 2023</w:t>
            </w:r>
          </w:p>
        </w:tc>
        <w:tc>
          <w:tcPr>
            <w:tcW w:w="18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1,289,010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1,281,303</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Treasury shares, at cost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(9,339)</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Accumulated other comprehensive income (loss)</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(5,815)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(386,324)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(249,243)</w:t>
            </w:r>
          </w:p>
        </w:tc>
        <w:tc>
          <w:tcPr>
            <w:tcW w:w="0" w:type="dxa"/>
            <w:vAlign w:val="bottom"/>
          </w:tcPr>
          <w:p>
            <w:pPr>
              <w:spacing w:after="0"/>
              <w:rPr>
                <w:sz w:val="1"/>
                <w:szCs w:val="1"/>
                <w:color w:val="auto"/>
              </w:rPr>
            </w:pPr>
          </w:p>
        </w:tc>
      </w:tr>
      <w:tr>
        <w:trPr>
          <w:trHeight w:val="195"/>
        </w:trPr>
        <w:tc>
          <w:tcPr>
            <w:tcW w:w="8020" w:type="dxa"/>
            <w:vAlign w:val="bottom"/>
          </w:tcPr>
          <w:p>
            <w:pPr>
              <w:ind w:left="340"/>
              <w:spacing w:after="0"/>
              <w:rPr>
                <w:sz w:val="20"/>
                <w:szCs w:val="20"/>
                <w:color w:val="auto"/>
              </w:rPr>
            </w:pPr>
            <w:r>
              <w:rPr>
                <w:rFonts w:ascii="Arial" w:cs="Arial" w:eastAsia="Arial" w:hAnsi="Arial"/>
                <w:sz w:val="15"/>
                <w:szCs w:val="15"/>
                <w:color w:val="auto"/>
              </w:rPr>
              <w:t>Total stockholders’ equity attributable to Holdings</w:t>
            </w:r>
          </w:p>
        </w:tc>
        <w:tc>
          <w:tcPr>
            <w:tcW w:w="180" w:type="dxa"/>
            <w:vAlign w:val="bottom"/>
          </w:tcPr>
          <w:p>
            <w:pPr>
              <w:spacing w:after="0"/>
              <w:rPr>
                <w:sz w:val="16"/>
                <w:szCs w:val="16"/>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1,296,793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1,326,750</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Noncontrolling interest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266,271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175,875</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5"/>
                <w:szCs w:val="15"/>
                <w:color w:val="auto"/>
              </w:rPr>
              <w:t>Noncontrolling interest of discontinued operations</w:t>
            </w:r>
          </w:p>
        </w:tc>
        <w:tc>
          <w:tcPr>
            <w:tcW w:w="18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16,756</w:t>
            </w:r>
          </w:p>
        </w:tc>
        <w:tc>
          <w:tcPr>
            <w:tcW w:w="0" w:type="dxa"/>
            <w:vAlign w:val="bottom"/>
          </w:tcPr>
          <w:p>
            <w:pPr>
              <w:spacing w:after="0"/>
              <w:rPr>
                <w:sz w:val="1"/>
                <w:szCs w:val="1"/>
                <w:color w:val="auto"/>
              </w:rPr>
            </w:pPr>
          </w:p>
        </w:tc>
      </w:tr>
      <w:tr>
        <w:trPr>
          <w:trHeight w:val="196"/>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1,563,064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1,519,381</w:t>
            </w:r>
          </w:p>
        </w:tc>
        <w:tc>
          <w:tcPr>
            <w:tcW w:w="0" w:type="dxa"/>
            <w:vAlign w:val="bottom"/>
          </w:tcPr>
          <w:p>
            <w:pPr>
              <w:spacing w:after="0"/>
              <w:rPr>
                <w:sz w:val="1"/>
                <w:szCs w:val="1"/>
                <w:color w:val="auto"/>
              </w:rPr>
            </w:pPr>
          </w:p>
        </w:tc>
      </w:tr>
      <w:tr>
        <w:trPr>
          <w:trHeight w:val="197"/>
        </w:trPr>
        <w:tc>
          <w:tcPr>
            <w:tcW w:w="8020" w:type="dxa"/>
            <w:vAlign w:val="bottom"/>
          </w:tcPr>
          <w:p>
            <w:pPr>
              <w:spacing w:after="0"/>
              <w:rPr>
                <w:sz w:val="20"/>
                <w:szCs w:val="20"/>
                <w:color w:val="auto"/>
              </w:rPr>
            </w:pPr>
            <w:r>
              <w:rPr>
                <w:rFonts w:ascii="Arial" w:cs="Arial" w:eastAsia="Arial" w:hAnsi="Arial"/>
                <w:sz w:val="15"/>
                <w:szCs w:val="15"/>
                <w:b w:val="1"/>
                <w:bCs w:val="1"/>
                <w:color w:val="auto"/>
              </w:rPr>
              <w:t>Total liabilities and stockholders’ equity</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4,052,422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3,816,981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96" w:right="359" w:bottom="1440" w:gutter="0" w:footer="0" w:header="0"/>
        </w:sectPr>
      </w:pPr>
    </w:p>
    <w:bookmarkStart w:id="139" w:name="page140"/>
    <w:bookmarkEnd w:id="139"/>
    <w:p>
      <w:pPr>
        <w:jc w:val="center"/>
        <w:ind w:right="-59"/>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04"/>
              <w:spacing w:after="0"/>
              <w:rPr>
                <w:sz w:val="20"/>
                <w:szCs w:val="20"/>
                <w:color w:val="auto"/>
              </w:rPr>
            </w:pPr>
            <w:r>
              <w:rPr>
                <w:rFonts w:ascii="Arial" w:cs="Arial" w:eastAsia="Arial" w:hAnsi="Arial"/>
                <w:sz w:val="15"/>
                <w:szCs w:val="15"/>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19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 share data)</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2022</w:t>
            </w:r>
          </w:p>
        </w:tc>
      </w:tr>
      <w:tr>
        <w:trPr>
          <w:trHeight w:val="196"/>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2,198,233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1,965,017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1,920,695</w:t>
            </w:r>
          </w:p>
        </w:tc>
      </w:tr>
      <w:tr>
        <w:trPr>
          <w:trHeight w:val="201"/>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1,197,873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1,132,014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1,192,073</w:t>
            </w: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1,000,360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833,003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728,622</w:t>
            </w:r>
          </w:p>
        </w:tc>
      </w:tr>
      <w:tr>
        <w:trPr>
          <w:trHeight w:val="201"/>
        </w:trPr>
        <w:tc>
          <w:tcPr>
            <w:tcW w:w="640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Selling, general and administrative expense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587,520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502,013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441,629</w:t>
            </w:r>
          </w:p>
        </w:tc>
      </w:tr>
      <w:tr>
        <w:trPr>
          <w:trHeight w:val="201"/>
        </w:trPr>
        <w:tc>
          <w:tcPr>
            <w:tcW w:w="6400" w:type="dxa"/>
            <w:vAlign w:val="bottom"/>
          </w:tcPr>
          <w:p>
            <w:pPr>
              <w:ind w:left="360"/>
              <w:spacing w:after="0"/>
              <w:rPr>
                <w:sz w:val="20"/>
                <w:szCs w:val="20"/>
                <w:color w:val="auto"/>
              </w:rPr>
            </w:pPr>
            <w:r>
              <w:rPr>
                <w:rFonts w:ascii="Arial" w:cs="Arial" w:eastAsia="Arial" w:hAnsi="Arial"/>
                <w:sz w:val="15"/>
                <w:szCs w:val="15"/>
                <w:color w:val="auto"/>
              </w:rPr>
              <w:t>Management fees</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74,767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67,945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62,104</w:t>
            </w:r>
          </w:p>
        </w:tc>
      </w:tr>
      <w:tr>
        <w:trPr>
          <w:trHeight w:val="204"/>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Amortization expense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99,760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88,396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77,237</w:t>
            </w:r>
          </w:p>
        </w:tc>
      </w:tr>
      <w:tr>
        <w:trPr>
          <w:trHeight w:val="201"/>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Impairment expense</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8,182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89,400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230,131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85,249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147,652</w:t>
            </w:r>
          </w:p>
        </w:tc>
      </w:tr>
      <w:tr>
        <w:trPr>
          <w:trHeight w:val="201"/>
        </w:trPr>
        <w:tc>
          <w:tcPr>
            <w:tcW w:w="640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 expense, net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(105,179)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(83,482)</w:t>
            </w:r>
          </w:p>
        </w:tc>
      </w:tr>
      <w:tr>
        <w:trPr>
          <w:trHeight w:val="201"/>
        </w:trPr>
        <w:tc>
          <w:tcPr>
            <w:tcW w:w="6400" w:type="dxa"/>
            <w:vAlign w:val="bottom"/>
          </w:tcPr>
          <w:p>
            <w:pPr>
              <w:ind w:left="360"/>
              <w:spacing w:after="0"/>
              <w:rPr>
                <w:sz w:val="20"/>
                <w:szCs w:val="20"/>
                <w:color w:val="auto"/>
              </w:rPr>
            </w:pPr>
            <w:r>
              <w:rPr>
                <w:rFonts w:ascii="Arial" w:cs="Arial" w:eastAsia="Arial" w:hAnsi="Arial"/>
                <w:sz w:val="15"/>
                <w:szCs w:val="15"/>
                <w:color w:val="auto"/>
              </w:rPr>
              <w:t>Amortization of debt issuance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(3,740)</w:t>
            </w:r>
          </w:p>
        </w:tc>
      </w:tr>
      <w:tr>
        <w:trPr>
          <w:trHeight w:val="204"/>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Loss on sale of Crosman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6400" w:type="dxa"/>
            <w:vAlign w:val="bottom"/>
          </w:tcPr>
          <w:p>
            <w:pPr>
              <w:ind w:left="360"/>
              <w:spacing w:after="0"/>
              <w:rPr>
                <w:sz w:val="20"/>
                <w:szCs w:val="20"/>
                <w:color w:val="auto"/>
              </w:rPr>
            </w:pPr>
            <w:r>
              <w:rPr>
                <w:rFonts w:ascii="Arial" w:cs="Arial" w:eastAsia="Arial" w:hAnsi="Arial"/>
                <w:sz w:val="15"/>
                <w:szCs w:val="15"/>
                <w:color w:val="auto"/>
              </w:rPr>
              <w:t>Loss on debt extinguishment</w:t>
            </w: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(534)</w:t>
            </w:r>
          </w:p>
        </w:tc>
      </w:tr>
      <w:tr>
        <w:trPr>
          <w:trHeight w:val="204"/>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income (expense), net</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1,779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(2,315)</w:t>
            </w:r>
          </w:p>
        </w:tc>
      </w:tr>
      <w:tr>
        <w:trPr>
          <w:trHeight w:val="196"/>
        </w:trPr>
        <w:tc>
          <w:tcPr>
            <w:tcW w:w="6400" w:type="dxa"/>
            <w:vAlign w:val="bottom"/>
          </w:tcPr>
          <w:p>
            <w:pPr>
              <w:ind w:left="20"/>
              <w:spacing w:after="0"/>
              <w:rPr>
                <w:sz w:val="20"/>
                <w:szCs w:val="20"/>
                <w:color w:val="auto"/>
              </w:rPr>
            </w:pPr>
            <w:r>
              <w:rPr>
                <w:rFonts w:ascii="Arial" w:cs="Arial" w:eastAsia="Arial" w:hAnsi="Arial"/>
                <w:sz w:val="15"/>
                <w:szCs w:val="15"/>
                <w:b w:val="1"/>
                <w:bCs w:val="1"/>
                <w:color w:val="auto"/>
              </w:rPr>
              <w:t>Income (loss) from continuing operations before income taxes</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91,310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(22,189)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57,581</w:t>
            </w:r>
          </w:p>
        </w:tc>
      </w:tr>
      <w:tr>
        <w:trPr>
          <w:trHeight w:val="203"/>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Provision for income taxes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49,012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22,639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41,367</w:t>
            </w:r>
          </w:p>
        </w:tc>
      </w:tr>
      <w:tr>
        <w:trPr>
          <w:trHeight w:val="196"/>
        </w:trPr>
        <w:tc>
          <w:tcPr>
            <w:tcW w:w="6400" w:type="dxa"/>
            <w:vAlign w:val="bottom"/>
          </w:tcPr>
          <w:p>
            <w:pPr>
              <w:ind w:left="20"/>
              <w:spacing w:after="0"/>
              <w:rPr>
                <w:sz w:val="20"/>
                <w:szCs w:val="20"/>
                <w:color w:val="auto"/>
              </w:rPr>
            </w:pPr>
            <w:r>
              <w:rPr>
                <w:rFonts w:ascii="Arial" w:cs="Arial" w:eastAsia="Arial" w:hAnsi="Arial"/>
                <w:sz w:val="15"/>
                <w:szCs w:val="15"/>
                <w:b w:val="1"/>
                <w:bCs w:val="1"/>
                <w:color w:val="auto"/>
              </w:rPr>
              <w:t>Income (loss) from continuing operations</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42,298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(44,828)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16,214</w:t>
            </w:r>
          </w:p>
        </w:tc>
      </w:tr>
      <w:tr>
        <w:trPr>
          <w:trHeight w:val="203"/>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(loss) from discontinued operations, net of income tax</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25,831</w:t>
            </w:r>
          </w:p>
        </w:tc>
      </w:tr>
      <w:tr>
        <w:trPr>
          <w:trHeight w:val="201"/>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Gain on sale of discontinued operations, net of income tax</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11,957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283,025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9,393</w:t>
            </w: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47,350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262,405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51,438</w:t>
            </w:r>
          </w:p>
        </w:tc>
      </w:tr>
      <w:tr>
        <w:trPr>
          <w:trHeight w:val="201"/>
        </w:trPr>
        <w:tc>
          <w:tcPr>
            <w:tcW w:w="6400" w:type="dxa"/>
            <w:vAlign w:val="bottom"/>
          </w:tcPr>
          <w:p>
            <w:pPr>
              <w:ind w:left="360"/>
              <w:spacing w:after="0"/>
              <w:rPr>
                <w:sz w:val="20"/>
                <w:szCs w:val="20"/>
                <w:color w:val="auto"/>
              </w:rPr>
            </w:pPr>
            <w:r>
              <w:rPr>
                <w:rFonts w:ascii="Arial" w:cs="Arial" w:eastAsia="Arial" w:hAnsi="Arial"/>
                <w:sz w:val="15"/>
                <w:szCs w:val="15"/>
                <w:color w:val="auto"/>
              </w:rPr>
              <w:t>Less: Net income from continuing operations attributable to noncontrolling interest</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37,426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16,423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13,793</w:t>
            </w:r>
          </w:p>
        </w:tc>
      </w:tr>
      <w:tr>
        <w:trPr>
          <w:trHeight w:val="150"/>
        </w:trPr>
        <w:tc>
          <w:tcPr>
            <w:tcW w:w="6400" w:type="dxa"/>
            <w:vAlign w:val="bottom"/>
            <w:shd w:val="clear" w:color="auto" w:fill="CCEEFF"/>
          </w:tcPr>
          <w:p>
            <w:pPr>
              <w:ind w:left="360"/>
              <w:spacing w:after="0" w:line="150" w:lineRule="exact"/>
              <w:rPr>
                <w:sz w:val="20"/>
                <w:szCs w:val="20"/>
                <w:color w:val="auto"/>
              </w:rPr>
            </w:pPr>
            <w:r>
              <w:rPr>
                <w:rFonts w:ascii="Arial" w:cs="Arial" w:eastAsia="Arial" w:hAnsi="Arial"/>
                <w:sz w:val="15"/>
                <w:szCs w:val="15"/>
                <w:color w:val="auto"/>
              </w:rPr>
              <w:t>Less: Net income (loss) from discontinued operations attributable to noncontrolling</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1,258</w:t>
            </w:r>
          </w:p>
        </w:tc>
      </w:tr>
      <w:tr>
        <w:trPr>
          <w:trHeight w:val="19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income attributable to Holdings</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12,808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246,286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36,387</w:t>
            </w:r>
          </w:p>
        </w:tc>
      </w:tr>
      <w:tr>
        <w:trPr>
          <w:trHeight w:val="196"/>
        </w:trPr>
        <w:tc>
          <w:tcPr>
            <w:tcW w:w="6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64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common shares of Holdings: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(loss) from continuing operations</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2,421</w:t>
            </w:r>
          </w:p>
        </w:tc>
      </w:tr>
      <w:tr>
        <w:trPr>
          <w:trHeight w:val="201"/>
        </w:trPr>
        <w:tc>
          <w:tcPr>
            <w:tcW w:w="6400" w:type="dxa"/>
            <w:vAlign w:val="bottom"/>
          </w:tcPr>
          <w:p>
            <w:pPr>
              <w:ind w:left="360"/>
              <w:spacing w:after="0"/>
              <w:rPr>
                <w:sz w:val="20"/>
                <w:szCs w:val="20"/>
                <w:color w:val="auto"/>
              </w:rPr>
            </w:pPr>
            <w:r>
              <w:rPr>
                <w:rFonts w:ascii="Arial" w:cs="Arial" w:eastAsia="Arial" w:hAnsi="Arial"/>
                <w:sz w:val="15"/>
                <w:szCs w:val="15"/>
                <w:color w:val="auto"/>
              </w:rPr>
              <w:t>Income (loss) from discontinued operations, net of income tax</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24,512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24,573</w:t>
            </w:r>
          </w:p>
        </w:tc>
      </w:tr>
      <w:tr>
        <w:trPr>
          <w:trHeight w:val="203"/>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Gain on sale of discontinued operations, net of income tax</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11,957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283,025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9,393</w:t>
            </w:r>
          </w:p>
        </w:tc>
      </w:tr>
      <w:tr>
        <w:trPr>
          <w:trHeight w:val="197"/>
        </w:trPr>
        <w:tc>
          <w:tcPr>
            <w:tcW w:w="6400" w:type="dxa"/>
            <w:vAlign w:val="bottom"/>
          </w:tcPr>
          <w:p>
            <w:pPr>
              <w:ind w:left="360"/>
              <w:spacing w:after="0"/>
              <w:rPr>
                <w:sz w:val="20"/>
                <w:szCs w:val="20"/>
                <w:color w:val="auto"/>
              </w:rPr>
            </w:pPr>
            <w:r>
              <w:rPr>
                <w:rFonts w:ascii="Arial" w:cs="Arial" w:eastAsia="Arial" w:hAnsi="Arial"/>
                <w:sz w:val="15"/>
                <w:szCs w:val="15"/>
                <w:color w:val="auto"/>
              </w:rPr>
              <w:t>Net income attributable to Holdings</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12,808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246,286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36,387</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0"/>
        </w:trPr>
        <w:tc>
          <w:tcPr>
            <w:tcW w:w="64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Basic and fully diluted income (loss) per share attributable to Holdings (refer to Note J)</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01"/>
        </w:trPr>
        <w:tc>
          <w:tcPr>
            <w:tcW w:w="6400" w:type="dxa"/>
            <w:vAlign w:val="bottom"/>
          </w:tcPr>
          <w:p>
            <w:pPr>
              <w:ind w:left="360"/>
              <w:spacing w:after="0"/>
              <w:rPr>
                <w:sz w:val="20"/>
                <w:szCs w:val="20"/>
                <w:color w:val="auto"/>
              </w:rPr>
            </w:pPr>
            <w:r>
              <w:rPr>
                <w:rFonts w:ascii="Arial" w:cs="Arial" w:eastAsia="Arial" w:hAnsi="Arial"/>
                <w:sz w:val="15"/>
                <w:szCs w:val="15"/>
                <w:color w:val="auto"/>
              </w:rPr>
              <w:t>Continuing operations</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7"/>
                <w:szCs w:val="17"/>
                <w:color w:val="auto"/>
              </w:rPr>
            </w:pPr>
          </w:p>
        </w:tc>
        <w:tc>
          <w:tcPr>
            <w:tcW w:w="3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(1.81)</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(0.53)</w:t>
            </w:r>
          </w:p>
        </w:tc>
      </w:tr>
      <w:tr>
        <w:trPr>
          <w:trHeight w:val="203"/>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Discontinued operations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0.11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0.43</w:t>
            </w:r>
          </w:p>
        </w:tc>
      </w:tr>
      <w:tr>
        <w:trPr>
          <w:trHeight w:val="196"/>
        </w:trPr>
        <w:tc>
          <w:tcPr>
            <w:tcW w:w="64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30"/>
        </w:trPr>
        <w:tc>
          <w:tcPr>
            <w:tcW w:w="6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03"/>
        </w:trPr>
        <w:tc>
          <w:tcPr>
            <w:tcW w:w="6400" w:type="dxa"/>
            <w:vAlign w:val="bottom"/>
          </w:tcPr>
          <w:p>
            <w:pPr>
              <w:ind w:left="20"/>
              <w:spacing w:after="0"/>
              <w:rPr>
                <w:sz w:val="20"/>
                <w:szCs w:val="20"/>
                <w:color w:val="auto"/>
              </w:rPr>
            </w:pPr>
            <w:r>
              <w:rPr>
                <w:rFonts w:ascii="Arial" w:cs="Arial" w:eastAsia="Arial" w:hAnsi="Arial"/>
                <w:sz w:val="15"/>
                <w:szCs w:val="15"/>
                <w:color w:val="auto"/>
              </w:rPr>
              <w:t>Weighted average number of shares outstanding - basic and fully diluted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75,454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72,105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70,715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distribution declared per share (refer to Note J)</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04"/>
              <w:spacing w:after="0"/>
              <w:rPr>
                <w:sz w:val="20"/>
                <w:szCs w:val="20"/>
                <w:color w:val="auto"/>
              </w:rPr>
            </w:pPr>
            <w:r>
              <w:rPr>
                <w:rFonts w:ascii="Arial" w:cs="Arial" w:eastAsia="Arial" w:hAnsi="Arial"/>
                <w:sz w:val="15"/>
                <w:szCs w:val="15"/>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19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2022</w:t>
            </w:r>
          </w:p>
        </w:tc>
      </w:tr>
      <w:tr>
        <w:trPr>
          <w:trHeight w:val="196"/>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47,350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262,405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51,438</w:t>
            </w:r>
          </w:p>
        </w:tc>
      </w:tr>
      <w:tr>
        <w:trPr>
          <w:trHeight w:val="201"/>
        </w:trPr>
        <w:tc>
          <w:tcPr>
            <w:tcW w:w="640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6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Foreign currency translation adjustments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(1,415)</w:t>
            </w:r>
          </w:p>
        </w:tc>
      </w:tr>
      <w:tr>
        <w:trPr>
          <w:trHeight w:val="149"/>
        </w:trPr>
        <w:tc>
          <w:tcPr>
            <w:tcW w:w="6400" w:type="dxa"/>
            <w:vAlign w:val="bottom"/>
          </w:tcPr>
          <w:p>
            <w:pPr>
              <w:ind w:left="360"/>
              <w:spacing w:after="0" w:line="149" w:lineRule="exact"/>
              <w:rPr>
                <w:sz w:val="20"/>
                <w:szCs w:val="20"/>
                <w:color w:val="auto"/>
              </w:rPr>
            </w:pPr>
            <w:r>
              <w:rPr>
                <w:rFonts w:ascii="Arial" w:cs="Arial" w:eastAsia="Arial" w:hAnsi="Arial"/>
                <w:sz w:val="15"/>
                <w:szCs w:val="15"/>
                <w:color w:val="auto"/>
              </w:rPr>
              <w:t>Foreign currency amounts reclassified from accumulated other comprehensive income</w:t>
            </w: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8"/>
        </w:trPr>
        <w:tc>
          <w:tcPr>
            <w:tcW w:w="6400" w:type="dxa"/>
            <w:vAlign w:val="bottom"/>
          </w:tcPr>
          <w:p>
            <w:pPr>
              <w:ind w:left="360"/>
              <w:spacing w:after="0"/>
              <w:rPr>
                <w:sz w:val="20"/>
                <w:szCs w:val="20"/>
                <w:color w:val="auto"/>
              </w:rPr>
            </w:pPr>
            <w:r>
              <w:rPr>
                <w:rFonts w:ascii="Arial" w:cs="Arial" w:eastAsia="Arial" w:hAnsi="Arial"/>
                <w:sz w:val="15"/>
                <w:szCs w:val="15"/>
                <w:color w:val="auto"/>
              </w:rPr>
              <w:t>(loss) that increase (decrease) net income: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64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Disposition of Ergo</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Pension benefit liability, net of tax</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1,307</w:t>
            </w: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comprehensive income, net of tax</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41,424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263,652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51,330</w:t>
            </w:r>
          </w:p>
        </w:tc>
      </w:tr>
      <w:tr>
        <w:trPr>
          <w:trHeight w:val="201"/>
        </w:trPr>
        <w:tc>
          <w:tcPr>
            <w:tcW w:w="6400" w:type="dxa"/>
            <w:vAlign w:val="bottom"/>
          </w:tcPr>
          <w:p>
            <w:pPr>
              <w:ind w:left="20"/>
              <w:spacing w:after="0"/>
              <w:rPr>
                <w:sz w:val="20"/>
                <w:szCs w:val="20"/>
                <w:color w:val="auto"/>
              </w:rPr>
            </w:pPr>
            <w:r>
              <w:rPr>
                <w:rFonts w:ascii="Arial" w:cs="Arial" w:eastAsia="Arial" w:hAnsi="Arial"/>
                <w:sz w:val="15"/>
                <w:szCs w:val="15"/>
                <w:color w:val="auto"/>
              </w:rPr>
              <w:t>Less: Net income attributable to noncontrolling interests</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34,542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16,119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15,051</w:t>
            </w: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Other comprehensive income (loss) attributable to noncontrolling interests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197"/>
        </w:trPr>
        <w:tc>
          <w:tcPr>
            <w:tcW w:w="640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 attributable to Holdings, net of tax</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7,117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247,655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36,242</w:t>
            </w:r>
          </w:p>
        </w:tc>
      </w:tr>
      <w:tr>
        <w:trPr>
          <w:trHeight w:val="21"/>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Accumulated</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Stockholders’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Non-</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2160" w:type="dxa"/>
            <w:vAlign w:val="bottom"/>
            <w:gridSpan w:val="6"/>
            <w:vMerge w:val="restart"/>
          </w:tcPr>
          <w:p>
            <w:pPr>
              <w:ind w:left="360"/>
              <w:spacing w:after="0"/>
              <w:rPr>
                <w:sz w:val="20"/>
                <w:szCs w:val="20"/>
                <w:color w:val="auto"/>
              </w:rPr>
            </w:pPr>
            <w:r>
              <w:rPr>
                <w:rFonts w:ascii="Arial" w:cs="Arial" w:eastAsia="Arial" w:hAnsi="Arial"/>
                <w:sz w:val="13"/>
                <w:szCs w:val="13"/>
                <w:b w:val="1"/>
                <w:bCs w:val="1"/>
                <w:color w:val="auto"/>
              </w:rPr>
              <w:t>Trust Preferred Shares</w:t>
            </w: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Trust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rPr>
              <w:t>Equity</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4"/>
              </w:rPr>
              <w:t>Non-</w:t>
            </w:r>
          </w:p>
        </w:tc>
        <w:tc>
          <w:tcPr>
            <w:tcW w:w="820" w:type="dxa"/>
            <w:vAlign w:val="bottom"/>
            <w:gridSpan w:val="2"/>
            <w:vMerge w:val="continue"/>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2160" w:type="dxa"/>
            <w:vAlign w:val="bottom"/>
            <w:gridSpan w:val="6"/>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Other</w:t>
            </w:r>
          </w:p>
        </w:tc>
        <w:tc>
          <w:tcPr>
            <w:tcW w:w="9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Attributable</w:t>
            </w:r>
          </w:p>
        </w:tc>
        <w:tc>
          <w:tcPr>
            <w:tcW w:w="800" w:type="dxa"/>
            <w:vAlign w:val="bottom"/>
            <w:gridSpan w:val="2"/>
            <w:vMerge w:val="continue"/>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9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3"/>
                <w:szCs w:val="3"/>
                <w:color w:val="auto"/>
              </w:rPr>
            </w:pPr>
          </w:p>
        </w:tc>
        <w:tc>
          <w:tcPr>
            <w:tcW w:w="720" w:type="dxa"/>
            <w:vAlign w:val="bottom"/>
            <w:gridSpan w:val="2"/>
            <w:vMerge w:val="restart"/>
          </w:tcPr>
          <w:p>
            <w:pPr>
              <w:ind w:left="20"/>
              <w:spacing w:after="0" w:line="122" w:lineRule="exact"/>
              <w:rPr>
                <w:sz w:val="20"/>
                <w:szCs w:val="20"/>
                <w:color w:val="auto"/>
              </w:rPr>
            </w:pPr>
            <w:r>
              <w:rPr>
                <w:rFonts w:ascii="Arial" w:cs="Arial" w:eastAsia="Arial" w:hAnsi="Arial"/>
                <w:sz w:val="13"/>
                <w:szCs w:val="13"/>
                <w:b w:val="1"/>
                <w:bCs w:val="1"/>
                <w:color w:val="auto"/>
              </w:rPr>
              <w:t>Treasury</w:t>
            </w:r>
          </w:p>
        </w:tc>
        <w:tc>
          <w:tcPr>
            <w:tcW w:w="92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Accumulated</w:t>
            </w:r>
          </w:p>
        </w:tc>
        <w:tc>
          <w:tcPr>
            <w:tcW w:w="1060" w:type="dxa"/>
            <w:vAlign w:val="bottom"/>
            <w:gridSpan w:val="3"/>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96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to</w:t>
            </w:r>
          </w:p>
        </w:tc>
        <w:tc>
          <w:tcPr>
            <w:tcW w:w="80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82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Interest of</w:t>
            </w:r>
          </w:p>
        </w:tc>
        <w:tc>
          <w:tcPr>
            <w:tcW w:w="92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61"/>
        </w:trPr>
        <w:tc>
          <w:tcPr>
            <w:tcW w:w="1920" w:type="dxa"/>
            <w:vAlign w:val="bottom"/>
          </w:tcPr>
          <w:p>
            <w:pPr>
              <w:spacing w:after="0"/>
              <w:rPr>
                <w:sz w:val="5"/>
                <w:szCs w:val="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Series A</w:t>
            </w: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Series B</w:t>
            </w:r>
          </w:p>
        </w:tc>
        <w:tc>
          <w:tcPr>
            <w:tcW w:w="7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Series C</w:t>
            </w: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7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Deficit</w:t>
            </w:r>
          </w:p>
        </w:tc>
        <w:tc>
          <w:tcPr>
            <w:tcW w:w="10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Income (Loss)</w:t>
            </w: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Holdings</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Interest</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Disc. Ops.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3"/>
        </w:trPr>
        <w:tc>
          <w:tcPr>
            <w:tcW w:w="19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5"/>
                <w:szCs w:val="15"/>
                <w:b w:val="1"/>
                <w:bCs w:val="1"/>
                <w:color w:val="auto"/>
              </w:rPr>
              <w:t>Balance — January 1,</w:t>
            </w: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2022</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95"/>
              </w:rPr>
              <w:t>$ 96,417</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95"/>
              </w:rPr>
              <w:t>$ 96,504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93"/>
              </w:rPr>
              <w:t>$ 110,997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$ 1,123,193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(314,267)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1,111,816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$ 128,718</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43,996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1,284,530</w:t>
            </w: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36,387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36,387</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13,793</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1,258</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51,438</w:t>
            </w:r>
          </w:p>
        </w:tc>
        <w:tc>
          <w:tcPr>
            <w:tcW w:w="0" w:type="dxa"/>
            <w:vAlign w:val="bottom"/>
          </w:tcPr>
          <w:p>
            <w:pPr>
              <w:spacing w:after="0"/>
              <w:rPr>
                <w:sz w:val="1"/>
                <w:szCs w:val="1"/>
                <w:color w:val="auto"/>
              </w:rPr>
            </w:pPr>
          </w:p>
        </w:tc>
      </w:tr>
      <w:tr>
        <w:trPr>
          <w:trHeight w:val="152"/>
        </w:trPr>
        <w:tc>
          <w:tcPr>
            <w:tcW w:w="192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Total comprehensive loss,</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5"/>
                <w:szCs w:val="15"/>
                <w:color w:val="auto"/>
              </w:rPr>
              <w:t>Issuance of Trust Common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5"/>
                <w:szCs w:val="15"/>
                <w:color w:val="auto"/>
              </w:rPr>
              <w:t>Shares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83,851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83,851</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83,851</w:t>
            </w:r>
          </w:p>
        </w:tc>
        <w:tc>
          <w:tcPr>
            <w:tcW w:w="0" w:type="dxa"/>
            <w:vAlign w:val="bottom"/>
          </w:tcPr>
          <w:p>
            <w:pPr>
              <w:spacing w:after="0"/>
              <w:rPr>
                <w:sz w:val="1"/>
                <w:szCs w:val="1"/>
                <w:color w:val="auto"/>
              </w:rPr>
            </w:pPr>
          </w:p>
        </w:tc>
      </w:tr>
      <w:tr>
        <w:trPr>
          <w:trHeight w:val="152"/>
        </w:trPr>
        <w:tc>
          <w:tcPr>
            <w:tcW w:w="192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Option activity attributable</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to noncontrolling</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shareholders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13,951</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5"/>
                <w:szCs w:val="15"/>
                <w:color w:val="auto"/>
              </w:rPr>
              <w:t>Effect of subsidiary stock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5"/>
                <w:szCs w:val="15"/>
                <w:color w:val="auto"/>
              </w:rPr>
              <w:t>option exercise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932</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152"/>
        </w:trPr>
        <w:tc>
          <w:tcPr>
            <w:tcW w:w="192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Purchase of noncontrolling</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5"/>
                <w:szCs w:val="15"/>
                <w:color w:val="auto"/>
              </w:rPr>
              <w:t>Distributions paid to</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5"/>
                <w:szCs w:val="15"/>
                <w:color w:val="auto"/>
              </w:rPr>
              <w:t>noncontrolling shareholders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(11,292)</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(11,292)</w:t>
            </w:r>
          </w:p>
        </w:tc>
        <w:tc>
          <w:tcPr>
            <w:tcW w:w="0" w:type="dxa"/>
            <w:vAlign w:val="bottom"/>
          </w:tcPr>
          <w:p>
            <w:pPr>
              <w:spacing w:after="0"/>
              <w:rPr>
                <w:sz w:val="1"/>
                <w:szCs w:val="1"/>
                <w:color w:val="auto"/>
              </w:rPr>
            </w:pPr>
          </w:p>
        </w:tc>
      </w:tr>
      <w:tr>
        <w:trPr>
          <w:trHeight w:val="206"/>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 of PrimaLoft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35,263</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35,263</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5"/>
                <w:szCs w:val="15"/>
                <w:color w:val="auto"/>
              </w:rPr>
              <w:t>Distributions paid - Trust</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5"/>
                <w:szCs w:val="15"/>
                <w:color w:val="auto"/>
              </w:rPr>
              <w:t>Preferred shares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(24,181)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(24,181)</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(24,181)</w:t>
            </w:r>
          </w:p>
        </w:tc>
        <w:tc>
          <w:tcPr>
            <w:tcW w:w="0" w:type="dxa"/>
            <w:vAlign w:val="bottom"/>
          </w:tcPr>
          <w:p>
            <w:pPr>
              <w:spacing w:after="0"/>
              <w:rPr>
                <w:sz w:val="1"/>
                <w:szCs w:val="1"/>
                <w:color w:val="auto"/>
              </w:rPr>
            </w:pPr>
          </w:p>
        </w:tc>
      </w:tr>
      <w:tr>
        <w:trPr>
          <w:trHeight w:val="152"/>
        </w:trPr>
        <w:tc>
          <w:tcPr>
            <w:tcW w:w="192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Distributions paid - Trust</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shares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(70,845)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(70,845)</w:t>
            </w:r>
          </w:p>
        </w:tc>
        <w:tc>
          <w:tcPr>
            <w:tcW w:w="0" w:type="dxa"/>
            <w:vAlign w:val="bottom"/>
          </w:tcPr>
          <w:p>
            <w:pPr>
              <w:spacing w:after="0"/>
              <w:rPr>
                <w:sz w:val="1"/>
                <w:szCs w:val="1"/>
                <w:color w:val="auto"/>
              </w:rPr>
            </w:pPr>
          </w:p>
        </w:tc>
      </w:tr>
      <w:tr>
        <w:trPr>
          <w:trHeight w:val="129"/>
        </w:trPr>
        <w:tc>
          <w:tcPr>
            <w:tcW w:w="19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Balance — December 31,</w:t>
            </w: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2022</w:t>
            </w: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96,417</w:t>
            </w:r>
          </w:p>
        </w:tc>
        <w:tc>
          <w:tcPr>
            <w:tcW w:w="80" w:type="dxa"/>
            <w:vAlign w:val="bottom"/>
          </w:tcPr>
          <w:p>
            <w:pPr>
              <w:spacing w:after="0"/>
              <w:rPr>
                <w:sz w:val="17"/>
                <w:szCs w:val="17"/>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96,504</w:t>
            </w:r>
          </w:p>
        </w:tc>
        <w:tc>
          <w:tcPr>
            <w:tcW w:w="80" w:type="dxa"/>
            <w:vAlign w:val="bottom"/>
          </w:tcPr>
          <w:p>
            <w:pPr>
              <w:spacing w:after="0"/>
              <w:rPr>
                <w:sz w:val="17"/>
                <w:szCs w:val="17"/>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110,997</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1,207,044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(372,906)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(1,136)</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1,136,920</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187,444</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37,598</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1,361,962</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246,286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262,405</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5"/>
                <w:szCs w:val="15"/>
                <w:color w:val="auto"/>
              </w:rPr>
              <w:t>Total comprehensive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5"/>
                <w:szCs w:val="15"/>
                <w:color w:val="auto"/>
              </w:rPr>
              <w:t>income, net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1,247</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1,247</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152"/>
        </w:trPr>
        <w:tc>
          <w:tcPr>
            <w:tcW w:w="192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Issuance of Trust Common</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74,259</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74,259</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5"/>
                <w:szCs w:val="15"/>
                <w:color w:val="auto"/>
              </w:rPr>
              <w:t>Purchase of Trust common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5"/>
                <w:szCs w:val="15"/>
                <w:color w:val="auto"/>
              </w:rPr>
              <w:t>shares for treasury</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(9,339)</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(9,339)</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(9,339)</w:t>
            </w:r>
          </w:p>
        </w:tc>
        <w:tc>
          <w:tcPr>
            <w:tcW w:w="0" w:type="dxa"/>
            <w:vAlign w:val="bottom"/>
          </w:tcPr>
          <w:p>
            <w:pPr>
              <w:spacing w:after="0"/>
              <w:rPr>
                <w:sz w:val="1"/>
                <w:szCs w:val="1"/>
                <w:color w:val="auto"/>
              </w:rPr>
            </w:pPr>
          </w:p>
        </w:tc>
      </w:tr>
      <w:tr>
        <w:trPr>
          <w:trHeight w:val="152"/>
        </w:trPr>
        <w:tc>
          <w:tcPr>
            <w:tcW w:w="192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Option activity attributable</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to noncontrolling</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shareholders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17,049</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5"/>
                <w:szCs w:val="15"/>
                <w:color w:val="auto"/>
              </w:rPr>
              <w:t>Effect of subsidiary stock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5"/>
                <w:szCs w:val="15"/>
                <w:color w:val="auto"/>
              </w:rPr>
              <w:t>option exercise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15,599</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15,599</w:t>
            </w:r>
          </w:p>
        </w:tc>
        <w:tc>
          <w:tcPr>
            <w:tcW w:w="0" w:type="dxa"/>
            <w:vAlign w:val="bottom"/>
          </w:tcPr>
          <w:p>
            <w:pPr>
              <w:spacing w:after="0"/>
              <w:rPr>
                <w:sz w:val="1"/>
                <w:szCs w:val="1"/>
                <w:color w:val="auto"/>
              </w:rPr>
            </w:pPr>
          </w:p>
        </w:tc>
      </w:tr>
      <w:tr>
        <w:trPr>
          <w:trHeight w:val="152"/>
        </w:trPr>
        <w:tc>
          <w:tcPr>
            <w:tcW w:w="192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Purchase of noncontrolling</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(41,297)</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(41,297)</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5"/>
                <w:szCs w:val="15"/>
                <w:color w:val="auto"/>
              </w:rPr>
              <w:t>Distributions paid to</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5"/>
                <w:szCs w:val="15"/>
                <w:color w:val="auto"/>
              </w:rPr>
              <w:t>noncontrolling shareholders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(11,745)</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(11,745)</w:t>
            </w:r>
          </w:p>
        </w:tc>
        <w:tc>
          <w:tcPr>
            <w:tcW w:w="0" w:type="dxa"/>
            <w:vAlign w:val="bottom"/>
          </w:tcPr>
          <w:p>
            <w:pPr>
              <w:spacing w:after="0"/>
              <w:rPr>
                <w:sz w:val="1"/>
                <w:szCs w:val="1"/>
                <w:color w:val="auto"/>
              </w:rPr>
            </w:pPr>
          </w:p>
        </w:tc>
      </w:tr>
      <w:tr>
        <w:trPr>
          <w:trHeight w:val="152"/>
        </w:trPr>
        <w:tc>
          <w:tcPr>
            <w:tcW w:w="192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Acquisition of noncontrolling</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4,155</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rPr>
              <w:t>Disposition of ACI</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(1,729)</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(1,729)</w:t>
            </w:r>
          </w:p>
        </w:tc>
        <w:tc>
          <w:tcPr>
            <w:tcW w:w="0" w:type="dxa"/>
            <w:vAlign w:val="bottom"/>
          </w:tcPr>
          <w:p>
            <w:pPr>
              <w:spacing w:after="0"/>
              <w:rPr>
                <w:sz w:val="1"/>
                <w:szCs w:val="1"/>
                <w:color w:val="auto"/>
              </w:rPr>
            </w:pPr>
          </w:p>
        </w:tc>
      </w:tr>
      <w:tr>
        <w:trPr>
          <w:trHeight w:val="205"/>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Disposition of Marucci</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(30,562)</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5"/>
                <w:szCs w:val="15"/>
                <w:color w:val="auto"/>
              </w:rPr>
              <w:t>Distributions paid -</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5"/>
                <w:szCs w:val="15"/>
                <w:color w:val="auto"/>
              </w:rPr>
              <w:t>Allocation Interests (refer to</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5"/>
                <w:szCs w:val="15"/>
                <w:color w:val="auto"/>
              </w:rPr>
              <w:t>Note J)</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(26,475)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(26,475)</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(26,475)</w:t>
            </w:r>
          </w:p>
        </w:tc>
        <w:tc>
          <w:tcPr>
            <w:tcW w:w="0" w:type="dxa"/>
            <w:vAlign w:val="bottom"/>
          </w:tcPr>
          <w:p>
            <w:pPr>
              <w:spacing w:after="0"/>
              <w:rPr>
                <w:sz w:val="1"/>
                <w:szCs w:val="1"/>
                <w:color w:val="auto"/>
              </w:rPr>
            </w:pPr>
          </w:p>
        </w:tc>
      </w:tr>
      <w:tr>
        <w:trPr>
          <w:trHeight w:val="152"/>
        </w:trPr>
        <w:tc>
          <w:tcPr>
            <w:tcW w:w="192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Distributions paid - Trust</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shares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(24,181)</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Arial" w:cs="Arial" w:eastAsia="Arial" w:hAnsi="Arial"/>
                <w:sz w:val="15"/>
                <w:szCs w:val="15"/>
                <w:color w:val="auto"/>
              </w:rPr>
              <w:t>Distributions paid - Trust</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5"/>
                <w:szCs w:val="15"/>
                <w:color w:val="auto"/>
              </w:rPr>
              <w:t>Common shares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(71,967)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(71,967)</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(71,967)</w:t>
            </w:r>
          </w:p>
        </w:tc>
        <w:tc>
          <w:tcPr>
            <w:tcW w:w="0" w:type="dxa"/>
            <w:vAlign w:val="bottom"/>
          </w:tcPr>
          <w:p>
            <w:pPr>
              <w:spacing w:after="0"/>
              <w:rPr>
                <w:sz w:val="1"/>
                <w:szCs w:val="1"/>
                <w:color w:val="auto"/>
              </w:rPr>
            </w:pPr>
          </w:p>
        </w:tc>
      </w:tr>
      <w:tr>
        <w:trPr>
          <w:trHeight w:val="132"/>
        </w:trPr>
        <w:tc>
          <w:tcPr>
            <w:tcW w:w="1920" w:type="dxa"/>
            <w:vAlign w:val="bottom"/>
            <w:tcBorders>
              <w:top w:val="single" w:sz="8" w:color="CCEEFF"/>
            </w:tcBorders>
            <w:shd w:val="clear" w:color="auto" w:fill="CCEEFF"/>
          </w:tcPr>
          <w:p>
            <w:pPr>
              <w:ind w:left="20"/>
              <w:spacing w:after="0" w:line="132" w:lineRule="exact"/>
              <w:rPr>
                <w:sz w:val="20"/>
                <w:szCs w:val="20"/>
                <w:color w:val="auto"/>
              </w:rPr>
            </w:pPr>
            <w:r>
              <w:rPr>
                <w:rFonts w:ascii="Arial" w:cs="Arial" w:eastAsia="Arial" w:hAnsi="Arial"/>
                <w:sz w:val="15"/>
                <w:szCs w:val="15"/>
                <w:b w:val="1"/>
                <w:bCs w:val="1"/>
                <w:color w:val="auto"/>
              </w:rPr>
              <w:t>Balance — December 31,</w:t>
            </w: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2023</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96,417</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96,504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110,997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1,281,303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(9,339)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1,326,750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175,875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1,519,381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Accumulated</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Stockholders’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320" w:type="dxa"/>
            <w:vAlign w:val="bottom"/>
            <w:gridSpan w:val="6"/>
            <w:vMerge w:val="restart"/>
          </w:tcPr>
          <w:p>
            <w:pPr>
              <w:jc w:val="center"/>
              <w:ind w:right="80"/>
              <w:spacing w:after="0"/>
              <w:rPr>
                <w:sz w:val="20"/>
                <w:szCs w:val="20"/>
                <w:color w:val="auto"/>
              </w:rPr>
            </w:pPr>
            <w:r>
              <w:rPr>
                <w:rFonts w:ascii="Arial" w:cs="Arial" w:eastAsia="Arial" w:hAnsi="Arial"/>
                <w:sz w:val="13"/>
                <w:szCs w:val="13"/>
                <w:b w:val="1"/>
                <w:bCs w:val="1"/>
                <w:color w:val="auto"/>
                <w:w w:val="96"/>
              </w:rPr>
              <w:t>Trust Preferred Shares</w:t>
            </w: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Trust</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rPr>
              <w:t>Equity</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2320" w:type="dxa"/>
            <w:vAlign w:val="bottom"/>
            <w:gridSpan w:val="6"/>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Other</w:t>
            </w:r>
          </w:p>
        </w:tc>
        <w:tc>
          <w:tcPr>
            <w:tcW w:w="9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Attributable</w:t>
            </w:r>
          </w:p>
        </w:tc>
        <w:tc>
          <w:tcPr>
            <w:tcW w:w="800" w:type="dxa"/>
            <w:vAlign w:val="bottom"/>
            <w:gridSpan w:val="2"/>
            <w:vMerge w:val="continue"/>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Common</w:t>
            </w:r>
          </w:p>
        </w:tc>
        <w:tc>
          <w:tcPr>
            <w:tcW w:w="820" w:type="dxa"/>
            <w:vAlign w:val="bottom"/>
            <w:gridSpan w:val="2"/>
            <w:vMerge w:val="restart"/>
          </w:tcPr>
          <w:p>
            <w:pPr>
              <w:jc w:val="center"/>
              <w:ind w:right="60"/>
              <w:spacing w:after="0" w:line="122" w:lineRule="exact"/>
              <w:rPr>
                <w:sz w:val="20"/>
                <w:szCs w:val="20"/>
                <w:color w:val="auto"/>
              </w:rPr>
            </w:pPr>
            <w:r>
              <w:rPr>
                <w:rFonts w:ascii="Arial" w:cs="Arial" w:eastAsia="Arial" w:hAnsi="Arial"/>
                <w:sz w:val="13"/>
                <w:szCs w:val="13"/>
                <w:b w:val="1"/>
                <w:bCs w:val="1"/>
                <w:color w:val="auto"/>
                <w:w w:val="94"/>
              </w:rPr>
              <w:t>Treasury</w:t>
            </w:r>
          </w:p>
        </w:tc>
        <w:tc>
          <w:tcPr>
            <w:tcW w:w="92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Accumulated</w:t>
            </w:r>
          </w:p>
        </w:tc>
        <w:tc>
          <w:tcPr>
            <w:tcW w:w="1060" w:type="dxa"/>
            <w:vAlign w:val="bottom"/>
            <w:gridSpan w:val="3"/>
            <w:vMerge w:val="restart"/>
          </w:tcPr>
          <w:p>
            <w:pPr>
              <w:jc w:val="right"/>
              <w:ind w:right="10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96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to</w:t>
            </w:r>
          </w:p>
        </w:tc>
        <w:tc>
          <w:tcPr>
            <w:tcW w:w="80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820" w:type="dxa"/>
            <w:vAlign w:val="bottom"/>
            <w:gridSpan w:val="3"/>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Interest of</w:t>
            </w:r>
          </w:p>
        </w:tc>
        <w:tc>
          <w:tcPr>
            <w:tcW w:w="92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61"/>
        </w:trPr>
        <w:tc>
          <w:tcPr>
            <w:tcW w:w="1760" w:type="dxa"/>
            <w:vAlign w:val="bottom"/>
          </w:tcPr>
          <w:p>
            <w:pPr>
              <w:spacing w:after="0"/>
              <w:rPr>
                <w:sz w:val="5"/>
                <w:szCs w:val="5"/>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Series A</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Series B</w:t>
            </w:r>
          </w:p>
        </w:tc>
        <w:tc>
          <w:tcPr>
            <w:tcW w:w="7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Series C</w:t>
            </w:r>
          </w:p>
        </w:tc>
        <w:tc>
          <w:tcPr>
            <w:tcW w:w="86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7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7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Shares</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Shares</w:t>
            </w: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Deficit</w:t>
            </w:r>
          </w:p>
        </w:tc>
        <w:tc>
          <w:tcPr>
            <w:tcW w:w="10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Income (Loss)</w:t>
            </w: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Holdings</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Interest</w:t>
            </w:r>
          </w:p>
        </w:tc>
        <w:tc>
          <w:tcPr>
            <w:tcW w:w="8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Disc. Ops.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7"/>
        </w:trPr>
        <w:tc>
          <w:tcPr>
            <w:tcW w:w="176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12,808</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12,808</w:t>
            </w: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37,426</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(2,884)</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47,350</w:t>
            </w:r>
          </w:p>
        </w:tc>
        <w:tc>
          <w:tcPr>
            <w:tcW w:w="0" w:type="dxa"/>
            <w:vAlign w:val="bottom"/>
          </w:tcPr>
          <w:p>
            <w:pPr>
              <w:spacing w:after="0"/>
              <w:rPr>
                <w:sz w:val="1"/>
                <w:szCs w:val="1"/>
                <w:color w:val="auto"/>
              </w:rPr>
            </w:pPr>
          </w:p>
        </w:tc>
      </w:tr>
      <w:tr>
        <w:trPr>
          <w:trHeight w:val="151"/>
        </w:trPr>
        <w:tc>
          <w:tcPr>
            <w:tcW w:w="17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w w:val="98"/>
              </w:rPr>
              <w:t>Total comprehensive loss,</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(5,926)</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(5,926)</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(5,926)</w:t>
            </w:r>
          </w:p>
        </w:tc>
        <w:tc>
          <w:tcPr>
            <w:tcW w:w="0" w:type="dxa"/>
            <w:vAlign w:val="bottom"/>
          </w:tcPr>
          <w:p>
            <w:pPr>
              <w:spacing w:after="0"/>
              <w:rPr>
                <w:sz w:val="1"/>
                <w:szCs w:val="1"/>
                <w:color w:val="auto"/>
              </w:rPr>
            </w:pPr>
          </w:p>
        </w:tc>
      </w:tr>
      <w:tr>
        <w:trPr>
          <w:trHeight w:val="149"/>
        </w:trPr>
        <w:tc>
          <w:tcPr>
            <w:tcW w:w="1760" w:type="dxa"/>
            <w:vAlign w:val="bottom"/>
          </w:tcPr>
          <w:p>
            <w:pPr>
              <w:ind w:left="20"/>
              <w:spacing w:after="0" w:line="149" w:lineRule="exact"/>
              <w:rPr>
                <w:sz w:val="20"/>
                <w:szCs w:val="20"/>
                <w:color w:val="auto"/>
              </w:rPr>
            </w:pPr>
            <w:r>
              <w:rPr>
                <w:rFonts w:ascii="Arial" w:cs="Arial" w:eastAsia="Arial" w:hAnsi="Arial"/>
                <w:sz w:val="15"/>
                <w:szCs w:val="15"/>
                <w:color w:val="auto"/>
              </w:rPr>
              <w:t>Issuance of Trust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760" w:type="dxa"/>
            <w:vAlign w:val="bottom"/>
          </w:tcPr>
          <w:p>
            <w:pPr>
              <w:ind w:left="20"/>
              <w:spacing w:after="0"/>
              <w:rPr>
                <w:sz w:val="20"/>
                <w:szCs w:val="20"/>
                <w:color w:val="auto"/>
              </w:rPr>
            </w:pPr>
            <w:r>
              <w:rPr>
                <w:rFonts w:ascii="Arial" w:cs="Arial" w:eastAsia="Arial" w:hAnsi="Arial"/>
                <w:sz w:val="15"/>
                <w:szCs w:val="15"/>
                <w:color w:val="auto"/>
              </w:rPr>
              <w:t>common shares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7,707</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7,707</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7,707</w:t>
            </w:r>
          </w:p>
        </w:tc>
        <w:tc>
          <w:tcPr>
            <w:tcW w:w="0" w:type="dxa"/>
            <w:vAlign w:val="bottom"/>
          </w:tcPr>
          <w:p>
            <w:pPr>
              <w:spacing w:after="0"/>
              <w:rPr>
                <w:sz w:val="1"/>
                <w:szCs w:val="1"/>
                <w:color w:val="auto"/>
              </w:rPr>
            </w:pPr>
          </w:p>
        </w:tc>
      </w:tr>
      <w:tr>
        <w:trPr>
          <w:trHeight w:val="152"/>
        </w:trPr>
        <w:tc>
          <w:tcPr>
            <w:tcW w:w="17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Issuance of Trust</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shares</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12,742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51,402</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50,770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114,914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114,914</w:t>
            </w:r>
          </w:p>
        </w:tc>
        <w:tc>
          <w:tcPr>
            <w:tcW w:w="0" w:type="dxa"/>
            <w:vAlign w:val="bottom"/>
          </w:tcPr>
          <w:p>
            <w:pPr>
              <w:spacing w:after="0"/>
              <w:rPr>
                <w:sz w:val="1"/>
                <w:szCs w:val="1"/>
                <w:color w:val="auto"/>
              </w:rPr>
            </w:pPr>
          </w:p>
        </w:tc>
      </w:tr>
      <w:tr>
        <w:trPr>
          <w:trHeight w:val="149"/>
        </w:trPr>
        <w:tc>
          <w:tcPr>
            <w:tcW w:w="1760" w:type="dxa"/>
            <w:vAlign w:val="bottom"/>
          </w:tcPr>
          <w:p>
            <w:pPr>
              <w:ind w:left="20"/>
              <w:spacing w:after="0" w:line="149" w:lineRule="exact"/>
              <w:rPr>
                <w:sz w:val="20"/>
                <w:szCs w:val="20"/>
                <w:color w:val="auto"/>
              </w:rPr>
            </w:pPr>
            <w:r>
              <w:rPr>
                <w:rFonts w:ascii="Arial" w:cs="Arial" w:eastAsia="Arial" w:hAnsi="Arial"/>
                <w:sz w:val="15"/>
                <w:szCs w:val="15"/>
                <w:color w:val="auto"/>
              </w:rPr>
              <w:t>Purchase of Trust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20"/>
              <w:spacing w:after="0" w:line="149" w:lineRule="exact"/>
              <w:rPr>
                <w:sz w:val="20"/>
                <w:szCs w:val="20"/>
                <w:color w:val="auto"/>
              </w:rPr>
            </w:pPr>
            <w:r>
              <w:rPr>
                <w:rFonts w:ascii="Arial" w:cs="Arial" w:eastAsia="Arial" w:hAnsi="Arial"/>
                <w:sz w:val="15"/>
                <w:szCs w:val="15"/>
                <w:color w:val="auto"/>
              </w:rPr>
              <w:t>common shares for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760" w:type="dxa"/>
            <w:vAlign w:val="bottom"/>
          </w:tcPr>
          <w:p>
            <w:pPr>
              <w:ind w:left="20"/>
              <w:spacing w:after="0"/>
              <w:rPr>
                <w:sz w:val="20"/>
                <w:szCs w:val="20"/>
                <w:color w:val="auto"/>
              </w:rPr>
            </w:pPr>
            <w:r>
              <w:rPr>
                <w:rFonts w:ascii="Arial" w:cs="Arial" w:eastAsia="Arial" w:hAnsi="Arial"/>
                <w:sz w:val="15"/>
                <w:szCs w:val="15"/>
                <w:color w:val="auto"/>
              </w:rPr>
              <w:t>treasury</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(9,571)</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(9,571)</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(9,571)</w:t>
            </w:r>
          </w:p>
        </w:tc>
        <w:tc>
          <w:tcPr>
            <w:tcW w:w="0" w:type="dxa"/>
            <w:vAlign w:val="bottom"/>
          </w:tcPr>
          <w:p>
            <w:pPr>
              <w:spacing w:after="0"/>
              <w:rPr>
                <w:sz w:val="1"/>
                <w:szCs w:val="1"/>
                <w:color w:val="auto"/>
              </w:rPr>
            </w:pPr>
          </w:p>
        </w:tc>
      </w:tr>
      <w:tr>
        <w:trPr>
          <w:trHeight w:val="152"/>
        </w:trPr>
        <w:tc>
          <w:tcPr>
            <w:tcW w:w="17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w w:val="99"/>
              </w:rPr>
              <w:t>Option activity attributable</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to noncontrolling</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shareholders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17,307</w:t>
            </w:r>
          </w:p>
        </w:tc>
        <w:tc>
          <w:tcPr>
            <w:tcW w:w="0" w:type="dxa"/>
            <w:vAlign w:val="bottom"/>
          </w:tcPr>
          <w:p>
            <w:pPr>
              <w:spacing w:after="0"/>
              <w:rPr>
                <w:sz w:val="1"/>
                <w:szCs w:val="1"/>
                <w:color w:val="auto"/>
              </w:rPr>
            </w:pPr>
          </w:p>
        </w:tc>
      </w:tr>
      <w:tr>
        <w:trPr>
          <w:trHeight w:val="149"/>
        </w:trPr>
        <w:tc>
          <w:tcPr>
            <w:tcW w:w="1760" w:type="dxa"/>
            <w:vAlign w:val="bottom"/>
          </w:tcPr>
          <w:p>
            <w:pPr>
              <w:ind w:left="20"/>
              <w:spacing w:after="0" w:line="149" w:lineRule="exact"/>
              <w:rPr>
                <w:sz w:val="20"/>
                <w:szCs w:val="20"/>
                <w:color w:val="auto"/>
              </w:rPr>
            </w:pPr>
            <w:r>
              <w:rPr>
                <w:rFonts w:ascii="Arial" w:cs="Arial" w:eastAsia="Arial" w:hAnsi="Arial"/>
                <w:sz w:val="15"/>
                <w:szCs w:val="15"/>
                <w:color w:val="auto"/>
              </w:rPr>
              <w:t>Effect of subsidiary 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760" w:type="dxa"/>
            <w:vAlign w:val="bottom"/>
          </w:tcPr>
          <w:p>
            <w:pPr>
              <w:ind w:left="20"/>
              <w:spacing w:after="0"/>
              <w:rPr>
                <w:sz w:val="20"/>
                <w:szCs w:val="20"/>
                <w:color w:val="auto"/>
              </w:rPr>
            </w:pPr>
            <w:r>
              <w:rPr>
                <w:rFonts w:ascii="Arial" w:cs="Arial" w:eastAsia="Arial" w:hAnsi="Arial"/>
                <w:sz w:val="15"/>
                <w:szCs w:val="15"/>
                <w:color w:val="auto"/>
              </w:rPr>
              <w:t>option exercise</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52"/>
        </w:trPr>
        <w:tc>
          <w:tcPr>
            <w:tcW w:w="17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Purchase of</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w:t>
            </w:r>
          </w:p>
        </w:tc>
        <w:tc>
          <w:tcPr>
            <w:tcW w:w="0" w:type="dxa"/>
            <w:vAlign w:val="bottom"/>
          </w:tcPr>
          <w:p>
            <w:pPr>
              <w:spacing w:after="0"/>
              <w:rPr>
                <w:sz w:val="1"/>
                <w:szCs w:val="1"/>
                <w:color w:val="auto"/>
              </w:rPr>
            </w:pPr>
          </w:p>
        </w:tc>
      </w:tr>
      <w:tr>
        <w:trPr>
          <w:trHeight w:val="149"/>
        </w:trPr>
        <w:tc>
          <w:tcPr>
            <w:tcW w:w="1760" w:type="dxa"/>
            <w:vAlign w:val="bottom"/>
          </w:tcPr>
          <w:p>
            <w:pPr>
              <w:ind w:left="20"/>
              <w:spacing w:after="0" w:line="149" w:lineRule="exact"/>
              <w:rPr>
                <w:sz w:val="20"/>
                <w:szCs w:val="20"/>
                <w:color w:val="auto"/>
              </w:rPr>
            </w:pPr>
            <w:r>
              <w:rPr>
                <w:rFonts w:ascii="Arial" w:cs="Arial" w:eastAsia="Arial" w:hAnsi="Arial"/>
                <w:sz w:val="14"/>
                <w:szCs w:val="14"/>
                <w:color w:val="auto"/>
              </w:rPr>
              <w:t>Reclassification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60" w:type="dxa"/>
            <w:vAlign w:val="bottom"/>
          </w:tcPr>
          <w:p>
            <w:pPr>
              <w:ind w:left="20"/>
              <w:spacing w:after="0" w:line="139" w:lineRule="exact"/>
              <w:rPr>
                <w:sz w:val="20"/>
                <w:szCs w:val="20"/>
                <w:color w:val="auto"/>
              </w:rPr>
            </w:pPr>
            <w:r>
              <w:rPr>
                <w:rFonts w:ascii="Arial" w:cs="Arial" w:eastAsia="Arial" w:hAnsi="Arial"/>
                <w:sz w:val="14"/>
                <w:szCs w:val="14"/>
                <w:color w:val="auto"/>
              </w:rPr>
              <w:t>noncontrolling shareholder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60" w:type="dxa"/>
            <w:vAlign w:val="bottom"/>
          </w:tcPr>
          <w:p>
            <w:pPr>
              <w:ind w:left="20"/>
              <w:spacing w:after="0"/>
              <w:rPr>
                <w:sz w:val="20"/>
                <w:szCs w:val="20"/>
                <w:color w:val="auto"/>
              </w:rPr>
            </w:pPr>
            <w:r>
              <w:rPr>
                <w:rFonts w:ascii="Arial" w:cs="Arial" w:eastAsia="Arial" w:hAnsi="Arial"/>
                <w:sz w:val="14"/>
                <w:szCs w:val="14"/>
                <w:color w:val="auto"/>
              </w:rPr>
              <w:t>interest to liability</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 of THP</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41,674</w:t>
            </w:r>
          </w:p>
        </w:tc>
        <w:tc>
          <w:tcPr>
            <w:tcW w:w="0" w:type="dxa"/>
            <w:vAlign w:val="bottom"/>
          </w:tcPr>
          <w:p>
            <w:pPr>
              <w:spacing w:after="0"/>
              <w:rPr>
                <w:sz w:val="1"/>
                <w:szCs w:val="1"/>
                <w:color w:val="auto"/>
              </w:rPr>
            </w:pPr>
          </w:p>
        </w:tc>
      </w:tr>
      <w:tr>
        <w:trPr>
          <w:trHeight w:val="199"/>
        </w:trPr>
        <w:tc>
          <w:tcPr>
            <w:tcW w:w="1760" w:type="dxa"/>
            <w:vAlign w:val="bottom"/>
          </w:tcPr>
          <w:p>
            <w:pPr>
              <w:ind w:left="20"/>
              <w:spacing w:after="0"/>
              <w:rPr>
                <w:sz w:val="20"/>
                <w:szCs w:val="20"/>
                <w:color w:val="auto"/>
              </w:rPr>
            </w:pPr>
            <w:r>
              <w:rPr>
                <w:rFonts w:ascii="Arial" w:cs="Arial" w:eastAsia="Arial" w:hAnsi="Arial"/>
                <w:sz w:val="15"/>
                <w:szCs w:val="15"/>
                <w:color w:val="auto"/>
              </w:rPr>
              <w:t>Disposition of Ergo</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(14,834)</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(14,834)</w:t>
            </w:r>
          </w:p>
        </w:tc>
        <w:tc>
          <w:tcPr>
            <w:tcW w:w="0" w:type="dxa"/>
            <w:vAlign w:val="bottom"/>
          </w:tcPr>
          <w:p>
            <w:pPr>
              <w:spacing w:after="0"/>
              <w:rPr>
                <w:sz w:val="1"/>
                <w:szCs w:val="1"/>
                <w:color w:val="auto"/>
              </w:rPr>
            </w:pPr>
          </w:p>
        </w:tc>
      </w:tr>
      <w:tr>
        <w:trPr>
          <w:trHeight w:val="152"/>
        </w:trPr>
        <w:tc>
          <w:tcPr>
            <w:tcW w:w="17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Distributions paid -</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Allocation Interests (refer</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 Note J</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(48,941)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(48,941)</w:t>
            </w:r>
          </w:p>
        </w:tc>
        <w:tc>
          <w:tcPr>
            <w:tcW w:w="0" w:type="dxa"/>
            <w:vAlign w:val="bottom"/>
          </w:tcPr>
          <w:p>
            <w:pPr>
              <w:spacing w:after="0"/>
              <w:rPr>
                <w:sz w:val="1"/>
                <w:szCs w:val="1"/>
                <w:color w:val="auto"/>
              </w:rPr>
            </w:pPr>
          </w:p>
        </w:tc>
      </w:tr>
      <w:tr>
        <w:trPr>
          <w:trHeight w:val="149"/>
        </w:trPr>
        <w:tc>
          <w:tcPr>
            <w:tcW w:w="1760" w:type="dxa"/>
            <w:vAlign w:val="bottom"/>
          </w:tcPr>
          <w:p>
            <w:pPr>
              <w:ind w:left="20"/>
              <w:spacing w:after="0" w:line="149" w:lineRule="exact"/>
              <w:rPr>
                <w:sz w:val="20"/>
                <w:szCs w:val="20"/>
                <w:color w:val="auto"/>
              </w:rPr>
            </w:pPr>
            <w:r>
              <w:rPr>
                <w:rFonts w:ascii="Arial" w:cs="Arial" w:eastAsia="Arial" w:hAnsi="Arial"/>
                <w:sz w:val="15"/>
                <w:szCs w:val="15"/>
                <w:color w:val="auto"/>
              </w:rPr>
              <w:t>Distributions paid - Trust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760" w:type="dxa"/>
            <w:vAlign w:val="bottom"/>
          </w:tcPr>
          <w:p>
            <w:pPr>
              <w:ind w:left="20"/>
              <w:spacing w:after="0"/>
              <w:rPr>
                <w:sz w:val="20"/>
                <w:szCs w:val="20"/>
                <w:color w:val="auto"/>
              </w:rPr>
            </w:pPr>
            <w:r>
              <w:rPr>
                <w:rFonts w:ascii="Arial" w:cs="Arial" w:eastAsia="Arial" w:hAnsi="Arial"/>
                <w:sz w:val="15"/>
                <w:szCs w:val="15"/>
                <w:color w:val="auto"/>
              </w:rPr>
              <w:t>Preferred Shares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(25,458)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(25,458)</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(25,458)</w:t>
            </w:r>
          </w:p>
        </w:tc>
        <w:tc>
          <w:tcPr>
            <w:tcW w:w="0" w:type="dxa"/>
            <w:vAlign w:val="bottom"/>
          </w:tcPr>
          <w:p>
            <w:pPr>
              <w:spacing w:after="0"/>
              <w:rPr>
                <w:sz w:val="1"/>
                <w:szCs w:val="1"/>
                <w:color w:val="auto"/>
              </w:rPr>
            </w:pPr>
          </w:p>
        </w:tc>
      </w:tr>
      <w:tr>
        <w:trPr>
          <w:trHeight w:val="152"/>
        </w:trPr>
        <w:tc>
          <w:tcPr>
            <w:tcW w:w="17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Distributions paid - Trust</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Shares</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(75,490)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(75,490)</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(75,490)</w:t>
            </w:r>
          </w:p>
        </w:tc>
        <w:tc>
          <w:tcPr>
            <w:tcW w:w="0" w:type="dxa"/>
            <w:vAlign w:val="bottom"/>
          </w:tcPr>
          <w:p>
            <w:pPr>
              <w:spacing w:after="0"/>
              <w:rPr>
                <w:sz w:val="1"/>
                <w:szCs w:val="1"/>
                <w:color w:val="auto"/>
              </w:rPr>
            </w:pPr>
          </w:p>
        </w:tc>
      </w:tr>
      <w:tr>
        <w:trPr>
          <w:trHeight w:val="129"/>
        </w:trPr>
        <w:tc>
          <w:tcPr>
            <w:tcW w:w="17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Balance — December</w:t>
            </w: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w w:val="96"/>
              </w:rPr>
              <w:t>$ 109,159</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$ 147,906</w:t>
            </w:r>
          </w:p>
        </w:tc>
        <w:tc>
          <w:tcPr>
            <w:tcW w:w="80" w:type="dxa"/>
            <w:vAlign w:val="bottom"/>
          </w:tcPr>
          <w:p>
            <w:pPr>
              <w:spacing w:after="0"/>
              <w:rPr>
                <w:sz w:val="11"/>
                <w:szCs w:val="11"/>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w w:val="96"/>
              </w:rPr>
              <w:t>$ 161,767</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4"/>
              </w:rPr>
              <w:t>$ 1,289,010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 (18,910)</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(386,324)</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(5,815)</w:t>
            </w: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1,296,793</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$ 266,271</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1,563,064</w:t>
            </w: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rPr>
                <w:sz w:val="20"/>
                <w:szCs w:val="20"/>
                <w:color w:val="auto"/>
              </w:rPr>
            </w:pPr>
            <w:r>
              <w:rPr>
                <w:rFonts w:ascii="Arial" w:cs="Arial" w:eastAsia="Arial" w:hAnsi="Arial"/>
                <w:sz w:val="15"/>
                <w:szCs w:val="15"/>
                <w:b w:val="1"/>
                <w:bCs w:val="1"/>
                <w:color w:val="auto"/>
              </w:rPr>
              <w:t>31, 2024</w:t>
            </w: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center"/>
        <w:ind w:right="20"/>
        <w:spacing w:after="0"/>
        <w:rPr>
          <w:sz w:val="20"/>
          <w:szCs w:val="20"/>
          <w:color w:val="auto"/>
        </w:rPr>
      </w:pPr>
      <w:r>
        <w:rPr>
          <w:rFonts w:ascii="Arial" w:cs="Arial" w:eastAsia="Arial" w:hAnsi="Arial"/>
          <w:sz w:val="18"/>
          <w:szCs w:val="18"/>
          <w:b w:val="1"/>
          <w:bCs w:val="1"/>
          <w:color w:val="auto"/>
        </w:rPr>
        <w:t>COMPASS DIVERSIFIED HOLDINGS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04"/>
              <w:spacing w:after="0"/>
              <w:rPr>
                <w:sz w:val="20"/>
                <w:szCs w:val="20"/>
                <w:color w:val="auto"/>
              </w:rPr>
            </w:pPr>
            <w:r>
              <w:rPr>
                <w:rFonts w:ascii="Arial" w:cs="Arial" w:eastAsia="Arial" w:hAnsi="Arial"/>
                <w:sz w:val="15"/>
                <w:szCs w:val="15"/>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196"/>
        </w:trPr>
        <w:tc>
          <w:tcPr>
            <w:tcW w:w="640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2022</w:t>
            </w:r>
          </w:p>
        </w:tc>
      </w:tr>
      <w:tr>
        <w:trPr>
          <w:trHeight w:val="183"/>
        </w:trPr>
        <w:tc>
          <w:tcPr>
            <w:tcW w:w="6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6400" w:type="dxa"/>
            <w:vAlign w:val="bottom"/>
          </w:tcPr>
          <w:p>
            <w:pPr>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47,350</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262,405</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51,438</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Income (loss) from discontinued operations, net of income tax</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25,831</w:t>
            </w:r>
          </w:p>
        </w:tc>
      </w:tr>
      <w:tr>
        <w:trPr>
          <w:trHeight w:val="201"/>
        </w:trPr>
        <w:tc>
          <w:tcPr>
            <w:tcW w:w="6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Gain on sale of discontinued operations, net of income tax</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11,957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283,025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9,393</w:t>
            </w:r>
          </w:p>
        </w:tc>
      </w:tr>
      <w:tr>
        <w:trPr>
          <w:trHeight w:val="197"/>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Income (loss) from continuing operations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42,298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16,214</w:t>
            </w:r>
          </w:p>
        </w:tc>
      </w:tr>
      <w:tr>
        <w:trPr>
          <w:trHeight w:val="201"/>
        </w:trPr>
        <w:tc>
          <w:tcPr>
            <w:tcW w:w="6400" w:type="dxa"/>
            <w:vAlign w:val="bottom"/>
          </w:tcPr>
          <w:p>
            <w:pPr>
              <w:spacing w:after="0"/>
              <w:rPr>
                <w:sz w:val="20"/>
                <w:szCs w:val="20"/>
                <w:color w:val="auto"/>
              </w:rPr>
            </w:pPr>
            <w:r>
              <w:rPr>
                <w:rFonts w:ascii="Arial" w:cs="Arial" w:eastAsia="Arial" w:hAnsi="Arial"/>
                <w:sz w:val="15"/>
                <w:szCs w:val="15"/>
                <w:color w:val="auto"/>
              </w:rPr>
              <w:t>Adjustments to reconcile net income to net cash (used in) provided by operating activities: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64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Depreciation expense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43,891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45,960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39,475</w:t>
            </w:r>
          </w:p>
        </w:tc>
      </w:tr>
      <w:tr>
        <w:trPr>
          <w:trHeight w:val="201"/>
        </w:trPr>
        <w:tc>
          <w:tcPr>
            <w:tcW w:w="6400" w:type="dxa"/>
            <w:vAlign w:val="bottom"/>
          </w:tcPr>
          <w:p>
            <w:pPr>
              <w:ind w:left="340"/>
              <w:spacing w:after="0"/>
              <w:rPr>
                <w:sz w:val="20"/>
                <w:szCs w:val="20"/>
                <w:color w:val="auto"/>
              </w:rPr>
            </w:pPr>
            <w:r>
              <w:rPr>
                <w:rFonts w:ascii="Arial" w:cs="Arial" w:eastAsia="Arial" w:hAnsi="Arial"/>
                <w:sz w:val="15"/>
                <w:szCs w:val="15"/>
                <w:color w:val="auto"/>
              </w:rPr>
              <w:t>Amortization expense - intangibles</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99,760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88,396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77,237</w:t>
            </w:r>
          </w:p>
        </w:tc>
      </w:tr>
      <w:tr>
        <w:trPr>
          <w:trHeight w:val="204"/>
        </w:trPr>
        <w:tc>
          <w:tcPr>
            <w:tcW w:w="64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expense - inventory step-up</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6,113</w:t>
            </w:r>
          </w:p>
        </w:tc>
      </w:tr>
      <w:tr>
        <w:trPr>
          <w:trHeight w:val="201"/>
        </w:trPr>
        <w:tc>
          <w:tcPr>
            <w:tcW w:w="6400" w:type="dxa"/>
            <w:vAlign w:val="bottom"/>
          </w:tcPr>
          <w:p>
            <w:pPr>
              <w:ind w:left="340"/>
              <w:spacing w:after="0"/>
              <w:rPr>
                <w:sz w:val="20"/>
                <w:szCs w:val="20"/>
                <w:color w:val="auto"/>
              </w:rPr>
            </w:pPr>
            <w:r>
              <w:rPr>
                <w:rFonts w:ascii="Arial" w:cs="Arial" w:eastAsia="Arial" w:hAnsi="Arial"/>
                <w:sz w:val="15"/>
                <w:szCs w:val="15"/>
                <w:color w:val="auto"/>
              </w:rPr>
              <w:t>Amortization of debt issuance costs</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4,018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4,038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3,740</w:t>
            </w:r>
          </w:p>
        </w:tc>
      </w:tr>
      <w:tr>
        <w:trPr>
          <w:trHeight w:val="204"/>
        </w:trPr>
        <w:tc>
          <w:tcPr>
            <w:tcW w:w="64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Impairment expense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89,400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6400" w:type="dxa"/>
            <w:vAlign w:val="bottom"/>
          </w:tcPr>
          <w:p>
            <w:pPr>
              <w:ind w:left="340"/>
              <w:spacing w:after="0"/>
              <w:rPr>
                <w:sz w:val="20"/>
                <w:szCs w:val="20"/>
                <w:color w:val="auto"/>
              </w:rPr>
            </w:pPr>
            <w:r>
              <w:rPr>
                <w:rFonts w:ascii="Arial" w:cs="Arial" w:eastAsia="Arial" w:hAnsi="Arial"/>
                <w:sz w:val="15"/>
                <w:szCs w:val="15"/>
                <w:color w:val="auto"/>
              </w:rPr>
              <w:t>Loss on sale of Crosman</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24,218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64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Loss on debt extinguishment</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w:t>
            </w:r>
          </w:p>
        </w:tc>
      </w:tr>
      <w:tr>
        <w:trPr>
          <w:trHeight w:val="201"/>
        </w:trPr>
        <w:tc>
          <w:tcPr>
            <w:tcW w:w="6400" w:type="dxa"/>
            <w:vAlign w:val="bottom"/>
          </w:tcPr>
          <w:p>
            <w:pPr>
              <w:ind w:left="340"/>
              <w:spacing w:after="0"/>
              <w:rPr>
                <w:sz w:val="20"/>
                <w:szCs w:val="20"/>
                <w:color w:val="auto"/>
              </w:rPr>
            </w:pPr>
            <w:r>
              <w:rPr>
                <w:rFonts w:ascii="Arial" w:cs="Arial" w:eastAsia="Arial" w:hAnsi="Arial"/>
                <w:sz w:val="15"/>
                <w:szCs w:val="15"/>
                <w:color w:val="auto"/>
              </w:rPr>
              <w:t>Noncontrolling stockholder stock based compensation</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16,345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9,451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10,519</w:t>
            </w:r>
          </w:p>
        </w:tc>
      </w:tr>
      <w:tr>
        <w:trPr>
          <w:trHeight w:val="204"/>
        </w:trPr>
        <w:tc>
          <w:tcPr>
            <w:tcW w:w="64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Provision for receivable and inventory reserves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w:t>
            </w:r>
          </w:p>
        </w:tc>
      </w:tr>
      <w:tr>
        <w:trPr>
          <w:trHeight w:val="201"/>
        </w:trPr>
        <w:tc>
          <w:tcPr>
            <w:tcW w:w="6400" w:type="dxa"/>
            <w:vAlign w:val="bottom"/>
          </w:tcPr>
          <w:p>
            <w:pPr>
              <w:ind w:left="340"/>
              <w:spacing w:after="0"/>
              <w:rPr>
                <w:sz w:val="20"/>
                <w:szCs w:val="20"/>
                <w:color w:val="auto"/>
              </w:rPr>
            </w:pPr>
            <w:r>
              <w:rPr>
                <w:rFonts w:ascii="Arial" w:cs="Arial" w:eastAsia="Arial" w:hAnsi="Arial"/>
                <w:sz w:val="15"/>
                <w:szCs w:val="15"/>
                <w:color w:val="auto"/>
              </w:rPr>
              <w:t>Deferred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(17,879)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(19,800)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3,023</w:t>
            </w:r>
          </w:p>
        </w:tc>
      </w:tr>
      <w:tr>
        <w:trPr>
          <w:trHeight w:val="204"/>
        </w:trPr>
        <w:tc>
          <w:tcPr>
            <w:tcW w:w="64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2,342</w:t>
            </w:r>
          </w:p>
        </w:tc>
      </w:tr>
      <w:tr>
        <w:trPr>
          <w:trHeight w:val="201"/>
        </w:trPr>
        <w:tc>
          <w:tcPr>
            <w:tcW w:w="6400" w:type="dxa"/>
            <w:vAlign w:val="bottom"/>
          </w:tcPr>
          <w:p>
            <w:pPr>
              <w:ind w:left="120"/>
              <w:spacing w:after="0"/>
              <w:rPr>
                <w:sz w:val="20"/>
                <w:szCs w:val="20"/>
                <w:color w:val="auto"/>
              </w:rPr>
            </w:pPr>
            <w:r>
              <w:rPr>
                <w:rFonts w:ascii="Arial" w:cs="Arial" w:eastAsia="Arial" w:hAnsi="Arial"/>
                <w:sz w:val="15"/>
                <w:szCs w:val="15"/>
                <w:color w:val="auto"/>
              </w:rPr>
              <w:t>Changes in operating assets and liabilities, net of acquisitions: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Accounts receivable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(117,742)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(43,420)</w:t>
            </w:r>
          </w:p>
        </w:tc>
      </w:tr>
      <w:tr>
        <w:trPr>
          <w:trHeight w:val="201"/>
        </w:trPr>
        <w:tc>
          <w:tcPr>
            <w:tcW w:w="6400" w:type="dxa"/>
            <w:vAlign w:val="bottom"/>
          </w:tcPr>
          <w:p>
            <w:pPr>
              <w:ind w:left="460"/>
              <w:spacing w:after="0"/>
              <w:rPr>
                <w:sz w:val="20"/>
                <w:szCs w:val="20"/>
                <w:color w:val="auto"/>
              </w:rPr>
            </w:pPr>
            <w:r>
              <w:rPr>
                <w:rFonts w:ascii="Arial" w:cs="Arial" w:eastAsia="Arial" w:hAnsi="Arial"/>
                <w:sz w:val="15"/>
                <w:szCs w:val="15"/>
                <w:color w:val="auto"/>
              </w:rPr>
              <w:t>Inventories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(229,365)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(65,492)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(146,220)</w:t>
            </w:r>
          </w:p>
        </w:tc>
      </w:tr>
      <w:tr>
        <w:trPr>
          <w:trHeight w:val="204"/>
        </w:trPr>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Other current and non-current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(12,772)</w:t>
            </w:r>
          </w:p>
        </w:tc>
      </w:tr>
      <w:tr>
        <w:trPr>
          <w:trHeight w:val="201"/>
        </w:trPr>
        <w:tc>
          <w:tcPr>
            <w:tcW w:w="640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Accounts payable and accrued expenses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51,091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(72,903)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(7,299)</w:t>
            </w:r>
          </w:p>
        </w:tc>
      </w:tr>
      <w:tr>
        <w:trPr>
          <w:trHeight w:val="197"/>
        </w:trPr>
        <w:tc>
          <w:tcPr>
            <w:tcW w:w="64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Net cash provided by (used in) operating activities - continuing operations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15,107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(51,203)</w:t>
            </w:r>
          </w:p>
        </w:tc>
      </w:tr>
      <w:tr>
        <w:trPr>
          <w:trHeight w:val="201"/>
        </w:trPr>
        <w:tc>
          <w:tcPr>
            <w:tcW w:w="640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Net cash provided by operating activities - discontinued operations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4,993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62,973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22,910</w:t>
            </w:r>
          </w:p>
        </w:tc>
      </w:tr>
      <w:tr>
        <w:trPr>
          <w:trHeight w:val="197"/>
        </w:trPr>
        <w:tc>
          <w:tcPr>
            <w:tcW w:w="64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Net cash provided by (used in)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78,080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(28,293)</w:t>
            </w:r>
          </w:p>
        </w:tc>
      </w:tr>
      <w:tr>
        <w:trPr>
          <w:trHeight w:val="203"/>
        </w:trPr>
        <w:tc>
          <w:tcPr>
            <w:tcW w:w="640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Acquisitions, net of cash acquired</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(517,856)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(569,028)</w:t>
            </w:r>
          </w:p>
        </w:tc>
      </w:tr>
      <w:tr>
        <w:trPr>
          <w:trHeight w:val="201"/>
        </w:trPr>
        <w:tc>
          <w:tcPr>
            <w:tcW w:w="6400" w:type="dxa"/>
            <w:vAlign w:val="bottom"/>
          </w:tcPr>
          <w:p>
            <w:pPr>
              <w:spacing w:after="0"/>
              <w:rPr>
                <w:sz w:val="20"/>
                <w:szCs w:val="20"/>
                <w:color w:val="auto"/>
              </w:rPr>
            </w:pPr>
            <w:r>
              <w:rPr>
                <w:rFonts w:ascii="Arial" w:cs="Arial" w:eastAsia="Arial" w:hAnsi="Arial"/>
                <w:sz w:val="15"/>
                <w:szCs w:val="15"/>
                <w:color w:val="auto"/>
              </w:rPr>
              <w:t>Purchases of property and equipment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(56,701)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(55,016)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(60,183)</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Proceeds from sale of businesses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74,719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500,305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9,393</w:t>
            </w:r>
          </w:p>
        </w:tc>
      </w:tr>
      <w:tr>
        <w:trPr>
          <w:trHeight w:val="201"/>
        </w:trPr>
        <w:tc>
          <w:tcPr>
            <w:tcW w:w="6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investing activities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(1,102)</w:t>
            </w:r>
          </w:p>
        </w:tc>
      </w:tr>
      <w:tr>
        <w:trPr>
          <w:trHeight w:val="197"/>
        </w:trPr>
        <w:tc>
          <w:tcPr>
            <w:tcW w:w="64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Net cash provided by (used in) investing activities - continuing operations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(504,134)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443,547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(620,920)</w:t>
            </w:r>
          </w:p>
        </w:tc>
      </w:tr>
      <w:tr>
        <w:trPr>
          <w:trHeight w:val="201"/>
        </w:trPr>
        <w:tc>
          <w:tcPr>
            <w:tcW w:w="640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Net cash provided by (used in) investing activities - discontinued operations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81,684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126,956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(5,803)</w:t>
            </w:r>
          </w:p>
        </w:tc>
      </w:tr>
      <w:tr>
        <w:trPr>
          <w:trHeight w:val="197"/>
        </w:trPr>
        <w:tc>
          <w:tcPr>
            <w:tcW w:w="64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Net cash provided by (used in) investing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(422,450)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570,503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(626,723)</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144" w:name="page145"/>
    <w:bookmarkEnd w:id="144"/>
    <w:p>
      <w:pPr>
        <w:jc w:val="center"/>
        <w:ind w:right="-11"/>
        <w:spacing w:after="0"/>
        <w:rPr>
          <w:sz w:val="20"/>
          <w:szCs w:val="20"/>
          <w:color w:val="auto"/>
        </w:rPr>
      </w:pPr>
      <w:r>
        <w:rPr>
          <w:rFonts w:ascii="Arial" w:cs="Arial" w:eastAsia="Arial" w:hAnsi="Arial"/>
          <w:sz w:val="18"/>
          <w:szCs w:val="18"/>
          <w:b w:val="1"/>
          <w:bCs w:val="1"/>
          <w:color w:val="auto"/>
        </w:rPr>
        <w:t>COMPASS DIVERSIFIED HOLDINGS</w:t>
      </w:r>
    </w:p>
    <w:p>
      <w:pPr>
        <w:spacing w:after="0" w:line="2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32"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04"/>
              <w:spacing w:after="0"/>
              <w:rPr>
                <w:sz w:val="20"/>
                <w:szCs w:val="20"/>
                <w:color w:val="auto"/>
              </w:rPr>
            </w:pPr>
            <w:r>
              <w:rPr>
                <w:rFonts w:ascii="Arial" w:cs="Arial" w:eastAsia="Arial" w:hAnsi="Arial"/>
                <w:sz w:val="15"/>
                <w:szCs w:val="15"/>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196"/>
        </w:trPr>
        <w:tc>
          <w:tcPr>
            <w:tcW w:w="640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2022</w:t>
            </w:r>
          </w:p>
        </w:tc>
      </w:tr>
      <w:tr>
        <w:trPr>
          <w:trHeight w:val="183"/>
        </w:trPr>
        <w:tc>
          <w:tcPr>
            <w:tcW w:w="640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Proceeds from the issuance of Trust common shares, net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74,259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83,851</w:t>
            </w:r>
          </w:p>
        </w:tc>
      </w:tr>
      <w:tr>
        <w:trPr>
          <w:trHeight w:val="201"/>
        </w:trPr>
        <w:tc>
          <w:tcPr>
            <w:tcW w:w="6400" w:type="dxa"/>
            <w:vAlign w:val="bottom"/>
          </w:tcPr>
          <w:p>
            <w:pPr>
              <w:spacing w:after="0"/>
              <w:rPr>
                <w:sz w:val="20"/>
                <w:szCs w:val="20"/>
                <w:color w:val="auto"/>
              </w:rPr>
            </w:pPr>
            <w:r>
              <w:rPr>
                <w:rFonts w:ascii="Arial" w:cs="Arial" w:eastAsia="Arial" w:hAnsi="Arial"/>
                <w:sz w:val="15"/>
                <w:szCs w:val="15"/>
                <w:color w:val="auto"/>
              </w:rPr>
              <w:t>Proceeds and expenses from issuance of Trust preferred shares, net</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114,914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Purchase of treasury shares, net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6400" w:type="dxa"/>
            <w:vAlign w:val="bottom"/>
          </w:tcPr>
          <w:p>
            <w:pPr>
              <w:spacing w:after="0"/>
              <w:rPr>
                <w:sz w:val="20"/>
                <w:szCs w:val="20"/>
                <w:color w:val="auto"/>
              </w:rPr>
            </w:pPr>
            <w:r>
              <w:rPr>
                <w:rFonts w:ascii="Arial" w:cs="Arial" w:eastAsia="Arial" w:hAnsi="Arial"/>
                <w:sz w:val="15"/>
                <w:szCs w:val="15"/>
                <w:color w:val="auto"/>
              </w:rPr>
              <w:t>Borrowings under credit facility</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585,000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360,000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268,000</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Repayments under credit facility</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(113,000)</w:t>
            </w:r>
          </w:p>
        </w:tc>
      </w:tr>
      <w:tr>
        <w:trPr>
          <w:trHeight w:val="201"/>
        </w:trPr>
        <w:tc>
          <w:tcPr>
            <w:tcW w:w="6400" w:type="dxa"/>
            <w:vAlign w:val="bottom"/>
          </w:tcPr>
          <w:p>
            <w:pPr>
              <w:spacing w:after="0"/>
              <w:rPr>
                <w:sz w:val="20"/>
                <w:szCs w:val="20"/>
                <w:color w:val="auto"/>
              </w:rPr>
            </w:pPr>
            <w:r>
              <w:rPr>
                <w:rFonts w:ascii="Arial" w:cs="Arial" w:eastAsia="Arial" w:hAnsi="Arial"/>
                <w:sz w:val="15"/>
                <w:szCs w:val="15"/>
                <w:color w:val="auto"/>
              </w:rPr>
              <w:t>Issuance of Term Loan</w:t>
            </w: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400,000</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Repayments - Term Loan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r>
      <w:tr>
        <w:trPr>
          <w:trHeight w:val="201"/>
        </w:trPr>
        <w:tc>
          <w:tcPr>
            <w:tcW w:w="6400" w:type="dxa"/>
            <w:vAlign w:val="bottom"/>
          </w:tcPr>
          <w:p>
            <w:pPr>
              <w:spacing w:after="0"/>
              <w:rPr>
                <w:sz w:val="20"/>
                <w:szCs w:val="20"/>
                <w:color w:val="auto"/>
              </w:rPr>
            </w:pPr>
            <w:r>
              <w:rPr>
                <w:rFonts w:ascii="Arial" w:cs="Arial" w:eastAsia="Arial" w:hAnsi="Arial"/>
                <w:sz w:val="15"/>
                <w:szCs w:val="15"/>
                <w:color w:val="auto"/>
              </w:rPr>
              <w:t>Distributions paid - common shares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(75,490)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(71,967)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(70,845)</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Distributions paid - preferred shares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(24,181)</w:t>
            </w:r>
          </w:p>
        </w:tc>
      </w:tr>
      <w:tr>
        <w:trPr>
          <w:trHeight w:val="201"/>
        </w:trPr>
        <w:tc>
          <w:tcPr>
            <w:tcW w:w="6400" w:type="dxa"/>
            <w:vAlign w:val="bottom"/>
          </w:tcPr>
          <w:p>
            <w:pPr>
              <w:spacing w:after="0"/>
              <w:rPr>
                <w:sz w:val="20"/>
                <w:szCs w:val="20"/>
                <w:color w:val="auto"/>
              </w:rPr>
            </w:pPr>
            <w:r>
              <w:rPr>
                <w:rFonts w:ascii="Arial" w:cs="Arial" w:eastAsia="Arial" w:hAnsi="Arial"/>
                <w:sz w:val="15"/>
                <w:szCs w:val="15"/>
                <w:color w:val="auto"/>
              </w:rPr>
              <w:t>Net proceeds provided by noncontrolling shareholders</w:t>
            </w: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41,947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15,599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1,312</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Net proceeds provided by noncontrolling shareholders - acquisitions</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35,263</w:t>
            </w:r>
          </w:p>
        </w:tc>
      </w:tr>
      <w:tr>
        <w:trPr>
          <w:trHeight w:val="201"/>
        </w:trPr>
        <w:tc>
          <w:tcPr>
            <w:tcW w:w="6400" w:type="dxa"/>
            <w:vAlign w:val="bottom"/>
          </w:tcPr>
          <w:p>
            <w:pPr>
              <w:spacing w:after="0"/>
              <w:rPr>
                <w:sz w:val="20"/>
                <w:szCs w:val="20"/>
                <w:color w:val="auto"/>
              </w:rPr>
            </w:pPr>
            <w:r>
              <w:rPr>
                <w:rFonts w:ascii="Arial" w:cs="Arial" w:eastAsia="Arial" w:hAnsi="Arial"/>
                <w:sz w:val="15"/>
                <w:szCs w:val="15"/>
                <w:color w:val="auto"/>
              </w:rPr>
              <w:t>Purchase of noncontrolling interest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(41,297)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(1,957)</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Distributions to noncontrolling shareholders</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(11,292)</w:t>
            </w:r>
          </w:p>
        </w:tc>
      </w:tr>
      <w:tr>
        <w:trPr>
          <w:trHeight w:val="201"/>
        </w:trPr>
        <w:tc>
          <w:tcPr>
            <w:tcW w:w="6400" w:type="dxa"/>
            <w:vAlign w:val="bottom"/>
          </w:tcPr>
          <w:p>
            <w:pPr>
              <w:spacing w:after="0"/>
              <w:rPr>
                <w:sz w:val="20"/>
                <w:szCs w:val="20"/>
                <w:color w:val="auto"/>
              </w:rPr>
            </w:pPr>
            <w:r>
              <w:rPr>
                <w:rFonts w:ascii="Arial" w:cs="Arial" w:eastAsia="Arial" w:hAnsi="Arial"/>
                <w:sz w:val="15"/>
                <w:szCs w:val="15"/>
                <w:color w:val="auto"/>
              </w:rPr>
              <w:t>Distributions paid - Allocation Interests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(48,941)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(26,475)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Debt issuance costs</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(5,276)</w:t>
            </w:r>
          </w:p>
        </w:tc>
      </w:tr>
      <w:tr>
        <w:trPr>
          <w:trHeight w:val="201"/>
        </w:trPr>
        <w:tc>
          <w:tcPr>
            <w:tcW w:w="6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197"/>
        </w:trPr>
        <w:tc>
          <w:tcPr>
            <w:tcW w:w="64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Net cash provided by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100,614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(260,163)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556,885</w:t>
            </w:r>
          </w:p>
        </w:tc>
      </w:tr>
      <w:tr>
        <w:trPr>
          <w:trHeight w:val="195"/>
        </w:trPr>
        <w:tc>
          <w:tcPr>
            <w:tcW w:w="6400" w:type="dxa"/>
            <w:vAlign w:val="bottom"/>
          </w:tcPr>
          <w:p>
            <w:pPr>
              <w:spacing w:after="0"/>
              <w:rPr>
                <w:sz w:val="20"/>
                <w:szCs w:val="20"/>
                <w:color w:val="auto"/>
              </w:rPr>
            </w:pPr>
            <w:r>
              <w:rPr>
                <w:rFonts w:ascii="Arial" w:cs="Arial" w:eastAsia="Arial" w:hAnsi="Arial"/>
                <w:sz w:val="15"/>
                <w:szCs w:val="15"/>
                <w:color w:val="auto"/>
              </w:rPr>
              <w:t>Foreign currency impact on cash</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786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(1,331)</w:t>
            </w:r>
          </w:p>
        </w:tc>
      </w:tr>
      <w:tr>
        <w:trPr>
          <w:trHeight w:val="204"/>
        </w:trPr>
        <w:tc>
          <w:tcPr>
            <w:tcW w:w="64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Net increase (decrease) in cash and cash equivalents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(390,750)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389,206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(99,462)</w:t>
            </w:r>
          </w:p>
        </w:tc>
      </w:tr>
      <w:tr>
        <w:trPr>
          <w:trHeight w:val="203"/>
        </w:trPr>
        <w:tc>
          <w:tcPr>
            <w:tcW w:w="6400" w:type="dxa"/>
            <w:vAlign w:val="bottom"/>
            <w:tcBorders>
              <w:bottom w:val="single" w:sz="8" w:color="CCEEFF"/>
            </w:tcBorders>
          </w:tcPr>
          <w:p>
            <w:pPr>
              <w:spacing w:after="0" w:line="203" w:lineRule="exact"/>
              <w:rPr>
                <w:sz w:val="20"/>
                <w:szCs w:val="20"/>
                <w:color w:val="auto"/>
              </w:rPr>
            </w:pPr>
            <w:r>
              <w:rPr>
                <w:rFonts w:ascii="Arial" w:cs="Arial" w:eastAsia="Arial" w:hAnsi="Arial"/>
                <w:sz w:val="15"/>
                <w:szCs w:val="15"/>
                <w:color w:val="auto"/>
              </w:rPr>
              <w:t xml:space="preserve">Cash and cash equivalents — beginning of period </w:t>
            </w:r>
            <w:r>
              <w:rPr>
                <w:rFonts w:ascii="Arial" w:cs="Arial" w:eastAsia="Arial" w:hAnsi="Arial"/>
                <w:sz w:val="19"/>
                <w:szCs w:val="19"/>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450,477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61,271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160,733</w:t>
            </w:r>
          </w:p>
        </w:tc>
      </w:tr>
      <w:tr>
        <w:trPr>
          <w:trHeight w:val="221"/>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cash equivalents — end of period</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59,727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450,477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61,271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172" w:right="380" w:hanging="172"/>
        <w:spacing w:after="0"/>
        <w:tabs>
          <w:tab w:leader="none" w:pos="185" w:val="left"/>
        </w:tabs>
        <w:numPr>
          <w:ilvl w:val="0"/>
          <w:numId w:val="64"/>
        </w:numPr>
        <w:rPr>
          <w:rFonts w:ascii="Arial" w:cs="Arial" w:eastAsia="Arial" w:hAnsi="Arial"/>
          <w:sz w:val="22"/>
          <w:szCs w:val="22"/>
          <w:b w:val="1"/>
          <w:bCs w:val="1"/>
          <w:color w:val="auto"/>
          <w:vertAlign w:val="superscript"/>
        </w:rPr>
      </w:pPr>
      <w:r>
        <w:rPr>
          <w:rFonts w:ascii="Arial" w:cs="Arial" w:eastAsia="Arial" w:hAnsi="Arial"/>
          <w:sz w:val="16"/>
          <w:szCs w:val="16"/>
          <w:color w:val="auto"/>
        </w:rPr>
        <w:t>Includes cash from discontinued operations of $3.8 million at January 1, 2024, $8.5 million at January 1, 2023 and $14.3 million at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Organization and Business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Compass Diversified Holdings, a Delaware statutory trust (“the Trust”), was incorporated in Delaware on November 18, 2005. Compass Group Diversified Holdings, LLC, a Delaware limited liability Company (the “LLC”), was also formed on November 18, 2005. Collectively, Compass Diversified Holdings and Compass Group Diversified Holdings, LLC are referred to as the "Company". The Company was formed to acquire and manage a group of small and middle-market businesses headquartered in North America. In accordance with the Third Amended and Restated Trust Agreement, dated as of August 3, 2021 (as amended and restated, the “Trust Agreement”), the Trust is sole owner of 100% of the Trust Interests (as defined in the Company’s Sixth Amended and Restated Operating Agreement, dated as of August 3, 2021 (as amended and restated, the “LLC Agreement”)) of the LLC and, pursuant to the LLC Agreement, the LLC has outstanding the identical number of Trust Interests as the number of outstanding common shares of the Trust. The LLC is the operating entity with a board of directors and other corporate governance responsibilities, similar to that of a Delaware corporation.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LLC is a controlling owner of nine businesses, or operating segments, at December 31, 2024. The segments are as follows: 5.11 Acquisition Corp. ("5.11"), Boa Holdings Inc. ("BOA"), Lugano Holdings, Inc. ("Lugano"), Relentless Topco, Inc. ("PrimaLoft"), THP Topco, Inc. ("The Honey Pot Co." or "THP"), CBCP Products, LLC ("Velocity Outdoor" or "Velocity"), AMTAC Holdings, LLC (“Arnold”), FFI Compass, Inc. ("Altor Solutions" or "Altor") and SternoCandleLamp Holdings, Inc. (“Sterno”). The segments are referred to interchangeably as “businesses”, “operating segments” or “subsidiaries” throughout the financial statements. Refer to </w:t>
      </w:r>
      <w:r>
        <w:rPr>
          <w:rFonts w:ascii="Arial" w:cs="Arial" w:eastAsia="Arial" w:hAnsi="Arial"/>
          <w:sz w:val="18"/>
          <w:szCs w:val="18"/>
          <w:u w:val="single" w:color="auto"/>
          <w:color w:val="0000FF"/>
        </w:rPr>
        <w:t>Note Q - "Operating Segment Data"</w:t>
      </w:r>
      <w:r>
        <w:rPr>
          <w:rFonts w:ascii="Arial" w:cs="Arial" w:eastAsia="Arial" w:hAnsi="Arial"/>
          <w:sz w:val="18"/>
          <w:szCs w:val="18"/>
          <w:color w:val="auto"/>
        </w:rPr>
        <w:t xml:space="preserve"> for further discussion of the operating segments. Compass Group Management LLC, a Delaware limited liability Company (“CGM” or the “Manager”), manages the day to day operations of the LLC and oversees the management and operations of our businesses pursuant to a management services agreement (the "Management Services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of America ("GAAP" or "US GAAP"). The results of operations represent the results of operations of the Company’s acquired businesses from the date of their acquisition by the Company, and therefore may not be indicative of the results to be expected for the full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consolidated financial statements include the accounts of the Trust and the Company, as well as the businesses acquired as of their respective acquisition date. All significant intercompany accounts and transactions have been eliminated in consolidation. Discontinued operating entities are reflected as discontinued operations in the Company’s results of operations and statements of financial position.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acquisition of businesses that the Company owns or controls more than a 50% share of the voting interest are accounted for under the acquisition method of accounting. The amount assigned to the identifiable assets acquired and the liabilities assumed is based on the estimated fair values as of the date of acquisition, with the remainder, if any, recorded as goodwill.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completed the sale of EBP Lifestyle Brands Holdings, Inc. (“Ergobaby”) during the fourth quarter of 2024, Wheelhouse Holdings, Inc. ("Marucci") during the fourth quarter of 2023 and Compass AC Holdings, Inc. ("Advanced Circuits or "ACI") during the first quarter of 2023. The results of operations of Ergobaby are reported as discontinued operations in the consolidated statements of operations for years ended December 31, 2024, 2023 and 2022.The results of operations of Marucci and ACI are reported as discontinued operations in the consolidated statements of operations for years ended December 31, 2023 and 2022. Refer to "</w:t>
      </w:r>
      <w:r>
        <w:rPr>
          <w:rFonts w:ascii="Arial" w:cs="Arial" w:eastAsia="Arial" w:hAnsi="Arial"/>
          <w:sz w:val="18"/>
          <w:szCs w:val="18"/>
          <w:u w:val="single" w:color="auto"/>
          <w:color w:val="0000FF"/>
        </w:rPr>
        <w:t>Note D - Dispositions</w:t>
      </w:r>
      <w:r>
        <w:rPr>
          <w:rFonts w:ascii="Arial" w:cs="Arial" w:eastAsia="Arial" w:hAnsi="Arial"/>
          <w:sz w:val="18"/>
          <w:szCs w:val="18"/>
          <w:color w:val="auto"/>
        </w:rPr>
        <w:t>" for additional information. Unless otherwise indicated, the disclosures accompanying the consolidated financial statements reflect the Company's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the related notes to the consolidated financial statements. These estimates are based on historical factors, management’s best knowledge of current events and actions the Company may undertake in the future. It is possible that in 2025 actual conditions could be better or worse than anticipated when the Company developed the estimates and assumptions, which could materially affect the results of operations and financial position in the future. Such changes could result in future impairment of goodwill, intangibles and long-lived assets, inventory obsolescence, establishment of valuation allowances on deferred tax assets and increased tax liabilities, among other things. Actual results could differ from those estimates.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Interests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issued Allocation Interests governed by the LLC agreement that entitle the holders (the "Holders") to receive distributions pursuant to a profit allocation formula upon the occurrence of certain events. The Holders are entitled to receive and as such can elect to receive the positive contribution based profit allocation payment for each of the business acquisitions during the 30-day period following the fifth anniversary of the date upon which the Company acquired a controlling interest in that business (a "Holding Event") and upon the sale of that business (a "Sale Event"). The payment to the Holders for a Sale Event is based on the pre-tax gain from the sale of the business, as part of the gain is allocated to the Holders and reduced by the tax that would be due on the sale transaction by the Company. Payments of profit allocation to the Holders are accounted for as dividends declared on Allocation Interests and recorded in stockholders' equity once they are approved by the Company's Board of Directors ("Board").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recognizes revenue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 Refer to "</w:t>
      </w:r>
      <w:r>
        <w:rPr>
          <w:rFonts w:ascii="Arial" w:cs="Arial" w:eastAsia="Arial" w:hAnsi="Arial"/>
          <w:sz w:val="18"/>
          <w:szCs w:val="18"/>
          <w:u w:val="single" w:color="auto"/>
          <w:color w:val="0000FF"/>
        </w:rPr>
        <w:t>Note E - Revenue</w:t>
      </w:r>
      <w:r>
        <w:rPr>
          <w:rFonts w:ascii="Arial" w:cs="Arial" w:eastAsia="Arial" w:hAnsi="Arial"/>
          <w:sz w:val="18"/>
          <w:szCs w:val="18"/>
          <w:color w:val="auto"/>
        </w:rPr>
        <w:t>" for a detailed description of the Company's revenue recognition policies.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to be cash equivalents. Certain cash account balances held in domestic financial institutions exceed FDIC insurance limits of $250,000 per account and, as a result, there is a concentration of credit risk related to amounts in excess of the insurance limits. We monitor the financial stability of these financial institutions and believe that we are not exposed to any significant credit risk in cash or cash equivalents. At December 31, 2024 and 2023, the amount of cash and cash equivalents held by our subsidiaries in foreign bank accounts was $24.1 million and $21.5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Trade receivables are reported on the consolidated balance sheets at cost adjusted for any write-offs and net of an allowance for credit losses. The Company uses estimates to determine the amount of the allowance for credit losses in order to reduce accounts receivable to their estimated net realizable value. The Company estimates the amount of the required allowance by reviewing the status of past-due receivables and analyzing historical bad debt trends. The Company’s estimate also includes analyzing existing economic conditions. When the Company becomes aware of circumstances that may impair a specific customer’s ability to meet its financial obligations subsequent to the original sale, the Company will record an allowance against amounts due, and thereby reduce the net receivable to the amount it reasonably believes will be collectible. Balances that remain outstanding after the Company has used reasonable collection efforts are written off through a charge to the valuation allowance and a credit to accounts receivable. The Company's Lugano operating segment has adopted the practical expedient available under the revenue recognition accounting standard whereby for revenue contracts that have an original duration of one year or less, Lugano does not consider the time value of money and does not recognize a financing component on trade receivables where the period between the transfer of a promised good to a customer and the customer’s payment for that good will be one year or less.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consist of raw materials, work-in-process, manufactured goods and purchased goods acquired for resale. Inventories are stated at the lower of cost or net realizable value, with cost generally determined on the first-in, first-out method or average cost method. At our Lugano business, cost is determined based on specific identification. Cost includes raw materials, direct labor, manufacturing overhead and indirect overhead. Net realizable value is based on current replacement cost for raw materials and supplies and on estimated selling costs less reasonably predictable costs of completion, and disposal for finished goods. The net realizable value of the Company’s inventory is estimated based on historical experience, current and forecasted demand and other market conditions. In addition, reserves for inventory losses are estimated based on historical experience. The Company’s inventory reserves are estimates, which could vary significantly from actual results if future economic conditions, customer demand or competition differ from expectations. The Company's historical estimates of these adjustments have not differed materially from actual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plant and equipment is recorded at cost. The cost of major additions or betterments is capitalized, while maintenance and repairs that do not improve or extend the useful lives of the related assets are expensed as incurred.</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is provided principally on the straight-line method over estimated useful lives. Leasehold improvements are amortized over the life of the lease or the life of the improvement, whichever is shorter.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ranges of useful lives are as follows:</w:t>
      </w:r>
    </w:p>
    <w:p>
      <w:pPr>
        <w:sectPr>
          <w:pgSz w:w="11900" w:h="16838" w:orient="portrait"/>
          <w:cols w:equalWidth="0" w:num="1">
            <w:col w:w="11240"/>
          </w:cols>
          <w:pgMar w:left="320" w:top="337" w:right="339" w:bottom="1440" w:gutter="0" w:footer="0" w:header="0"/>
        </w:sectPr>
      </w:pPr>
    </w:p>
    <w:p>
      <w:pPr>
        <w:spacing w:after="0" w:line="14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Buildings and improvements</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Machinery and equipment</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Office furniture, computers and software</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5 to 40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to 15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to 10 years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Shorter of useful life or lease term</w:t>
      </w:r>
    </w:p>
    <w:p>
      <w:pPr>
        <w:spacing w:after="0" w:line="211" w:lineRule="exact"/>
        <w:rPr>
          <w:sz w:val="20"/>
          <w:szCs w:val="20"/>
          <w:color w:val="auto"/>
        </w:rPr>
      </w:pPr>
    </w:p>
    <w:p>
      <w:pPr>
        <w:sectPr>
          <w:pgSz w:w="11900" w:h="16838" w:orient="portrait"/>
          <w:cols w:equalWidth="0" w:num="2">
            <w:col w:w="5200" w:space="720"/>
            <w:col w:w="5320"/>
          </w:cols>
          <w:pgMar w:left="320" w:top="337" w:right="339" w:bottom="1440" w:gutter="0" w:footer="0" w:header="0"/>
          <w:type w:val="continuous"/>
        </w:sectPr>
      </w:pP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plant and equipment and other long-lived assets that have definitive lives are evaluated for impairment when events or changes in circumstances indicate that the carrying value of the assets may not be recoverable (‘triggering event’). Upon the occurrence of a triggering event, the asset is reviewed to assess whether the estimated undiscounted cash flows expected from the use of the asset plus residual value from the ultimate disposal exceeds the carrying value of the asset. If the carrying value exceeds the estimated recoverable amounts, the asset is written down to its fair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 of the Company’s financial instruments, including cash and cash equivalents, accounts receivable and accounts payable approximate their fair value due to their short term nature. The fair value of the Company's senior notes are based on interest rates that are currently available to the Company for issuance of debt with similar terms and remaining maturities. If measured at fair value in the financial statements, the Senior Notes would be classified as Level 2 in the fair value hierarchy.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allocates the amount it pays for each acquisition to the assets acquired and liabilities assumed based on their fair values at the date of acquisition, including identifiable intangible assets which arise from a contractual or legal right or are separable from goodwill. The Company bases the fair value of identifiable intangible assets acquired in a business combination on detailed valuations that use information and assumptions provided by management, which consider management’s best estimates of inputs and assumptions that a market participant would use. The Company allocates any excess purchase price that exceeds the fair value of the net tangible and identifiable intangible assets acquired to goodwill. The use of alternative valuation assumptions, including estimated growth rates, cash flows, discount rates and estimated useful lives could result in different purchase price allocations and amortization expense in current and future periods. Transaction costs associated with these acquisitions are expensed as incurred through selling, general and administrative expense on the consolidated statement of operations. In those circumstances where an acquisition involves a contingent consideration arrangement, the Company recognizes a liability equal to the fair value of the contingent payments expected to be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made as of the acquisition date. The Company re-measures this liability each reporting period and records changes in the fair value through operating income within the consolidated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Goodwill represents the excess of the purchase price over the fair value of the assets acquired and liabilities assumed. The Company is required to perform impairment reviews at each of its reporting units annually and more frequently in certain circumstances. In accordance with accounting guidelines, the Company is able to make a qualitative assessment of whether it is more likely than not that a reporting unit’s fair value is less than its carrying amount before applying the quantitative goodwill impairment test.</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first step of the process after the qualitative assessment fails is estimating the fair value of each of its reporting units based on a discounted cash flow (“DCF”) model using revenue and profit forecast and a market approach which compares peer data and earnings multiples. The Company then compares those estimated fair values with the carrying values, which include allocated goodwill. If the estimated fair value is less than the carrying value, then a goodwill impairment is recorded.</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cannot predict the occurrence of certain future events that might adversely affect the implied value of goodwill and/or the fair value of intangible assets. Such events include, but are not limited to, strategic decisions made in response to economic and competitive conditions, the impact of the economic environment on its customer base, and material adverse effects in relationships with significant customers. The impact of over-estimating or under-estimating the implied fair value of goodwill at any of the reporting units could have a material effect on the results of operations and financial position. In addition, the value of the implied goodwill is subject to the volatility of the Company’s operations which may result in significant fluctuation in the value assigned at any point in time.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u w:val="single" w:color="auto"/>
          <w:color w:val="0000FF"/>
        </w:rPr>
        <w:t>Note G - Goodwill and Intangible Assets</w:t>
      </w:r>
      <w:r>
        <w:rPr>
          <w:rFonts w:ascii="Arial" w:cs="Arial" w:eastAsia="Arial" w:hAnsi="Arial"/>
          <w:sz w:val="18"/>
          <w:szCs w:val="18"/>
          <w:color w:val="auto"/>
        </w:rPr>
        <w:t>" for the results of the annual impairment tests.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issuance costs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debt issuance costs represent the costs associated with the issuance of debt instruments and are amortized over the life of the related debt instrument. Deferred debt issuance costs are presented in the consolidated balance sheet as a deduction from the carrying value of the associated debt liability.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Costs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recognizes warranty costs based on an estimate of the amounts required to meet future warranty obligations. The Company accrues an estimated liability for exposure to warranty claims at the time of a product sale based on both current and historical claim trends and warranty costs incurred. Warranty reserves are included within "Accrued expenses" in the Company's consolidated balance sheets.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of the Company’s segments have operations outside the United States, and the local currency is typically the functional currency. The financial statements are translated into U.S. dollars using exchange rates in effect at year-end for assets and liabilities and average exchange rates during the year for results of operations. The resulting translation gain or loss is included in stockholders' equity as other comprehensive income or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Noncontrolling interest represents the portion of a majority-owned subsidiary’s net income that is owned by noncontrolling shareholders. Noncontrolling interest on the balance sheet represents the portion of equity in a consolidated subsidiary owned by noncontrolling shareholders.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income taxes are calculated under the asset and liability method which requires the recognition of deferred tax assets and liabilities for the expected future tax consequences of events that have been included in the financial statements. Deferred income taxes are provided for the differences between the basis of assets and liabilities for financial reporting and income tax purposes at the enacted tax rates.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valuation allowance is established when necessary to reduce deferred tax assets to the amount that is expected to more likely than not be realized. Several of the Company’s majority owned subsidiaries have deferred tax assets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recorded at December 31, 2024 which in total amounted to approximately $107.3 million. This deferred tax asset is net of $36.6 million of valuation allowance primarily associated with the realization of domestic and foreign net operating losses, domestic and foreign tax credits and the limitation on the deduction of interest expense. These deferred tax assets are comprised primarily of reserves not currently deductible for tax purposes. The temporary differences that have resulted in the recording of these tax assets may be used to offset taxable income in future periods, reducing the amount of taxes required to be paid. Realization of the deferred tax assets is dependent on generating sufficient future taxable income at those subsidiaries with deferred tax assets. Based upon the expected future results of operations, the Company believes it is more likely than not that those subsidiaries with deferred tax assets will generate sufficient future taxable income to realize the benefit of existing temporary differences, although there can be no assurance of this. The impact of not realizing these deferred tax assets would result in an increase in income tax expense for such period when the determination was made that the assets are not realizable.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record uncertain tax positions in accordance with Accounting Standards Codification ("ASC") 740 - Income Taxes,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fully diluted earnings per Trust common share is computed using the two-class method which requires companies to allocate participating securities that have rights to earnings that otherwise would have been available only to common shareholders as a separate class of securities in calculating earnings per share. The Company has granted Allocation Interests that contain participating rights to receive profit allocations upon the occurrence of a Holding Event or a Sale Event, and has issued preferred shares that have rights to distributions when, and if, declared by the Company's Board.</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calculation of basic and fully diluted earnings per common share is computed by dividing income available to common shareholders by the weighted average number of Trust common shares outstanding during the period. Earnings per common share reflects the effect of distributions that were declared and paid to the Holders and distributions that were paid on preferred shares during the period.</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did not have any stock option plans or any other potentially dilutive securities outstanding during the years ended December 31, 2024, 2023 and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Advertising costs are expensed as incurred and included in selling, general and administrative expense in the consolidated statements of operations. Advertising costs were $30.6 million, $24.6 million and $23.9 million during the years ended December 31, 2024, 2023 and 2022,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costs are expensed as incurred and included in selling, general and administrative expense in the consolidated statements of operations. The Company incurred research and development expense of $16.9 million, $13.9 million and $11.7 million during the years ended December 31, 2024, 2023 and 2022,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retirement plans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many of its segments sponsor defined contribution retirement plans, such as 401(k) plans. Employee contributions to the plan are subject to regulatory limitations and the specific plan provisions. The Company and its segments may match these contributions up to levels specified in the plans and may make additional discretionary contributions as determined by management. The total employer contributions to these plans were $5.3 million, $4.6 million and $4.2 million for the years ended December 31, 2024, 2023 and 2022, respectively.</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Arnold subsidiary maintains a defined benefit plan for certain of its employees which is more fully described in "</w:t>
      </w:r>
      <w:r>
        <w:rPr>
          <w:rFonts w:ascii="Arial" w:cs="Arial" w:eastAsia="Arial" w:hAnsi="Arial"/>
          <w:sz w:val="18"/>
          <w:szCs w:val="18"/>
          <w:u w:val="single" w:color="auto"/>
          <w:color w:val="0000FF"/>
        </w:rPr>
        <w:t>Note I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Defined Benefit Plan</w:t>
      </w:r>
      <w:r>
        <w:rPr>
          <w:rFonts w:ascii="Arial" w:cs="Arial" w:eastAsia="Arial" w:hAnsi="Arial"/>
          <w:sz w:val="18"/>
          <w:szCs w:val="18"/>
          <w:color w:val="000000"/>
        </w:rPr>
        <w:t>". Accounting guidelines require employers to recognize the overfunded or underfunded status of defined benefit</w:t>
      </w:r>
      <w:r>
        <w:rPr>
          <w:rFonts w:ascii="Arial" w:cs="Arial" w:eastAsia="Arial" w:hAnsi="Arial"/>
          <w:sz w:val="18"/>
          <w:szCs w:val="18"/>
          <w:color w:val="0000FF"/>
        </w:rPr>
        <w:t xml:space="preserve"> </w:t>
      </w:r>
      <w:r>
        <w:rPr>
          <w:rFonts w:ascii="Arial" w:cs="Arial" w:eastAsia="Arial" w:hAnsi="Arial"/>
          <w:sz w:val="18"/>
          <w:szCs w:val="18"/>
          <w:color w:val="000000"/>
        </w:rPr>
        <w:t>pension and postretirement plans as assets or liabilities in their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consolidated balance sheets and to recognize changes in that funded status in the year in which the changes occur as a component of comprehensive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 however, due to various acquisitions in the last three years, there is generally less seasonality in our net sales on a consolidated basis than there has been historically.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does not have a stock based compensation plan; however, all of the Company’s subsidiaries maintain stock based compensation plans under which some form of stock compensation, typically stock options or profit interests, is issued to employees and outside directors of each subsidiary. The fair value of the awards are estimated on the date of grant using a pricing model and assumptions specific to the subsidiary that granted the stock award. During the years ended December 31, 2024, 2023 and 2022, $16.3 million, $9.5 million, and $10.5 million of stock based compensation expense was recorded in selling, general and administrative expense in the consolidated statements of operations. As of December 31, 2024, the amount to be recorded for stock-based compensation expense in future years for unvested options is approximately $55.6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(Topic 280): Improvements to Reportable Segment Disclosures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2023, the Financial Accounting Standards Board ("FASB") issued ASU No. 2023-07, Segment Reporting (Topic 280): Improvements to Reportable Segment Disclosures. This guidance requires, among other things, the following: (i) enhanced disclosures about significant segment expenses that are regularly provided to the chief operating decision maker ("CODM") and included in a segment's reported measure of profit or loss; (ii) disclosure of the amount and description of the composition of other segment items, as defined in ASU 2023-07, by reportable segment; and (iii) reporting the disclosures about each reportable segment's profit or loss and assets on an annual and interim basis. The guidance is effective for fiscal years beginning after December 15, 2023, and interim periods within fiscal years beginning after December 15, 2024. The Company adopted the new standard as of the year ended December 31, 2024, and applied it retrospectively to all prior periods presented (refer to "</w:t>
      </w:r>
      <w:r>
        <w:rPr>
          <w:rFonts w:ascii="Arial" w:cs="Arial" w:eastAsia="Arial" w:hAnsi="Arial"/>
          <w:sz w:val="18"/>
          <w:szCs w:val="18"/>
          <w:u w:val="single" w:color="auto"/>
          <w:color w:val="0000FF"/>
        </w:rPr>
        <w:t>Note Q - Operating Segment Data</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(Topic 740): Improvements to Income Tax Disclosures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This guidance will require, among other things, the following for public business entities: (i) enhanced disclosures of specific categories of reconciling items included in the rate reconciliation, as well as additional information for any of these items meeting certain qualitative and quantitative thresholds; (ii) disclosure of the nature, effect and underlying causes of each individual reconciling item disclosed in the rate reconciliation and the judgment used in categorizing them if not otherwise evident; and (iii) enhanced disclosures for income taxes paid, which includes federal, state, and foreign taxes, as well as for individual jurisdictions over a certain quantitative threshold. The amendments in ASU 2023-09 eliminate the requirement to disclose the nature and estimate of the range of the reasonably possible change in unrecognized tax benefits for the 12 months after the balance sheet date. The guidance will be effective for annual periods beginning after December 15, 2024 and early adoption is permitted. The Company is currently evaluating the impact that this ASU will have when adopted and anticipates the ASU will likely result in additional disclosures in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ASU No. 2024-03, Income Statement - Reporting Comprehensive Income- Expense Disaggregation Disclosures (Subtopic 220-40). This guidance will require the disclosure of disaggregation of certain relevant expenses included in the consolidated statements of operations. The guidance will be effective for annual reporting periods beginning after December 15, 2026 and for interim reporting periods beginning December 15, 2027, with early adoption permitted. The Company is currently evaluating the impact this standard will have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Acquisition of Businesses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acquisitions of our businesses are accounted for under the acquisition method of accounting. For each new platform acquisition, the Company typically structures the transaction so that a newly created holding company acquires 100% of the equity interests in the acquired business. The entirety of the purchase consideration is paid by the newly created holding company to the selling shareholders. The total purchase consideration is the amount paid to the selling shareholders and we will, from time to time, allow the selling shareholder to reinvest a portion of their proceeds alongside the Company at the same price per share, into the holding company that acquires the target business. Once the acquisition is complete, the selling shareholders no longer hold equity interests in the acquired company, but rather hold noncontrolling interest in the holding company that acquired the target business. Because the selling shareholders are investing in the transaction alongside the Company at the same price per share as the Company and are not retaining their existing equity in the acquired business, the Company includes the amount provided by noncontrolling shareholders in the total purchase consideration.</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typically through our existing credit facility. The debt capital is in the form of “intercompany loans” made by the LLC to the newly created holding company and the acquired business and are due from the newly created holding company and the acquired business, and payable to the LLC by the newly created holding company and the acquired business. The selling shareholders of the acquired businesses are not a party to the intercompany loan agreements nor do they have any obligation to repay the intercompany loans. These intercompany loans eliminate in consolidation and are not reflected on the Company's consolidated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The Honey Pot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31, 2024 (the "Closing Date"), the LLC, through its newly formed acquisition subsidiaries, THP Topco, Inc., a Delaware corporation (“THP Topco”) and THP Intermediate, Inc., a Delaware corporation (“THP Buyer”), acquired The Honey Pot Company Holdings, LLC (“THP”) and certain of its affiliated entities pursuant to a Merger and Stock Purchase Agreement (the “THP Purchase Agreement”) dated January 14, 2024 by and among THP Buyer, THP, VMG Honey Pot Blocker, Inc. (“Blocker I”), NVB1, Inc. (“Blocker II”), VMG Tax-Exempt IV, L.P., New Voices Fund, LP, THP Merger Sub, LLC (“THP Merger Sub”), VMG Honey Pot Holdings, LLC, as the Sellers’ Representative, and certain remaining equity holders of THP. Pursuant to the THP Purchase Agreement, subsequent to certain internal reorganizations, THP Buyer acquired all of the issued and outstanding equity of Blocker I and Blocker II and, thereafter, THP Merger Sub merged with and into THP (the “THP Merger”), with THP surviving such that the separate existence of THP Merger Sub ceased, with THP surviving the Merger as a wholly-owned, indirect subsidiary of the THP Topco. THP is the parent company of The Honey Pot Company (DE), LLC (“The Honey Pot Co.”).</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acquired THP for a total purchase price, including proceeds from noncontrolling shareholders, of approximately $380 million (the “THP Purchase Price”), before working capital and certain other adjustments, at the Closing Date. The Company funded the THP Purchase Price with cash on hand. Certain equity holders of THP invested in the transaction along with the Company, representing 15% of the initial equity interest in THP Topco. The Company directly owns approximately 85% of THP Topco, which in turn indirectly owns all of the issued and outstanding equity interests of THP and The Honey Pot Co. Concurrent with the Closing Date, the Company provided a credit facility to THP Buyer, THP and The Honey Pot Co., as borrowers (the “THP Credit Agreement”), pursuant to which a secured revolving loan commitment and secured term loans were made available to Buyer, THP and The Honey Pot Co. (collectively, the “Borrowers”). The initial amount outstanding under these facilities on the Closing Date was approximately $110 million.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Honey Pot Co. is a feminine care brand that offers an extensive range of holistic wellness products across feminine hygiene, menstrual, consumer health, and sexual wellness categories. The Honey Pot Co.’s mission is to educate, support, and provide consumers around the world with the tools and resources that promote menstrual health and vaginal wellness.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results of operations of The Honey Pot Co. have been included in the consolidated results of operations since the date of acquisition. The Honey Pot Co.'s results of operations are reported as a separate operating segment as a branded consumer business. The table below provides the recording of the fair value of assets acquired and liabilities assumed as of the date of acquisition.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right"/>
              <w:ind w:right="124"/>
              <w:spacing w:after="0" w:line="162" w:lineRule="exact"/>
              <w:rPr>
                <w:sz w:val="20"/>
                <w:szCs w:val="20"/>
                <w:color w:val="auto"/>
              </w:rPr>
            </w:pPr>
            <w:r>
              <w:rPr>
                <w:rFonts w:ascii="Arial" w:cs="Arial" w:eastAsia="Arial" w:hAnsi="Arial"/>
                <w:sz w:val="15"/>
                <w:szCs w:val="15"/>
                <w:b w:val="1"/>
                <w:bCs w:val="1"/>
                <w:color w:val="auto"/>
              </w:rPr>
              <w:t>Preliminary Purchase</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right"/>
              <w:ind w:right="144"/>
              <w:spacing w:after="0" w:line="162" w:lineRule="exact"/>
              <w:rPr>
                <w:sz w:val="20"/>
                <w:szCs w:val="20"/>
                <w:color w:val="auto"/>
              </w:rPr>
            </w:pPr>
            <w:r>
              <w:rPr>
                <w:rFonts w:ascii="Arial" w:cs="Arial" w:eastAsia="Arial" w:hAnsi="Arial"/>
                <w:sz w:val="15"/>
                <w:szCs w:val="15"/>
                <w:b w:val="1"/>
                <w:bCs w:val="1"/>
                <w:color w:val="auto"/>
              </w:rPr>
              <w:t>Measurement Period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right"/>
              <w:ind w:right="144"/>
              <w:spacing w:after="0" w:line="162" w:lineRule="exact"/>
              <w:rPr>
                <w:sz w:val="20"/>
                <w:szCs w:val="20"/>
                <w:color w:val="auto"/>
              </w:rPr>
            </w:pPr>
            <w:r>
              <w:rPr>
                <w:rFonts w:ascii="Arial" w:cs="Arial" w:eastAsia="Arial" w:hAnsi="Arial"/>
                <w:sz w:val="15"/>
                <w:szCs w:val="15"/>
                <w:b w:val="1"/>
                <w:bCs w:val="1"/>
                <w:color w:val="auto"/>
              </w:rPr>
              <w:t>Final Purchase Price</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Price Allocation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Adjustments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Allocation</w:t>
            </w:r>
          </w:p>
        </w:tc>
        <w:tc>
          <w:tcPr>
            <w:tcW w:w="0" w:type="dxa"/>
            <w:vAlign w:val="bottom"/>
          </w:tcPr>
          <w:p>
            <w:pPr>
              <w:spacing w:after="0"/>
              <w:rPr>
                <w:sz w:val="1"/>
                <w:szCs w:val="1"/>
                <w:color w:val="auto"/>
              </w:rPr>
            </w:pPr>
          </w:p>
        </w:tc>
      </w:tr>
      <w:tr>
        <w:trPr>
          <w:trHeight w:val="224"/>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Purchase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380,121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377,325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Fair value of identifiable assets acquired:</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Cash</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4,076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(3,320)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756</w:t>
            </w:r>
          </w:p>
        </w:tc>
        <w:tc>
          <w:tcPr>
            <w:tcW w:w="0" w:type="dxa"/>
            <w:vAlign w:val="bottom"/>
          </w:tcPr>
          <w:p>
            <w:pPr>
              <w:spacing w:after="0"/>
              <w:rPr>
                <w:sz w:val="1"/>
                <w:szCs w:val="1"/>
                <w:color w:val="auto"/>
              </w:rPr>
            </w:pPr>
          </w:p>
        </w:tc>
      </w:tr>
      <w:tr>
        <w:trPr>
          <w:trHeight w:val="204"/>
        </w:trPr>
        <w:tc>
          <w:tcPr>
            <w:tcW w:w="524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19"/>
                <w:szCs w:val="19"/>
                <w:b w:val="1"/>
                <w:bCs w:val="1"/>
                <w:color w:val="auto"/>
                <w:vertAlign w:val="superscript"/>
              </w:rPr>
              <w:t>(1)</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16,361</w:t>
            </w:r>
          </w:p>
        </w:tc>
        <w:tc>
          <w:tcPr>
            <w:tcW w:w="0" w:type="dxa"/>
            <w:vAlign w:val="bottom"/>
          </w:tcPr>
          <w:p>
            <w:pPr>
              <w:spacing w:after="0"/>
              <w:rPr>
                <w:sz w:val="1"/>
                <w:szCs w:val="1"/>
                <w:color w:val="auto"/>
              </w:rPr>
            </w:pPr>
          </w:p>
        </w:tc>
      </w:tr>
      <w:tr>
        <w:trPr>
          <w:trHeight w:val="201"/>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Inventory</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18,986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18,986</w:t>
            </w:r>
          </w:p>
        </w:tc>
        <w:tc>
          <w:tcPr>
            <w:tcW w:w="0" w:type="dxa"/>
            <w:vAlign w:val="bottom"/>
          </w:tcPr>
          <w:p>
            <w:pPr>
              <w:spacing w:after="0"/>
              <w:rPr>
                <w:sz w:val="1"/>
                <w:szCs w:val="1"/>
                <w:color w:val="auto"/>
              </w:rPr>
            </w:pPr>
          </w:p>
        </w:tc>
      </w:tr>
      <w:tr>
        <w:trPr>
          <w:trHeight w:val="204"/>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Property, plant and equipment</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w:t>
            </w:r>
          </w:p>
        </w:tc>
        <w:tc>
          <w:tcPr>
            <w:tcW w:w="0" w:type="dxa"/>
            <w:vAlign w:val="bottom"/>
          </w:tcPr>
          <w:p>
            <w:pPr>
              <w:spacing w:after="0"/>
              <w:rPr>
                <w:sz w:val="1"/>
                <w:szCs w:val="1"/>
                <w:color w:val="auto"/>
              </w:rPr>
            </w:pPr>
          </w:p>
        </w:tc>
      </w:tr>
      <w:tr>
        <w:trPr>
          <w:trHeight w:val="201"/>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Intangible assets</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247,000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4"/>
              <w:spacing w:after="0"/>
              <w:rPr>
                <w:sz w:val="20"/>
                <w:szCs w:val="20"/>
                <w:color w:val="auto"/>
              </w:rPr>
            </w:pPr>
            <w:r>
              <w:rPr>
                <w:rFonts w:ascii="Arial" w:cs="Arial" w:eastAsia="Arial" w:hAnsi="Arial"/>
                <w:sz w:val="15"/>
                <w:szCs w:val="15"/>
                <w:color w:val="auto"/>
              </w:rPr>
              <w:t>24,300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271,300</w:t>
            </w:r>
          </w:p>
        </w:tc>
        <w:tc>
          <w:tcPr>
            <w:tcW w:w="0" w:type="dxa"/>
            <w:vAlign w:val="bottom"/>
          </w:tcPr>
          <w:p>
            <w:pPr>
              <w:spacing w:after="0"/>
              <w:rPr>
                <w:sz w:val="1"/>
                <w:szCs w:val="1"/>
                <w:color w:val="auto"/>
              </w:rPr>
            </w:pPr>
          </w:p>
        </w:tc>
      </w:tr>
      <w:tr>
        <w:trPr>
          <w:trHeight w:val="204"/>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current and noncurrent assets</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3,958</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rPr>
              <w:t>Total identifiable assets</w:t>
            </w:r>
          </w:p>
        </w:tc>
        <w:tc>
          <w:tcPr>
            <w:tcW w:w="14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292,269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20,980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313,249</w:t>
            </w:r>
          </w:p>
        </w:tc>
        <w:tc>
          <w:tcPr>
            <w:tcW w:w="0" w:type="dxa"/>
            <w:vAlign w:val="bottom"/>
          </w:tcPr>
          <w:p>
            <w:pPr>
              <w:spacing w:after="0"/>
              <w:rPr>
                <w:sz w:val="1"/>
                <w:szCs w:val="1"/>
                <w:color w:val="auto"/>
              </w:rPr>
            </w:pPr>
          </w:p>
        </w:tc>
      </w:tr>
      <w:tr>
        <w:trPr>
          <w:trHeight w:val="142"/>
        </w:trPr>
        <w:tc>
          <w:tcPr>
            <w:tcW w:w="5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40" w:type="dxa"/>
            <w:vAlign w:val="bottom"/>
            <w:gridSpan w:val="2"/>
          </w:tcPr>
          <w:p>
            <w:pPr>
              <w:ind w:left="20"/>
              <w:spacing w:after="0"/>
              <w:rPr>
                <w:sz w:val="20"/>
                <w:szCs w:val="20"/>
                <w:color w:val="auto"/>
              </w:rPr>
            </w:pPr>
            <w:r>
              <w:rPr>
                <w:rFonts w:ascii="Arial" w:cs="Arial" w:eastAsia="Arial" w:hAnsi="Arial"/>
                <w:sz w:val="15"/>
                <w:szCs w:val="15"/>
                <w:b w:val="1"/>
                <w:bCs w:val="1"/>
                <w:color w:val="auto"/>
              </w:rPr>
              <w:t>Fair value of liabilities assumed:</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10,957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10,957</w:t>
            </w:r>
          </w:p>
        </w:tc>
        <w:tc>
          <w:tcPr>
            <w:tcW w:w="0" w:type="dxa"/>
            <w:vAlign w:val="bottom"/>
          </w:tcPr>
          <w:p>
            <w:pPr>
              <w:spacing w:after="0"/>
              <w:rPr>
                <w:sz w:val="1"/>
                <w:szCs w:val="1"/>
                <w:color w:val="auto"/>
              </w:rPr>
            </w:pPr>
          </w:p>
        </w:tc>
      </w:tr>
      <w:tr>
        <w:trPr>
          <w:trHeight w:val="201"/>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1,480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1,480</w:t>
            </w:r>
          </w:p>
        </w:tc>
        <w:tc>
          <w:tcPr>
            <w:tcW w:w="0" w:type="dxa"/>
            <w:vAlign w:val="bottom"/>
          </w:tcPr>
          <w:p>
            <w:pPr>
              <w:spacing w:after="0"/>
              <w:rPr>
                <w:sz w:val="1"/>
                <w:szCs w:val="1"/>
                <w:color w:val="auto"/>
              </w:rPr>
            </w:pPr>
          </w:p>
        </w:tc>
      </w:tr>
      <w:tr>
        <w:trPr>
          <w:trHeight w:val="204"/>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27,846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2,680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30,526</w:t>
            </w:r>
          </w:p>
        </w:tc>
        <w:tc>
          <w:tcPr>
            <w:tcW w:w="0" w:type="dxa"/>
            <w:vAlign w:val="bottom"/>
          </w:tcPr>
          <w:p>
            <w:pPr>
              <w:spacing w:after="0"/>
              <w:rPr>
                <w:sz w:val="1"/>
                <w:szCs w:val="1"/>
                <w:color w:val="auto"/>
              </w:rPr>
            </w:pPr>
          </w:p>
        </w:tc>
      </w:tr>
      <w:tr>
        <w:trPr>
          <w:trHeight w:val="196"/>
        </w:trPr>
        <w:tc>
          <w:tcPr>
            <w:tcW w:w="524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liabilities</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40,283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4"/>
              <w:spacing w:after="0"/>
              <w:rPr>
                <w:sz w:val="20"/>
                <w:szCs w:val="20"/>
                <w:color w:val="auto"/>
              </w:rPr>
            </w:pPr>
            <w:r>
              <w:rPr>
                <w:rFonts w:ascii="Arial" w:cs="Arial" w:eastAsia="Arial" w:hAnsi="Arial"/>
                <w:sz w:val="15"/>
                <w:szCs w:val="15"/>
                <w:color w:val="auto"/>
              </w:rPr>
              <w:t>2,680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42,963</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Net identifiable assets acquired</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251,986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4"/>
              <w:spacing w:after="0"/>
              <w:rPr>
                <w:sz w:val="20"/>
                <w:szCs w:val="20"/>
                <w:color w:val="auto"/>
              </w:rPr>
            </w:pPr>
            <w:r>
              <w:rPr>
                <w:rFonts w:ascii="Arial" w:cs="Arial" w:eastAsia="Arial" w:hAnsi="Arial"/>
                <w:sz w:val="15"/>
                <w:szCs w:val="15"/>
                <w:color w:val="auto"/>
              </w:rPr>
              <w:t>18,300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270,286</w:t>
            </w:r>
          </w:p>
        </w:tc>
        <w:tc>
          <w:tcPr>
            <w:tcW w:w="0" w:type="dxa"/>
            <w:vAlign w:val="bottom"/>
          </w:tcPr>
          <w:p>
            <w:pPr>
              <w:spacing w:after="0"/>
              <w:rPr>
                <w:sz w:val="1"/>
                <w:szCs w:val="1"/>
                <w:color w:val="auto"/>
              </w:rPr>
            </w:pPr>
          </w:p>
        </w:tc>
      </w:tr>
      <w:tr>
        <w:trPr>
          <w:trHeight w:val="258"/>
        </w:trPr>
        <w:tc>
          <w:tcPr>
            <w:tcW w:w="5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Goodwill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128,135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(21,096)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107,039</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Acquisition consideration</w:t>
            </w: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2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Purchase price</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380,000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6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380,000</w:t>
            </w:r>
          </w:p>
        </w:tc>
        <w:tc>
          <w:tcPr>
            <w:tcW w:w="0" w:type="dxa"/>
            <w:vAlign w:val="bottom"/>
          </w:tcPr>
          <w:p>
            <w:pPr>
              <w:spacing w:after="0"/>
              <w:rPr>
                <w:sz w:val="1"/>
                <w:szCs w:val="1"/>
                <w:color w:val="auto"/>
              </w:rPr>
            </w:pPr>
          </w:p>
        </w:tc>
      </w:tr>
      <w:tr>
        <w:trPr>
          <w:trHeight w:val="201"/>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Cash acquired</w:t>
            </w:r>
          </w:p>
        </w:tc>
        <w:tc>
          <w:tcPr>
            <w:tcW w:w="14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4,375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(3,320)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1,055</w:t>
            </w:r>
          </w:p>
        </w:tc>
        <w:tc>
          <w:tcPr>
            <w:tcW w:w="0" w:type="dxa"/>
            <w:vAlign w:val="bottom"/>
          </w:tcPr>
          <w:p>
            <w:pPr>
              <w:spacing w:after="0"/>
              <w:rPr>
                <w:sz w:val="1"/>
                <w:szCs w:val="1"/>
                <w:color w:val="auto"/>
              </w:rPr>
            </w:pPr>
          </w:p>
        </w:tc>
      </w:tr>
      <w:tr>
        <w:trPr>
          <w:trHeight w:val="204"/>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working capital adjustment</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(2,602)</w:t>
            </w:r>
          </w:p>
        </w:tc>
        <w:tc>
          <w:tcPr>
            <w:tcW w:w="0" w:type="dxa"/>
            <w:vAlign w:val="bottom"/>
          </w:tcPr>
          <w:p>
            <w:pPr>
              <w:spacing w:after="0"/>
              <w:rPr>
                <w:sz w:val="1"/>
                <w:szCs w:val="1"/>
                <w:color w:val="auto"/>
              </w:rPr>
            </w:pPr>
          </w:p>
        </w:tc>
      </w:tr>
      <w:tr>
        <w:trPr>
          <w:trHeight w:val="201"/>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Other adjustments</w:t>
            </w:r>
          </w:p>
        </w:tc>
        <w:tc>
          <w:tcPr>
            <w:tcW w:w="1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(1,128)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(1,128)</w:t>
            </w:r>
          </w:p>
        </w:tc>
        <w:tc>
          <w:tcPr>
            <w:tcW w:w="0" w:type="dxa"/>
            <w:vAlign w:val="bottom"/>
          </w:tcPr>
          <w:p>
            <w:pPr>
              <w:spacing w:after="0"/>
              <w:rPr>
                <w:sz w:val="1"/>
                <w:szCs w:val="1"/>
                <w:color w:val="auto"/>
              </w:rPr>
            </w:pPr>
          </w:p>
        </w:tc>
      </w:tr>
      <w:tr>
        <w:trPr>
          <w:trHeight w:val="222"/>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purchase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380,121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377,325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220" w:hanging="212"/>
        <w:spacing w:after="0"/>
        <w:tabs>
          <w:tab w:leader="none" w:pos="220" w:val="left"/>
        </w:tabs>
        <w:numPr>
          <w:ilvl w:val="0"/>
          <w:numId w:val="65"/>
        </w:numPr>
        <w:rPr>
          <w:rFonts w:ascii="Arial" w:cs="Arial" w:eastAsia="Arial" w:hAnsi="Arial"/>
          <w:sz w:val="26"/>
          <w:szCs w:val="26"/>
          <w:color w:val="auto"/>
          <w:vertAlign w:val="superscript"/>
        </w:rPr>
      </w:pPr>
      <w:r>
        <w:rPr>
          <w:rFonts w:ascii="Arial" w:cs="Arial" w:eastAsia="Arial" w:hAnsi="Arial"/>
          <w:sz w:val="17"/>
          <w:szCs w:val="17"/>
          <w:color w:val="auto"/>
        </w:rPr>
        <w:t>The fair value of accounts receivable approximates book value acquired.</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purchase allocation presented above is based upon management's estimate of the fair values using valuation techniques including income, cost and market approaches. In estimating the fair value of the identifiable acquired assets and assumed liabilities, the fair value estimates are based on, but not limited to, expected future revenue and cash flows, expected future growth rates and estimated discount rates. Current and noncurrent assets, property, plant and equipment and current and other liabilities are estimated at their historical carrying values, which approximates fair value. Inventory is recognized at fair value, with finished goods stated at selling price less an estimated cost to sell. Property, plant and equipment will be depreciated on a straight-line basis over the remaining useful lives of the assets. Goodwill is calculated as the excess of the consideration transferred over the fair value of the identifiable net assets and represents the future economic benefits expected to arise from other intangible assets acquired that do not qualify for separate recognition, including assembled workforce and non-contractual relationships, as well as expected future synergies. The goodwill of $107.0 million reflects the strategic fit of The Honey Pot Co. in the Company's branded consumer business and is not expected to be deductible for income tax purposes.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2024, the purchase price allocation for The Honey Pot Co. was adjusted to reflect certain measurement period adjustments due to updated intangible asset valuation and an adjustment to deferred tax liabilities. Customer relationships was increased $24.3 million, with a corresponding decrease to goodwill. Deferred income tax liability increased $2.7 million, with a corresponding decrease to goodwill. In the third quarter of 2024, the purchase price of The Honey Pot Co. was adjusted to reflect the working capital settlement, additional purchase consideration of $0.5 million, and the related tax effect. The purchase price allocation for The Honey Pot Co. was finalized during the third quarter of 2024.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Honey Pot Co. acquisition are as follows (in thousands):</w:t>
      </w:r>
    </w:p>
    <w:p>
      <w:pPr>
        <w:spacing w:after="0" w:line="193"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518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1760" w:type="dxa"/>
            <w:vAlign w:val="bottom"/>
            <w:vMerge w:val="restart"/>
          </w:tcPr>
          <w:p>
            <w:pPr>
              <w:jc w:val="right"/>
              <w:ind w:right="644"/>
              <w:spacing w:after="0"/>
              <w:rPr>
                <w:sz w:val="20"/>
                <w:szCs w:val="20"/>
                <w:color w:val="auto"/>
              </w:rPr>
            </w:pPr>
            <w:r>
              <w:rPr>
                <w:rFonts w:ascii="Arial" w:cs="Arial" w:eastAsia="Arial" w:hAnsi="Arial"/>
                <w:sz w:val="15"/>
                <w:szCs w:val="15"/>
                <w:b w:val="1"/>
                <w:bCs w:val="1"/>
                <w:color w:val="auto"/>
              </w:rPr>
              <w:t>Fair Value</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16"/>
        </w:trPr>
        <w:tc>
          <w:tcPr>
            <w:tcW w:w="5180" w:type="dxa"/>
            <w:vAlign w:val="bottom"/>
            <w:gridSpan w:val="3"/>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Lives</w:t>
            </w:r>
          </w:p>
        </w:tc>
        <w:tc>
          <w:tcPr>
            <w:tcW w:w="0" w:type="dxa"/>
            <w:vAlign w:val="bottom"/>
          </w:tcPr>
          <w:p>
            <w:pPr>
              <w:spacing w:after="0"/>
              <w:rPr>
                <w:sz w:val="1"/>
                <w:szCs w:val="1"/>
                <w:color w:val="auto"/>
              </w:rPr>
            </w:pPr>
          </w:p>
        </w:tc>
      </w:tr>
      <w:tr>
        <w:trPr>
          <w:trHeight w:val="34"/>
        </w:trPr>
        <w:tc>
          <w:tcPr>
            <w:tcW w:w="45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Tradename</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225,000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18 years</w:t>
            </w:r>
          </w:p>
        </w:tc>
        <w:tc>
          <w:tcPr>
            <w:tcW w:w="0" w:type="dxa"/>
            <w:vAlign w:val="bottom"/>
          </w:tcPr>
          <w:p>
            <w:pPr>
              <w:spacing w:after="0"/>
              <w:rPr>
                <w:sz w:val="1"/>
                <w:szCs w:val="1"/>
                <w:color w:val="auto"/>
              </w:rPr>
            </w:pPr>
          </w:p>
        </w:tc>
      </w:tr>
      <w:tr>
        <w:trPr>
          <w:trHeight w:val="201"/>
        </w:trPr>
        <w:tc>
          <w:tcPr>
            <w:tcW w:w="5180" w:type="dxa"/>
            <w:vAlign w:val="bottom"/>
            <w:gridSpan w:val="3"/>
          </w:tcPr>
          <w:p>
            <w:pPr>
              <w:ind w:left="20"/>
              <w:spacing w:after="0"/>
              <w:rPr>
                <w:sz w:val="20"/>
                <w:szCs w:val="20"/>
                <w:color w:val="auto"/>
              </w:rPr>
            </w:pPr>
            <w:r>
              <w:rPr>
                <w:rFonts w:ascii="Arial" w:cs="Arial" w:eastAsia="Arial" w:hAnsi="Arial"/>
                <w:sz w:val="15"/>
                <w:szCs w:val="15"/>
                <w:color w:val="auto"/>
              </w:rPr>
              <w:t>Customer relationships</w:t>
            </w:r>
          </w:p>
        </w:tc>
        <w:tc>
          <w:tcPr>
            <w:tcW w:w="1760" w:type="dxa"/>
            <w:vAlign w:val="bottom"/>
          </w:tcPr>
          <w:p>
            <w:pPr>
              <w:jc w:val="right"/>
              <w:spacing w:after="0"/>
              <w:rPr>
                <w:sz w:val="20"/>
                <w:szCs w:val="20"/>
                <w:color w:val="auto"/>
              </w:rPr>
            </w:pPr>
            <w:r>
              <w:rPr>
                <w:rFonts w:ascii="Arial" w:cs="Arial" w:eastAsia="Arial" w:hAnsi="Arial"/>
                <w:sz w:val="15"/>
                <w:szCs w:val="15"/>
                <w:color w:val="auto"/>
              </w:rPr>
              <w:t>46,300</w:t>
            </w: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13 years</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271,300</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tradename was considered the primary intangible asset and was valued at $225.0 million using a multi-period excess earnings method. The customer relationships were valued at $46.3 million using a multi-period excess earnings method. The multi-period excess earnings method assumes an asset has value to the extent that it enables its owners to earn a return in excess of the other assets utilized in the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PrimaLoft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12, 2022, the LLC, through its newly formed indirect acquisition subsidiary, Relentless Intermediate, Inc. ("PrimaLoft Buyer"), acquired PrimaLoft Technologies Holdings, Inc. (“PrimaLoft”) pursuant to a Stock Purchase Agreement (the “PrimaLoft Purchase Agreement”), dated June 4, 2022, by and between PrimaLoft Buyer and VP PrimaLoft Holdings, LLC ("PrimaLoft Seller"). The Company acquired PrimaLoft for a total purchase price, including proceeds from noncontrolling shareholders, of approximately $541.1 million, before working capital and other customary adjustments. The Company funded the acquisition through a draw on its 2022 Revolving Credit Facility and the proceeds from its new $400 million 2022 Term Loan Facility. PrimaLoft management invested in the transaction along with the Company, representing 9.2% of the initial equity interest in PrimaLoft. Concurrent with the closing, the Company provided a credit facility to PrimaLoft pursuant to which a secured revolving loan commitment and secured term loan were made available to PrimaLoft (the "PrimaLoft Credit Agreement"). The initial revolving loan and term loan commitments under these facilities on the closing date were $178 million. CGM received integration service fees of $4.8 million which were payable quarterly over the twelve-month period beginning September 30, 2022. The Company incurred $5.7 million of transaction costs in conjunction with the PrimaLoft acquisition, which was included in selling, general and administrative expense in the consolidated statements of operations during the third quarter of 2022.</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PrimaLoft, Inc. is a branded, advanced material technology company based in Latham, New York and is focused on the research and innovative development of high-performance material solutions, specializing in insulations and fabrics.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results of operations of PrimaLoft have been included in the consolidated results of operations since the date of acquisition. PrimaLoft's results of operations are reported as a separate operating segment as a branded consumer business. The table below provides the recording of the fair value of assets acquired and liabilities assumed as of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center"/>
              <w:ind w:right="84"/>
              <w:spacing w:after="0" w:line="162" w:lineRule="exact"/>
              <w:rPr>
                <w:sz w:val="20"/>
                <w:szCs w:val="20"/>
                <w:color w:val="auto"/>
              </w:rPr>
            </w:pPr>
            <w:r>
              <w:rPr>
                <w:rFonts w:ascii="Arial" w:cs="Arial" w:eastAsia="Arial" w:hAnsi="Arial"/>
                <w:sz w:val="15"/>
                <w:szCs w:val="15"/>
                <w:b w:val="1"/>
                <w:bCs w:val="1"/>
                <w:color w:val="auto"/>
              </w:rPr>
              <w:t>Preliminary Purchase</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84"/>
              <w:spacing w:after="0" w:line="162" w:lineRule="exact"/>
              <w:rPr>
                <w:sz w:val="20"/>
                <w:szCs w:val="20"/>
                <w:color w:val="auto"/>
              </w:rPr>
            </w:pPr>
            <w:r>
              <w:rPr>
                <w:rFonts w:ascii="Arial" w:cs="Arial" w:eastAsia="Arial" w:hAnsi="Arial"/>
                <w:sz w:val="15"/>
                <w:szCs w:val="15"/>
                <w:b w:val="1"/>
                <w:bCs w:val="1"/>
                <w:color w:val="auto"/>
              </w:rPr>
              <w:t>Measurement Period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84"/>
              <w:spacing w:after="0" w:line="162" w:lineRule="exact"/>
              <w:rPr>
                <w:sz w:val="20"/>
                <w:szCs w:val="20"/>
                <w:color w:val="auto"/>
              </w:rPr>
            </w:pPr>
            <w:r>
              <w:rPr>
                <w:rFonts w:ascii="Arial" w:cs="Arial" w:eastAsia="Arial" w:hAnsi="Arial"/>
                <w:sz w:val="15"/>
                <w:szCs w:val="15"/>
                <w:b w:val="1"/>
                <w:bCs w:val="1"/>
                <w:color w:val="auto"/>
              </w:rPr>
              <w:t>Final Purchase Price</w:t>
            </w:r>
          </w:p>
        </w:tc>
      </w:tr>
      <w:tr>
        <w:trPr>
          <w:trHeight w:val="21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Price Allocation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rPr>
              <w:t>Adjustments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Allocation</w:t>
            </w:r>
          </w:p>
        </w:tc>
      </w:tr>
      <w:tr>
        <w:trPr>
          <w:trHeight w:val="224"/>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Purchase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539,576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1,536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541,112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ind w:left="20"/>
              <w:spacing w:after="0"/>
              <w:rPr>
                <w:sz w:val="20"/>
                <w:szCs w:val="20"/>
                <w:color w:val="auto"/>
              </w:rPr>
            </w:pPr>
            <w:r>
              <w:rPr>
                <w:rFonts w:ascii="Arial" w:cs="Arial" w:eastAsia="Arial" w:hAnsi="Arial"/>
                <w:sz w:val="15"/>
                <w:szCs w:val="15"/>
                <w:b w:val="1"/>
                <w:bCs w:val="1"/>
                <w:color w:val="auto"/>
              </w:rPr>
              <w:t>Fair value of identifiable assets acquired:</w:t>
            </w:r>
          </w:p>
        </w:tc>
        <w:tc>
          <w:tcPr>
            <w:tcW w:w="200" w:type="dxa"/>
            <w:vAlign w:val="bottom"/>
          </w:tcPr>
          <w:p>
            <w:pPr>
              <w:spacing w:after="0"/>
              <w:rPr>
                <w:sz w:val="17"/>
                <w:szCs w:val="17"/>
                <w:color w:val="auto"/>
              </w:rPr>
            </w:pPr>
          </w:p>
        </w:tc>
      </w:tr>
      <w:tr>
        <w:trPr>
          <w:trHeight w:val="200"/>
        </w:trPr>
        <w:tc>
          <w:tcPr>
            <w:tcW w:w="5140" w:type="dxa"/>
            <w:vAlign w:val="bottom"/>
          </w:tcPr>
          <w:p>
            <w:pPr>
              <w:ind w:left="20"/>
              <w:spacing w:after="0"/>
              <w:rPr>
                <w:sz w:val="20"/>
                <w:szCs w:val="20"/>
                <w:color w:val="auto"/>
              </w:rPr>
            </w:pPr>
            <w:r>
              <w:rPr>
                <w:rFonts w:ascii="Arial" w:cs="Arial" w:eastAsia="Arial" w:hAnsi="Arial"/>
                <w:sz w:val="15"/>
                <w:szCs w:val="15"/>
                <w:color w:val="auto"/>
              </w:rPr>
              <w:t>Cash</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140" w:type="dxa"/>
            <w:vAlign w:val="bottom"/>
          </w:tcPr>
          <w:p>
            <w:pPr>
              <w:ind w:left="20"/>
              <w:spacing w:after="0" w:line="204" w:lineRule="exact"/>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19"/>
                <w:szCs w:val="19"/>
                <w:b w:val="1"/>
                <w:bCs w:val="1"/>
                <w:color w:val="auto"/>
                <w:vertAlign w:val="superscript"/>
              </w:rPr>
              <w:t>(1)</w:t>
            </w:r>
          </w:p>
        </w:tc>
        <w:tc>
          <w:tcPr>
            <w:tcW w:w="200" w:type="dxa"/>
            <w:vAlign w:val="bottom"/>
          </w:tcPr>
          <w:p>
            <w:pPr>
              <w:spacing w:after="0"/>
              <w:rPr>
                <w:sz w:val="17"/>
                <w:szCs w:val="17"/>
                <w:color w:val="auto"/>
              </w:rPr>
            </w:pPr>
          </w:p>
        </w:tc>
      </w:tr>
      <w:tr>
        <w:trPr>
          <w:trHeight w:val="200"/>
        </w:trPr>
        <w:tc>
          <w:tcPr>
            <w:tcW w:w="5140" w:type="dxa"/>
            <w:vAlign w:val="bottom"/>
          </w:tcPr>
          <w:p>
            <w:pPr>
              <w:ind w:left="20"/>
              <w:spacing w:after="0"/>
              <w:rPr>
                <w:sz w:val="20"/>
                <w:szCs w:val="20"/>
                <w:color w:val="auto"/>
              </w:rPr>
            </w:pPr>
            <w:r>
              <w:rPr>
                <w:rFonts w:ascii="Arial" w:cs="Arial" w:eastAsia="Arial" w:hAnsi="Arial"/>
                <w:sz w:val="15"/>
                <w:szCs w:val="15"/>
                <w:color w:val="auto"/>
              </w:rPr>
              <w:t>Inventory</w:t>
            </w:r>
          </w:p>
        </w:tc>
        <w:tc>
          <w:tcPr>
            <w:tcW w:w="200" w:type="dxa"/>
            <w:vAlign w:val="bottom"/>
          </w:tcPr>
          <w:p>
            <w:pPr>
              <w:spacing w:after="0"/>
              <w:rPr>
                <w:sz w:val="17"/>
                <w:szCs w:val="17"/>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5"/>
                <w:szCs w:val="15"/>
                <w:color w:val="auto"/>
              </w:rPr>
              <w:t>Property, plant and equipment</w:t>
            </w:r>
          </w:p>
        </w:tc>
        <w:tc>
          <w:tcPr>
            <w:tcW w:w="200" w:type="dxa"/>
            <w:vAlign w:val="bottom"/>
          </w:tcPr>
          <w:p>
            <w:pPr>
              <w:spacing w:after="0"/>
              <w:rPr>
                <w:sz w:val="17"/>
                <w:szCs w:val="17"/>
                <w:color w:val="auto"/>
              </w:rPr>
            </w:pPr>
          </w:p>
        </w:tc>
      </w:tr>
      <w:tr>
        <w:trPr>
          <w:trHeight w:val="202"/>
        </w:trPr>
        <w:tc>
          <w:tcPr>
            <w:tcW w:w="5140" w:type="dxa"/>
            <w:vAlign w:val="bottom"/>
          </w:tcPr>
          <w:p>
            <w:pPr>
              <w:ind w:left="20"/>
              <w:spacing w:after="0"/>
              <w:rPr>
                <w:sz w:val="20"/>
                <w:szCs w:val="20"/>
                <w:color w:val="auto"/>
              </w:rPr>
            </w:pPr>
            <w:r>
              <w:rPr>
                <w:rFonts w:ascii="Arial" w:cs="Arial" w:eastAsia="Arial" w:hAnsi="Arial"/>
                <w:sz w:val="15"/>
                <w:szCs w:val="15"/>
                <w:color w:val="auto"/>
              </w:rPr>
              <w:t>Intangible assets</w:t>
            </w:r>
          </w:p>
        </w:tc>
        <w:tc>
          <w:tcPr>
            <w:tcW w:w="200" w:type="dxa"/>
            <w:vAlign w:val="bottom"/>
          </w:tcPr>
          <w:p>
            <w:pPr>
              <w:spacing w:after="0"/>
              <w:rPr>
                <w:sz w:val="17"/>
                <w:szCs w:val="17"/>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5"/>
                <w:szCs w:val="15"/>
                <w:color w:val="auto"/>
              </w:rPr>
              <w:t>Other current and noncurrent assets</w:t>
            </w:r>
          </w:p>
        </w:tc>
        <w:tc>
          <w:tcPr>
            <w:tcW w:w="200" w:type="dxa"/>
            <w:vAlign w:val="bottom"/>
          </w:tcPr>
          <w:p>
            <w:pPr>
              <w:spacing w:after="0"/>
              <w:rPr>
                <w:sz w:val="17"/>
                <w:szCs w:val="17"/>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5"/>
                <w:szCs w:val="15"/>
                <w:b w:val="1"/>
                <w:bCs w:val="1"/>
                <w:color w:val="auto"/>
              </w:rPr>
              <w:t>Total identifiable assets</w:t>
            </w:r>
          </w:p>
        </w:tc>
        <w:tc>
          <w:tcPr>
            <w:tcW w:w="200" w:type="dxa"/>
            <w:vAlign w:val="bottom"/>
          </w:tcPr>
          <w:p>
            <w:pPr>
              <w:spacing w:after="0"/>
              <w:rPr>
                <w:sz w:val="19"/>
                <w:szCs w:val="19"/>
                <w:color w:val="auto"/>
              </w:rPr>
            </w:pPr>
          </w:p>
        </w:tc>
      </w:tr>
      <w:tr>
        <w:trPr>
          <w:trHeight w:val="359"/>
        </w:trPr>
        <w:tc>
          <w:tcPr>
            <w:tcW w:w="5140" w:type="dxa"/>
            <w:vAlign w:val="bottom"/>
          </w:tcPr>
          <w:p>
            <w:pPr>
              <w:ind w:left="20"/>
              <w:spacing w:after="0"/>
              <w:rPr>
                <w:sz w:val="20"/>
                <w:szCs w:val="20"/>
                <w:color w:val="auto"/>
              </w:rPr>
            </w:pPr>
            <w:r>
              <w:rPr>
                <w:rFonts w:ascii="Arial" w:cs="Arial" w:eastAsia="Arial" w:hAnsi="Arial"/>
                <w:sz w:val="15"/>
                <w:szCs w:val="15"/>
                <w:b w:val="1"/>
                <w:bCs w:val="1"/>
                <w:color w:val="auto"/>
              </w:rPr>
              <w:t>Fair value of liabilities assumed:</w:t>
            </w:r>
          </w:p>
        </w:tc>
        <w:tc>
          <w:tcPr>
            <w:tcW w:w="200" w:type="dxa"/>
            <w:vAlign w:val="bottom"/>
          </w:tcPr>
          <w:p>
            <w:pPr>
              <w:spacing w:after="0"/>
              <w:rPr>
                <w:sz w:val="24"/>
                <w:szCs w:val="24"/>
                <w:color w:val="auto"/>
              </w:rPr>
            </w:pPr>
          </w:p>
        </w:tc>
      </w:tr>
      <w:tr>
        <w:trPr>
          <w:trHeight w:val="200"/>
        </w:trPr>
        <w:tc>
          <w:tcPr>
            <w:tcW w:w="514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tcPr>
          <w:p>
            <w:pPr>
              <w:spacing w:after="0"/>
              <w:rPr>
                <w:sz w:val="17"/>
                <w:szCs w:val="17"/>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5"/>
                <w:szCs w:val="15"/>
                <w:color w:val="auto"/>
              </w:rPr>
              <w:t>Other liabilities</w:t>
            </w:r>
          </w:p>
        </w:tc>
        <w:tc>
          <w:tcPr>
            <w:tcW w:w="200" w:type="dxa"/>
            <w:vAlign w:val="bottom"/>
          </w:tcPr>
          <w:p>
            <w:pPr>
              <w:spacing w:after="0"/>
              <w:rPr>
                <w:sz w:val="17"/>
                <w:szCs w:val="17"/>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5"/>
                <w:szCs w:val="15"/>
                <w:color w:val="auto"/>
              </w:rPr>
              <w:t>Deferred tax liabilities</w:t>
            </w:r>
          </w:p>
        </w:tc>
        <w:tc>
          <w:tcPr>
            <w:tcW w:w="200" w:type="dxa"/>
            <w:vAlign w:val="bottom"/>
          </w:tcPr>
          <w:p>
            <w:pPr>
              <w:spacing w:after="0"/>
              <w:rPr>
                <w:sz w:val="17"/>
                <w:szCs w:val="17"/>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Pr>
          <w:p>
            <w:pPr>
              <w:spacing w:after="0"/>
              <w:rPr>
                <w:sz w:val="19"/>
                <w:szCs w:val="19"/>
                <w:color w:val="auto"/>
              </w:rPr>
            </w:pPr>
          </w:p>
        </w:tc>
      </w:tr>
      <w:tr>
        <w:trPr>
          <w:trHeight w:val="451"/>
        </w:trPr>
        <w:tc>
          <w:tcPr>
            <w:tcW w:w="5140" w:type="dxa"/>
            <w:vAlign w:val="bottom"/>
          </w:tcPr>
          <w:p>
            <w:pPr>
              <w:ind w:left="20"/>
              <w:spacing w:after="0"/>
              <w:rPr>
                <w:sz w:val="20"/>
                <w:szCs w:val="20"/>
                <w:color w:val="auto"/>
              </w:rPr>
            </w:pPr>
            <w:r>
              <w:rPr>
                <w:rFonts w:ascii="Arial" w:cs="Arial" w:eastAsia="Arial" w:hAnsi="Arial"/>
                <w:sz w:val="15"/>
                <w:szCs w:val="15"/>
                <w:color w:val="auto"/>
              </w:rPr>
              <w:t>Net identifiable assets acquired</w:t>
            </w:r>
          </w:p>
        </w:tc>
        <w:tc>
          <w:tcPr>
            <w:tcW w:w="200" w:type="dxa"/>
            <w:vAlign w:val="bottom"/>
          </w:tcPr>
          <w:p>
            <w:pPr>
              <w:spacing w:after="0"/>
              <w:rPr>
                <w:sz w:val="24"/>
                <w:szCs w:val="24"/>
                <w:color w:val="auto"/>
              </w:rPr>
            </w:pPr>
          </w:p>
        </w:tc>
      </w:tr>
      <w:tr>
        <w:trPr>
          <w:trHeight w:val="499"/>
        </w:trPr>
        <w:tc>
          <w:tcPr>
            <w:tcW w:w="5140" w:type="dxa"/>
            <w:vAlign w:val="bottom"/>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1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Acquisition consideration</w:t>
            </w:r>
          </w:p>
        </w:tc>
        <w:tc>
          <w:tcPr>
            <w:tcW w:w="200" w:type="dxa"/>
            <w:vAlign w:val="bottom"/>
          </w:tcPr>
          <w:p>
            <w:pPr>
              <w:spacing w:after="0"/>
              <w:rPr>
                <w:sz w:val="24"/>
                <w:szCs w:val="24"/>
                <w:color w:val="auto"/>
              </w:rPr>
            </w:pPr>
          </w:p>
        </w:tc>
      </w:tr>
      <w:tr>
        <w:trPr>
          <w:trHeight w:val="192"/>
        </w:trPr>
        <w:tc>
          <w:tcPr>
            <w:tcW w:w="5140" w:type="dxa"/>
            <w:vAlign w:val="bottom"/>
          </w:tcPr>
          <w:p>
            <w:pPr>
              <w:ind w:left="20"/>
              <w:spacing w:after="0"/>
              <w:rPr>
                <w:sz w:val="20"/>
                <w:szCs w:val="20"/>
                <w:color w:val="auto"/>
              </w:rPr>
            </w:pPr>
            <w:r>
              <w:rPr>
                <w:rFonts w:ascii="Arial" w:cs="Arial" w:eastAsia="Arial" w:hAnsi="Arial"/>
                <w:sz w:val="15"/>
                <w:szCs w:val="15"/>
                <w:color w:val="auto"/>
              </w:rPr>
              <w:t>Purchase price</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5140" w:type="dxa"/>
            <w:vAlign w:val="bottom"/>
          </w:tcPr>
          <w:p>
            <w:pPr>
              <w:ind w:left="20"/>
              <w:spacing w:after="0"/>
              <w:rPr>
                <w:sz w:val="20"/>
                <w:szCs w:val="20"/>
                <w:color w:val="auto"/>
              </w:rPr>
            </w:pPr>
            <w:r>
              <w:rPr>
                <w:rFonts w:ascii="Arial" w:cs="Arial" w:eastAsia="Arial" w:hAnsi="Arial"/>
                <w:sz w:val="15"/>
                <w:szCs w:val="15"/>
                <w:color w:val="auto"/>
              </w:rPr>
              <w:t>Cash acquired</w:t>
            </w:r>
          </w:p>
        </w:tc>
        <w:tc>
          <w:tcPr>
            <w:tcW w:w="200" w:type="dxa"/>
            <w:vAlign w:val="bottom"/>
          </w:tcPr>
          <w:p>
            <w:pPr>
              <w:spacing w:after="0"/>
              <w:rPr>
                <w:sz w:val="17"/>
                <w:szCs w:val="17"/>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5"/>
                <w:szCs w:val="15"/>
                <w:color w:val="auto"/>
              </w:rPr>
              <w:t>Net working capital adjustment</w:t>
            </w:r>
          </w:p>
        </w:tc>
        <w:tc>
          <w:tcPr>
            <w:tcW w:w="200" w:type="dxa"/>
            <w:vAlign w:val="bottom"/>
          </w:tcPr>
          <w:p>
            <w:pPr>
              <w:spacing w:after="0"/>
              <w:rPr>
                <w:sz w:val="17"/>
                <w:szCs w:val="17"/>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5"/>
                <w:szCs w:val="15"/>
                <w:color w:val="auto"/>
              </w:rPr>
              <w:t>Total purchase consideration</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-3270250</wp:posOffset>
            </wp:positionV>
            <wp:extent cx="713232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-3013075</wp:posOffset>
            </wp:positionV>
            <wp:extent cx="713232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-2755900</wp:posOffset>
            </wp:positionV>
            <wp:extent cx="713232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-2498725</wp:posOffset>
            </wp:positionV>
            <wp:extent cx="713232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-2001520</wp:posOffset>
            </wp:positionV>
            <wp:extent cx="713232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-1744345</wp:posOffset>
            </wp:positionV>
            <wp:extent cx="713232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-1478280</wp:posOffset>
            </wp:positionV>
            <wp:extent cx="713232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-1186815</wp:posOffset>
            </wp:positionV>
            <wp:extent cx="713232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-2233295</wp:posOffset>
            </wp:positionV>
            <wp:extent cx="7132320"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282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62" w:lineRule="exact"/>
        <w:rPr>
          <w:sz w:val="20"/>
          <w:szCs w:val="20"/>
          <w:color w:val="auto"/>
        </w:rPr>
      </w:pPr>
    </w:p>
    <w:p>
      <w:pPr>
        <w:ind w:left="240" w:hanging="232"/>
        <w:spacing w:after="0"/>
        <w:tabs>
          <w:tab w:leader="none" w:pos="240" w:val="left"/>
        </w:tabs>
        <w:numPr>
          <w:ilvl w:val="0"/>
          <w:numId w:val="66"/>
        </w:numPr>
        <w:rPr>
          <w:rFonts w:ascii="Arial" w:cs="Arial" w:eastAsia="Arial" w:hAnsi="Arial"/>
          <w:sz w:val="28"/>
          <w:szCs w:val="28"/>
          <w:color w:val="auto"/>
          <w:vertAlign w:val="superscript"/>
        </w:rPr>
      </w:pPr>
      <w:r>
        <w:rPr>
          <w:rFonts w:ascii="Arial" w:cs="Arial" w:eastAsia="Arial" w:hAnsi="Arial"/>
          <w:sz w:val="16"/>
          <w:szCs w:val="16"/>
          <w:color w:val="auto"/>
        </w:rPr>
        <w:t>The fair value of accounts receivable approximates book value acquired.</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720" w:type="dxa"/>
            <w:vAlign w:val="bottom"/>
          </w:tcPr>
          <w:p>
            <w:pPr>
              <w:jc w:val="right"/>
              <w:ind w:right="104"/>
              <w:spacing w:after="0"/>
              <w:rPr>
                <w:sz w:val="20"/>
                <w:szCs w:val="20"/>
                <w:color w:val="auto"/>
              </w:rPr>
            </w:pPr>
            <w:r>
              <w:rPr>
                <w:rFonts w:ascii="Arial" w:cs="Arial" w:eastAsia="Arial" w:hAnsi="Arial"/>
                <w:sz w:val="15"/>
                <w:szCs w:val="15"/>
                <w:color w:val="auto"/>
              </w:rPr>
              <w:t>6,951</w:t>
            </w:r>
          </w:p>
        </w:tc>
        <w:tc>
          <w:tcPr>
            <w:tcW w:w="720" w:type="dxa"/>
            <w:vAlign w:val="bottom"/>
          </w:tcPr>
          <w:p>
            <w:pPr>
              <w:jc w:val="right"/>
              <w:ind w:right="544"/>
              <w:spacing w:after="0"/>
              <w:rPr>
                <w:sz w:val="20"/>
                <w:szCs w:val="20"/>
                <w:color w:val="auto"/>
              </w:rPr>
            </w:pPr>
            <w:r>
              <w:rPr>
                <w:rFonts w:ascii="Arial" w:cs="Arial" w:eastAsia="Arial" w:hAnsi="Arial"/>
                <w:sz w:val="15"/>
                <w:szCs w:val="15"/>
                <w:color w:val="auto"/>
                <w:w w:val="95"/>
              </w:rPr>
              <w:t>$</w:t>
            </w: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6,951</w:t>
            </w:r>
          </w:p>
        </w:tc>
        <w:tc>
          <w:tcPr>
            <w:tcW w:w="0" w:type="dxa"/>
            <w:vAlign w:val="bottom"/>
          </w:tcPr>
          <w:p>
            <w:pPr>
              <w:spacing w:after="0"/>
              <w:rPr>
                <w:sz w:val="1"/>
                <w:szCs w:val="1"/>
                <w:color w:val="auto"/>
              </w:rPr>
            </w:pPr>
          </w:p>
        </w:tc>
      </w:tr>
      <w:tr>
        <w:trPr>
          <w:trHeight w:val="203"/>
        </w:trPr>
        <w:tc>
          <w:tcPr>
            <w:tcW w:w="720" w:type="dxa"/>
            <w:vAlign w:val="bottom"/>
          </w:tcPr>
          <w:p>
            <w:pPr>
              <w:jc w:val="right"/>
              <w:ind w:right="104"/>
              <w:spacing w:after="0"/>
              <w:rPr>
                <w:sz w:val="20"/>
                <w:szCs w:val="20"/>
                <w:color w:val="auto"/>
              </w:rPr>
            </w:pPr>
            <w:r>
              <w:rPr>
                <w:rFonts w:ascii="Arial" w:cs="Arial" w:eastAsia="Arial" w:hAnsi="Arial"/>
                <w:sz w:val="15"/>
                <w:szCs w:val="15"/>
                <w:color w:val="auto"/>
              </w:rPr>
              <w:t>2,992</w:t>
            </w:r>
          </w:p>
        </w:tc>
        <w:tc>
          <w:tcPr>
            <w:tcW w:w="7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2,992</w:t>
            </w:r>
          </w:p>
        </w:tc>
        <w:tc>
          <w:tcPr>
            <w:tcW w:w="0" w:type="dxa"/>
            <w:vAlign w:val="bottom"/>
          </w:tcPr>
          <w:p>
            <w:pPr>
              <w:spacing w:after="0"/>
              <w:rPr>
                <w:sz w:val="1"/>
                <w:szCs w:val="1"/>
                <w:color w:val="auto"/>
              </w:rPr>
            </w:pPr>
          </w:p>
        </w:tc>
      </w:tr>
      <w:tr>
        <w:trPr>
          <w:trHeight w:val="203"/>
        </w:trPr>
        <w:tc>
          <w:tcPr>
            <w:tcW w:w="720" w:type="dxa"/>
            <w:vAlign w:val="bottom"/>
          </w:tcPr>
          <w:p>
            <w:pPr>
              <w:jc w:val="right"/>
              <w:ind w:right="104"/>
              <w:spacing w:after="0"/>
              <w:rPr>
                <w:sz w:val="20"/>
                <w:szCs w:val="20"/>
                <w:color w:val="auto"/>
              </w:rPr>
            </w:pPr>
            <w:r>
              <w:rPr>
                <w:rFonts w:ascii="Arial" w:cs="Arial" w:eastAsia="Arial" w:hAnsi="Arial"/>
                <w:sz w:val="15"/>
                <w:szCs w:val="15"/>
                <w:color w:val="auto"/>
              </w:rPr>
              <w:t>1,991</w:t>
            </w:r>
          </w:p>
        </w:tc>
        <w:tc>
          <w:tcPr>
            <w:tcW w:w="7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1,991</w:t>
            </w:r>
          </w:p>
        </w:tc>
        <w:tc>
          <w:tcPr>
            <w:tcW w:w="0" w:type="dxa"/>
            <w:vAlign w:val="bottom"/>
          </w:tcPr>
          <w:p>
            <w:pPr>
              <w:spacing w:after="0"/>
              <w:rPr>
                <w:sz w:val="1"/>
                <w:szCs w:val="1"/>
                <w:color w:val="auto"/>
              </w:rPr>
            </w:pPr>
          </w:p>
        </w:tc>
      </w:tr>
      <w:tr>
        <w:trPr>
          <w:trHeight w:val="203"/>
        </w:trPr>
        <w:tc>
          <w:tcPr>
            <w:tcW w:w="720" w:type="dxa"/>
            <w:vAlign w:val="bottom"/>
          </w:tcPr>
          <w:p>
            <w:pPr>
              <w:jc w:val="right"/>
              <w:ind w:right="104"/>
              <w:spacing w:after="0"/>
              <w:rPr>
                <w:sz w:val="20"/>
                <w:szCs w:val="20"/>
                <w:color w:val="auto"/>
              </w:rPr>
            </w:pPr>
            <w:r>
              <w:rPr>
                <w:rFonts w:ascii="Arial" w:cs="Arial" w:eastAsia="Arial" w:hAnsi="Arial"/>
                <w:sz w:val="15"/>
                <w:szCs w:val="15"/>
                <w:color w:val="auto"/>
              </w:rPr>
              <w:t>1,058</w:t>
            </w:r>
          </w:p>
        </w:tc>
        <w:tc>
          <w:tcPr>
            <w:tcW w:w="7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1,058</w:t>
            </w:r>
          </w:p>
        </w:tc>
        <w:tc>
          <w:tcPr>
            <w:tcW w:w="0" w:type="dxa"/>
            <w:vAlign w:val="bottom"/>
          </w:tcPr>
          <w:p>
            <w:pPr>
              <w:spacing w:after="0"/>
              <w:rPr>
                <w:sz w:val="1"/>
                <w:szCs w:val="1"/>
                <w:color w:val="auto"/>
              </w:rPr>
            </w:pPr>
          </w:p>
        </w:tc>
      </w:tr>
      <w:tr>
        <w:trPr>
          <w:trHeight w:val="202"/>
        </w:trPr>
        <w:tc>
          <w:tcPr>
            <w:tcW w:w="720" w:type="dxa"/>
            <w:vAlign w:val="bottom"/>
          </w:tcPr>
          <w:p>
            <w:pPr>
              <w:jc w:val="right"/>
              <w:ind w:right="104"/>
              <w:spacing w:after="0"/>
              <w:rPr>
                <w:sz w:val="20"/>
                <w:szCs w:val="20"/>
                <w:color w:val="auto"/>
              </w:rPr>
            </w:pPr>
            <w:r>
              <w:rPr>
                <w:rFonts w:ascii="Arial" w:cs="Arial" w:eastAsia="Arial" w:hAnsi="Arial"/>
                <w:sz w:val="15"/>
                <w:szCs w:val="15"/>
                <w:color w:val="auto"/>
                <w:w w:val="95"/>
              </w:rPr>
              <w:t>248,200</w:t>
            </w:r>
          </w:p>
        </w:tc>
        <w:tc>
          <w:tcPr>
            <w:tcW w:w="72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58,700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306,900</w:t>
            </w:r>
          </w:p>
        </w:tc>
        <w:tc>
          <w:tcPr>
            <w:tcW w:w="0" w:type="dxa"/>
            <w:vAlign w:val="bottom"/>
          </w:tcPr>
          <w:p>
            <w:pPr>
              <w:spacing w:after="0"/>
              <w:rPr>
                <w:sz w:val="1"/>
                <w:szCs w:val="1"/>
                <w:color w:val="auto"/>
              </w:rPr>
            </w:pPr>
          </w:p>
        </w:tc>
      </w:tr>
      <w:tr>
        <w:trPr>
          <w:trHeight w:val="203"/>
        </w:trPr>
        <w:tc>
          <w:tcPr>
            <w:tcW w:w="720" w:type="dxa"/>
            <w:vAlign w:val="bottom"/>
          </w:tcPr>
          <w:p>
            <w:pPr>
              <w:jc w:val="right"/>
              <w:ind w:right="104"/>
              <w:spacing w:after="0"/>
              <w:rPr>
                <w:sz w:val="20"/>
                <w:szCs w:val="20"/>
                <w:color w:val="auto"/>
              </w:rPr>
            </w:pPr>
            <w:r>
              <w:rPr>
                <w:rFonts w:ascii="Arial" w:cs="Arial" w:eastAsia="Arial" w:hAnsi="Arial"/>
                <w:sz w:val="15"/>
                <w:szCs w:val="15"/>
                <w:color w:val="auto"/>
              </w:rPr>
              <w:t>3,581</w:t>
            </w: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(1,187)</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2,394</w:t>
            </w:r>
          </w:p>
        </w:tc>
        <w:tc>
          <w:tcPr>
            <w:tcW w:w="0" w:type="dxa"/>
            <w:vAlign w:val="bottom"/>
          </w:tcPr>
          <w:p>
            <w:pPr>
              <w:spacing w:after="0"/>
              <w:rPr>
                <w:sz w:val="1"/>
                <w:szCs w:val="1"/>
                <w:color w:val="auto"/>
              </w:rPr>
            </w:pPr>
          </w:p>
        </w:tc>
      </w:tr>
      <w:tr>
        <w:trPr>
          <w:trHeight w:val="201"/>
        </w:trPr>
        <w:tc>
          <w:tcPr>
            <w:tcW w:w="720" w:type="dxa"/>
            <w:vAlign w:val="bottom"/>
          </w:tcPr>
          <w:p>
            <w:pPr>
              <w:jc w:val="right"/>
              <w:ind w:right="104"/>
              <w:spacing w:after="0"/>
              <w:rPr>
                <w:sz w:val="20"/>
                <w:szCs w:val="20"/>
                <w:color w:val="auto"/>
              </w:rPr>
            </w:pPr>
            <w:r>
              <w:rPr>
                <w:rFonts w:ascii="Arial" w:cs="Arial" w:eastAsia="Arial" w:hAnsi="Arial"/>
                <w:sz w:val="15"/>
                <w:szCs w:val="15"/>
                <w:color w:val="auto"/>
                <w:w w:val="95"/>
              </w:rPr>
              <w:t>264,773</w:t>
            </w: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57,513</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322,286</w:t>
            </w:r>
          </w:p>
        </w:tc>
        <w:tc>
          <w:tcPr>
            <w:tcW w:w="0" w:type="dxa"/>
            <w:vAlign w:val="bottom"/>
          </w:tcPr>
          <w:p>
            <w:pPr>
              <w:spacing w:after="0"/>
              <w:rPr>
                <w:sz w:val="1"/>
                <w:szCs w:val="1"/>
                <w:color w:val="auto"/>
              </w:rPr>
            </w:pPr>
          </w:p>
        </w:tc>
      </w:tr>
      <w:tr>
        <w:trPr>
          <w:trHeight w:val="542"/>
        </w:trPr>
        <w:tc>
          <w:tcPr>
            <w:tcW w:w="720" w:type="dxa"/>
            <w:vAlign w:val="bottom"/>
          </w:tcPr>
          <w:p>
            <w:pPr>
              <w:jc w:val="right"/>
              <w:ind w:right="104"/>
              <w:spacing w:after="0"/>
              <w:rPr>
                <w:sz w:val="20"/>
                <w:szCs w:val="20"/>
                <w:color w:val="auto"/>
              </w:rPr>
            </w:pPr>
            <w:r>
              <w:rPr>
                <w:rFonts w:ascii="Arial" w:cs="Arial" w:eastAsia="Arial" w:hAnsi="Arial"/>
                <w:sz w:val="15"/>
                <w:szCs w:val="15"/>
                <w:color w:val="auto"/>
              </w:rPr>
              <w:t>8,865</w:t>
            </w:r>
          </w:p>
        </w:tc>
        <w:tc>
          <w:tcPr>
            <w:tcW w:w="7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(1,080)</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7,785</w:t>
            </w:r>
          </w:p>
        </w:tc>
        <w:tc>
          <w:tcPr>
            <w:tcW w:w="0" w:type="dxa"/>
            <w:vAlign w:val="bottom"/>
          </w:tcPr>
          <w:p>
            <w:pPr>
              <w:spacing w:after="0"/>
              <w:rPr>
                <w:sz w:val="1"/>
                <w:szCs w:val="1"/>
                <w:color w:val="auto"/>
              </w:rPr>
            </w:pPr>
          </w:p>
        </w:tc>
      </w:tr>
      <w:tr>
        <w:trPr>
          <w:trHeight w:val="203"/>
        </w:trPr>
        <w:tc>
          <w:tcPr>
            <w:tcW w:w="720" w:type="dxa"/>
            <w:vAlign w:val="bottom"/>
          </w:tcPr>
          <w:p>
            <w:pPr>
              <w:jc w:val="right"/>
              <w:ind w:right="104"/>
              <w:spacing w:after="0"/>
              <w:rPr>
                <w:sz w:val="20"/>
                <w:szCs w:val="20"/>
                <w:color w:val="auto"/>
              </w:rPr>
            </w:pPr>
            <w:r>
              <w:rPr>
                <w:rFonts w:ascii="Arial" w:cs="Arial" w:eastAsia="Arial" w:hAnsi="Arial"/>
                <w:sz w:val="15"/>
                <w:szCs w:val="15"/>
                <w:color w:val="auto"/>
              </w:rPr>
              <w:t>360</w:t>
            </w:r>
          </w:p>
        </w:tc>
        <w:tc>
          <w:tcPr>
            <w:tcW w:w="7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360</w:t>
            </w:r>
          </w:p>
        </w:tc>
        <w:tc>
          <w:tcPr>
            <w:tcW w:w="0" w:type="dxa"/>
            <w:vAlign w:val="bottom"/>
          </w:tcPr>
          <w:p>
            <w:pPr>
              <w:spacing w:after="0"/>
              <w:rPr>
                <w:sz w:val="1"/>
                <w:szCs w:val="1"/>
                <w:color w:val="auto"/>
              </w:rPr>
            </w:pPr>
          </w:p>
        </w:tc>
      </w:tr>
      <w:tr>
        <w:trPr>
          <w:trHeight w:val="203"/>
        </w:trPr>
        <w:tc>
          <w:tcPr>
            <w:tcW w:w="720" w:type="dxa"/>
            <w:vAlign w:val="bottom"/>
          </w:tcPr>
          <w:p>
            <w:pPr>
              <w:jc w:val="right"/>
              <w:ind w:right="104"/>
              <w:spacing w:after="0"/>
              <w:rPr>
                <w:sz w:val="20"/>
                <w:szCs w:val="20"/>
                <w:color w:val="auto"/>
              </w:rPr>
            </w:pPr>
            <w:r>
              <w:rPr>
                <w:rFonts w:ascii="Arial" w:cs="Arial" w:eastAsia="Arial" w:hAnsi="Arial"/>
                <w:sz w:val="15"/>
                <w:szCs w:val="15"/>
                <w:color w:val="auto"/>
              </w:rPr>
              <w:t>51,268</w:t>
            </w: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12,108</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63,376</w:t>
            </w:r>
          </w:p>
        </w:tc>
        <w:tc>
          <w:tcPr>
            <w:tcW w:w="0" w:type="dxa"/>
            <w:vAlign w:val="bottom"/>
          </w:tcPr>
          <w:p>
            <w:pPr>
              <w:spacing w:after="0"/>
              <w:rPr>
                <w:sz w:val="1"/>
                <w:szCs w:val="1"/>
                <w:color w:val="auto"/>
              </w:rPr>
            </w:pPr>
          </w:p>
        </w:tc>
      </w:tr>
      <w:tr>
        <w:trPr>
          <w:trHeight w:val="200"/>
        </w:trPr>
        <w:tc>
          <w:tcPr>
            <w:tcW w:w="720" w:type="dxa"/>
            <w:vAlign w:val="bottom"/>
          </w:tcPr>
          <w:p>
            <w:pPr>
              <w:jc w:val="right"/>
              <w:ind w:right="104"/>
              <w:spacing w:after="0"/>
              <w:rPr>
                <w:sz w:val="20"/>
                <w:szCs w:val="20"/>
                <w:color w:val="auto"/>
              </w:rPr>
            </w:pPr>
            <w:r>
              <w:rPr>
                <w:rFonts w:ascii="Arial" w:cs="Arial" w:eastAsia="Arial" w:hAnsi="Arial"/>
                <w:sz w:val="15"/>
                <w:szCs w:val="15"/>
                <w:color w:val="auto"/>
              </w:rPr>
              <w:t>60,493</w:t>
            </w:r>
          </w:p>
        </w:tc>
        <w:tc>
          <w:tcPr>
            <w:tcW w:w="72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11,028</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71,521</w:t>
            </w:r>
          </w:p>
        </w:tc>
        <w:tc>
          <w:tcPr>
            <w:tcW w:w="0" w:type="dxa"/>
            <w:vAlign w:val="bottom"/>
          </w:tcPr>
          <w:p>
            <w:pPr>
              <w:spacing w:after="0"/>
              <w:rPr>
                <w:sz w:val="1"/>
                <w:szCs w:val="1"/>
                <w:color w:val="auto"/>
              </w:rPr>
            </w:pPr>
          </w:p>
        </w:tc>
      </w:tr>
      <w:tr>
        <w:trPr>
          <w:trHeight w:val="455"/>
        </w:trPr>
        <w:tc>
          <w:tcPr>
            <w:tcW w:w="720" w:type="dxa"/>
            <w:vAlign w:val="bottom"/>
          </w:tcPr>
          <w:p>
            <w:pPr>
              <w:jc w:val="right"/>
              <w:ind w:right="104"/>
              <w:spacing w:after="0"/>
              <w:rPr>
                <w:sz w:val="20"/>
                <w:szCs w:val="20"/>
                <w:color w:val="auto"/>
              </w:rPr>
            </w:pPr>
            <w:r>
              <w:rPr>
                <w:rFonts w:ascii="Arial" w:cs="Arial" w:eastAsia="Arial" w:hAnsi="Arial"/>
                <w:sz w:val="15"/>
                <w:szCs w:val="15"/>
                <w:color w:val="auto"/>
                <w:w w:val="95"/>
              </w:rPr>
              <w:t>204,280</w:t>
            </w:r>
          </w:p>
        </w:tc>
        <w:tc>
          <w:tcPr>
            <w:tcW w:w="720" w:type="dxa"/>
            <w:vAlign w:val="bottom"/>
          </w:tcPr>
          <w:p>
            <w:pPr>
              <w:spacing w:after="0"/>
              <w:rPr>
                <w:sz w:val="24"/>
                <w:szCs w:val="24"/>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46,485</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250,765</w:t>
            </w:r>
          </w:p>
        </w:tc>
        <w:tc>
          <w:tcPr>
            <w:tcW w:w="0" w:type="dxa"/>
            <w:vAlign w:val="bottom"/>
          </w:tcPr>
          <w:p>
            <w:pPr>
              <w:spacing w:after="0"/>
              <w:rPr>
                <w:sz w:val="1"/>
                <w:szCs w:val="1"/>
                <w:color w:val="auto"/>
              </w:rPr>
            </w:pPr>
          </w:p>
        </w:tc>
      </w:tr>
      <w:tr>
        <w:trPr>
          <w:trHeight w:val="262"/>
        </w:trPr>
        <w:tc>
          <w:tcPr>
            <w:tcW w:w="720" w:type="dxa"/>
            <w:vAlign w:val="bottom"/>
            <w:vMerge w:val="restart"/>
          </w:tcPr>
          <w:p>
            <w:pPr>
              <w:jc w:val="right"/>
              <w:ind w:right="104"/>
              <w:spacing w:after="0"/>
              <w:rPr>
                <w:sz w:val="20"/>
                <w:szCs w:val="20"/>
                <w:color w:val="auto"/>
              </w:rPr>
            </w:pPr>
            <w:r>
              <w:rPr>
                <w:rFonts w:ascii="Arial" w:cs="Arial" w:eastAsia="Arial" w:hAnsi="Arial"/>
                <w:sz w:val="15"/>
                <w:szCs w:val="15"/>
                <w:color w:val="auto"/>
                <w:w w:val="95"/>
              </w:rPr>
              <w:t>335,296</w:t>
            </w: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20" w:type="dxa"/>
            <w:vAlign w:val="bottom"/>
            <w:vMerge w:val="continue"/>
          </w:tcPr>
          <w:p>
            <w:pPr>
              <w:spacing w:after="0"/>
              <w:rPr>
                <w:sz w:val="16"/>
                <w:szCs w:val="16"/>
                <w:color w:val="auto"/>
              </w:rPr>
            </w:pPr>
          </w:p>
        </w:tc>
        <w:tc>
          <w:tcPr>
            <w:tcW w:w="7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(44,949)</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290,347</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0"/>
        </w:trPr>
        <w:tc>
          <w:tcPr>
            <w:tcW w:w="720" w:type="dxa"/>
            <w:vAlign w:val="bottom"/>
          </w:tcPr>
          <w:p>
            <w:pPr>
              <w:jc w:val="right"/>
              <w:ind w:right="104"/>
              <w:spacing w:after="0"/>
              <w:rPr>
                <w:sz w:val="20"/>
                <w:szCs w:val="20"/>
                <w:color w:val="auto"/>
              </w:rPr>
            </w:pPr>
            <w:r>
              <w:rPr>
                <w:rFonts w:ascii="Arial" w:cs="Arial" w:eastAsia="Arial" w:hAnsi="Arial"/>
                <w:sz w:val="15"/>
                <w:szCs w:val="15"/>
                <w:color w:val="auto"/>
                <w:w w:val="95"/>
              </w:rPr>
              <w:t>530,000</w:t>
            </w:r>
          </w:p>
        </w:tc>
        <w:tc>
          <w:tcPr>
            <w:tcW w:w="720" w:type="dxa"/>
            <w:vAlign w:val="bottom"/>
          </w:tcPr>
          <w:p>
            <w:pPr>
              <w:jc w:val="right"/>
              <w:ind w:right="544"/>
              <w:spacing w:after="0"/>
              <w:rPr>
                <w:sz w:val="20"/>
                <w:szCs w:val="20"/>
                <w:color w:val="auto"/>
              </w:rPr>
            </w:pPr>
            <w:r>
              <w:rPr>
                <w:rFonts w:ascii="Arial" w:cs="Arial" w:eastAsia="Arial" w:hAnsi="Arial"/>
                <w:sz w:val="15"/>
                <w:szCs w:val="15"/>
                <w:color w:val="auto"/>
                <w:w w:val="95"/>
              </w:rPr>
              <w:t>$</w:t>
            </w: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530,000</w:t>
            </w:r>
          </w:p>
        </w:tc>
        <w:tc>
          <w:tcPr>
            <w:tcW w:w="0" w:type="dxa"/>
            <w:vAlign w:val="bottom"/>
          </w:tcPr>
          <w:p>
            <w:pPr>
              <w:spacing w:after="0"/>
              <w:rPr>
                <w:sz w:val="1"/>
                <w:szCs w:val="1"/>
                <w:color w:val="auto"/>
              </w:rPr>
            </w:pPr>
          </w:p>
        </w:tc>
      </w:tr>
      <w:tr>
        <w:trPr>
          <w:trHeight w:val="203"/>
        </w:trPr>
        <w:tc>
          <w:tcPr>
            <w:tcW w:w="720" w:type="dxa"/>
            <w:vAlign w:val="bottom"/>
          </w:tcPr>
          <w:p>
            <w:pPr>
              <w:jc w:val="right"/>
              <w:ind w:right="104"/>
              <w:spacing w:after="0"/>
              <w:rPr>
                <w:sz w:val="20"/>
                <w:szCs w:val="20"/>
                <w:color w:val="auto"/>
              </w:rPr>
            </w:pPr>
            <w:r>
              <w:rPr>
                <w:rFonts w:ascii="Arial" w:cs="Arial" w:eastAsia="Arial" w:hAnsi="Arial"/>
                <w:sz w:val="15"/>
                <w:szCs w:val="15"/>
                <w:color w:val="auto"/>
              </w:rPr>
              <w:t>7,319</w:t>
            </w:r>
          </w:p>
        </w:tc>
        <w:tc>
          <w:tcPr>
            <w:tcW w:w="7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(368)</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6,951</w:t>
            </w:r>
          </w:p>
        </w:tc>
        <w:tc>
          <w:tcPr>
            <w:tcW w:w="0" w:type="dxa"/>
            <w:vAlign w:val="bottom"/>
          </w:tcPr>
          <w:p>
            <w:pPr>
              <w:spacing w:after="0"/>
              <w:rPr>
                <w:sz w:val="1"/>
                <w:szCs w:val="1"/>
                <w:color w:val="auto"/>
              </w:rPr>
            </w:pPr>
          </w:p>
        </w:tc>
      </w:tr>
      <w:tr>
        <w:trPr>
          <w:trHeight w:val="203"/>
        </w:trPr>
        <w:tc>
          <w:tcPr>
            <w:tcW w:w="720" w:type="dxa"/>
            <w:vAlign w:val="bottom"/>
          </w:tcPr>
          <w:p>
            <w:pPr>
              <w:jc w:val="right"/>
              <w:ind w:right="104"/>
              <w:spacing w:after="0"/>
              <w:rPr>
                <w:sz w:val="20"/>
                <w:szCs w:val="20"/>
                <w:color w:val="auto"/>
              </w:rPr>
            </w:pPr>
            <w:r>
              <w:rPr>
                <w:rFonts w:ascii="Arial" w:cs="Arial" w:eastAsia="Arial" w:hAnsi="Arial"/>
                <w:sz w:val="15"/>
                <w:szCs w:val="15"/>
                <w:color w:val="auto"/>
              </w:rPr>
              <w:t>2,257</w:t>
            </w: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1,904</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4,161</w:t>
            </w:r>
          </w:p>
        </w:tc>
        <w:tc>
          <w:tcPr>
            <w:tcW w:w="0" w:type="dxa"/>
            <w:vAlign w:val="bottom"/>
          </w:tcPr>
          <w:p>
            <w:pPr>
              <w:spacing w:after="0"/>
              <w:rPr>
                <w:sz w:val="1"/>
                <w:szCs w:val="1"/>
                <w:color w:val="auto"/>
              </w:rPr>
            </w:pPr>
          </w:p>
        </w:tc>
      </w:tr>
      <w:tr>
        <w:trPr>
          <w:trHeight w:val="201"/>
        </w:trPr>
        <w:tc>
          <w:tcPr>
            <w:tcW w:w="720" w:type="dxa"/>
            <w:vAlign w:val="bottom"/>
          </w:tcPr>
          <w:p>
            <w:pPr>
              <w:jc w:val="right"/>
              <w:ind w:right="104"/>
              <w:spacing w:after="0"/>
              <w:rPr>
                <w:sz w:val="20"/>
                <w:szCs w:val="20"/>
                <w:color w:val="auto"/>
              </w:rPr>
            </w:pPr>
            <w:r>
              <w:rPr>
                <w:rFonts w:ascii="Arial" w:cs="Arial" w:eastAsia="Arial" w:hAnsi="Arial"/>
                <w:sz w:val="15"/>
                <w:szCs w:val="15"/>
                <w:color w:val="auto"/>
                <w:w w:val="95"/>
              </w:rPr>
              <w:t>539,576</w:t>
            </w:r>
          </w:p>
        </w:tc>
        <w:tc>
          <w:tcPr>
            <w:tcW w:w="7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1,536</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541,112</w:t>
            </w: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-908050</wp:posOffset>
            </wp:positionV>
            <wp:extent cx="12344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1">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-882015</wp:posOffset>
            </wp:positionV>
            <wp:extent cx="12344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2">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-1045210</wp:posOffset>
            </wp:positionV>
            <wp:extent cx="12344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3">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-1636395</wp:posOffset>
            </wp:positionV>
            <wp:extent cx="12344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4">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-2390775</wp:posOffset>
            </wp:positionV>
            <wp:extent cx="12344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5">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-170815</wp:posOffset>
            </wp:positionV>
            <wp:extent cx="12344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6">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-33655</wp:posOffset>
            </wp:positionV>
            <wp:extent cx="12344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7">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-7620</wp:posOffset>
            </wp:positionV>
            <wp:extent cx="12344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629" w:lineRule="exact"/>
        <w:rPr>
          <w:sz w:val="20"/>
          <w:szCs w:val="20"/>
          <w:color w:val="auto"/>
        </w:rPr>
      </w:pPr>
    </w:p>
    <w:p>
      <w:pPr>
        <w:sectPr>
          <w:pgSz w:w="11900" w:h="16838" w:orient="portrait"/>
          <w:cols w:equalWidth="0" w:num="2">
            <w:col w:w="5840" w:space="720"/>
            <w:col w:w="4680"/>
          </w:cols>
          <w:pgMar w:left="320" w:top="337" w:right="339" w:bottom="1440" w:gutter="0" w:footer="0" w:header="0"/>
          <w:type w:val="continuous"/>
        </w:sectPr>
      </w:pPr>
    </w:p>
    <w:p>
      <w:pPr>
        <w:jc w:val="both"/>
        <w:spacing w:after="0" w:line="254" w:lineRule="auto"/>
        <w:rPr>
          <w:sz w:val="20"/>
          <w:szCs w:val="20"/>
          <w:color w:val="auto"/>
        </w:rPr>
      </w:pPr>
      <w:r>
        <w:rPr>
          <w:rFonts w:ascii="Arial" w:cs="Arial" w:eastAsia="Arial" w:hAnsi="Arial"/>
          <w:sz w:val="18"/>
          <w:szCs w:val="18"/>
          <w:color w:val="auto"/>
        </w:rPr>
        <w:t>The allocation of the purchase price presented above is based on management's estimate of the fair values using valuation techniques including the income, cost and market approach. In estimating the fair value of the acquired assets and assumed liabilities, the fair value estimates are based on, but not limited to, expected future revenue and cash flows, expected future growth rates and estimated discount rates. Current and noncurrent assets and current and other liabilities are valued at historical carrying values, which approximate fair value. Inventory is recognized at fair value, with finished goods stated at selling price less an estimated cost to sell. Property, plant and equipment is valued at fair value which approximates book value and will be depreciated on a straight-line basis over the remaining useful lives of the assets. Goodwill is calculated as the excess of the consideration transferred over the fair value of the identifiable net assets acquired and represents the future economic benefits expected to arise from other intangible assets acquired that do not qualify for separate recognition, including assembled workforce and non-contractual relationships, as well as expected future synergies. The goodwill of $290.3 million reflects the strategic fit of PrimaLoft in the Company's branded consumer business and is not expected to be deductible for income tax purposes. The PrimaLoft purchase price allocation was finalized in 2023.</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PrimaLoft acquisition are as follows (in thousands):</w:t>
      </w:r>
    </w:p>
    <w:p>
      <w:pPr>
        <w:spacing w:after="0" w:line="139"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47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420" w:type="dxa"/>
            <w:vAlign w:val="bottom"/>
          </w:tcPr>
          <w:p>
            <w:pPr>
              <w:spacing w:after="0"/>
              <w:rPr>
                <w:sz w:val="14"/>
                <w:szCs w:val="14"/>
                <w:color w:val="auto"/>
              </w:rPr>
            </w:pPr>
          </w:p>
        </w:tc>
        <w:tc>
          <w:tcPr>
            <w:tcW w:w="1760" w:type="dxa"/>
            <w:vAlign w:val="bottom"/>
            <w:vMerge w:val="restart"/>
          </w:tcPr>
          <w:p>
            <w:pPr>
              <w:jc w:val="right"/>
              <w:ind w:right="644"/>
              <w:spacing w:after="0"/>
              <w:rPr>
                <w:sz w:val="20"/>
                <w:szCs w:val="20"/>
                <w:color w:val="auto"/>
              </w:rPr>
            </w:pPr>
            <w:r>
              <w:rPr>
                <w:rFonts w:ascii="Arial" w:cs="Arial" w:eastAsia="Arial" w:hAnsi="Arial"/>
                <w:sz w:val="15"/>
                <w:szCs w:val="15"/>
                <w:b w:val="1"/>
                <w:bCs w:val="1"/>
                <w:color w:val="auto"/>
              </w:rPr>
              <w:t>Fair Value</w:t>
            </w: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16"/>
        </w:trPr>
        <w:tc>
          <w:tcPr>
            <w:tcW w:w="47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Lives</w:t>
            </w:r>
          </w:p>
        </w:tc>
        <w:tc>
          <w:tcPr>
            <w:tcW w:w="0" w:type="dxa"/>
            <w:vAlign w:val="bottom"/>
          </w:tcPr>
          <w:p>
            <w:pPr>
              <w:spacing w:after="0"/>
              <w:rPr>
                <w:sz w:val="1"/>
                <w:szCs w:val="1"/>
                <w:color w:val="auto"/>
              </w:rPr>
            </w:pPr>
          </w:p>
        </w:tc>
      </w:tr>
      <w:tr>
        <w:trPr>
          <w:trHeight w:val="34"/>
        </w:trPr>
        <w:tc>
          <w:tcPr>
            <w:tcW w:w="45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209,100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201"/>
        </w:trPr>
        <w:tc>
          <w:tcPr>
            <w:tcW w:w="4760" w:type="dxa"/>
            <w:vAlign w:val="bottom"/>
            <w:gridSpan w:val="2"/>
          </w:tcPr>
          <w:p>
            <w:pPr>
              <w:ind w:left="20"/>
              <w:spacing w:after="0"/>
              <w:rPr>
                <w:sz w:val="20"/>
                <w:szCs w:val="20"/>
                <w:color w:val="auto"/>
              </w:rPr>
            </w:pPr>
            <w:r>
              <w:rPr>
                <w:rFonts w:ascii="Arial" w:cs="Arial" w:eastAsia="Arial" w:hAnsi="Arial"/>
                <w:sz w:val="15"/>
                <w:szCs w:val="15"/>
                <w:color w:val="auto"/>
              </w:rPr>
              <w:t>Tradename</w:t>
            </w:r>
          </w:p>
        </w:tc>
        <w:tc>
          <w:tcPr>
            <w:tcW w:w="4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48,200</w:t>
            </w: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20 years</w:t>
            </w:r>
          </w:p>
        </w:tc>
        <w:tc>
          <w:tcPr>
            <w:tcW w:w="0" w:type="dxa"/>
            <w:vAlign w:val="bottom"/>
          </w:tcPr>
          <w:p>
            <w:pPr>
              <w:spacing w:after="0"/>
              <w:rPr>
                <w:sz w:val="1"/>
                <w:szCs w:val="1"/>
                <w:color w:val="auto"/>
              </w:rPr>
            </w:pPr>
          </w:p>
        </w:tc>
      </w:tr>
      <w:tr>
        <w:trPr>
          <w:trHeight w:val="204"/>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11 years</w:t>
            </w:r>
          </w:p>
        </w:tc>
        <w:tc>
          <w:tcPr>
            <w:tcW w:w="0" w:type="dxa"/>
            <w:vAlign w:val="bottom"/>
          </w:tcPr>
          <w:p>
            <w:pPr>
              <w:spacing w:after="0"/>
              <w:rPr>
                <w:sz w:val="1"/>
                <w:szCs w:val="1"/>
                <w:color w:val="auto"/>
              </w:rPr>
            </w:pPr>
          </w:p>
        </w:tc>
      </w:tr>
      <w:tr>
        <w:trPr>
          <w:trHeight w:val="203"/>
        </w:trPr>
        <w:tc>
          <w:tcPr>
            <w:tcW w:w="476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 xml:space="preserve">In-process research and development </w:t>
            </w:r>
            <w:r>
              <w:rPr>
                <w:rFonts w:ascii="Arial" w:cs="Arial" w:eastAsia="Arial" w:hAnsi="Arial"/>
                <w:sz w:val="19"/>
                <w:szCs w:val="19"/>
                <w:b w:val="1"/>
                <w:bCs w:val="1"/>
                <w:color w:val="auto"/>
                <w:vertAlign w:val="superscript"/>
              </w:rPr>
              <w:t>(1)</w:t>
            </w: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w:t>
            </w: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306,900</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8"/>
        <w:spacing w:after="0" w:line="278" w:lineRule="auto"/>
        <w:tabs>
          <w:tab w:leader="none" w:pos="185" w:val="left"/>
        </w:tabs>
        <w:numPr>
          <w:ilvl w:val="0"/>
          <w:numId w:val="67"/>
        </w:numPr>
        <w:rPr>
          <w:rFonts w:ascii="Arial" w:cs="Arial" w:eastAsia="Arial" w:hAnsi="Arial"/>
          <w:sz w:val="21"/>
          <w:szCs w:val="21"/>
          <w:b w:val="1"/>
          <w:bCs w:val="1"/>
          <w:color w:val="auto"/>
          <w:vertAlign w:val="superscript"/>
        </w:rPr>
      </w:pPr>
      <w:r>
        <w:rPr>
          <w:rFonts w:ascii="Arial" w:cs="Arial" w:eastAsia="Arial" w:hAnsi="Arial"/>
          <w:sz w:val="16"/>
          <w:szCs w:val="16"/>
          <w:color w:val="auto"/>
        </w:rPr>
        <w:t>In-process research and development is considered indefinite lived until the underlying technology becomes viable, at which point the intangible asset will be amortized over the expected useful life.</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customer relationships were considered the primary intangible asset and was valued at $209.1 million using a multi-period excess earnings method. The technology was valued at $49.1 million using a multi-period excess earnings methodology with an assumed obsolescence factor. The tradename was valued at $48.2 million using a multi-period excess earnings method. The multi-period excess earnings method assumes an asset has value to the extent that it enables its owners to earn a return in excess of the other assets utilized in the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pro forma data for the years ended December 31, 2024 and 2023 gives effect to the acquisition of The Honey Pot Co. as described above, and the dispositions of Ergo, Marucci and ACI, as if these transactions had been completed as of January 1, 2023. The pro forma data gives effect to historical operating results with adjustments to interest expense, amortization and depreciation expense, management fees and related tax effects. The information is provided for illustrative purposes 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195" w:lineRule="exact"/>
        <w:rPr>
          <w:sz w:val="20"/>
          <w:szCs w:val="20"/>
          <w:color w:val="auto"/>
        </w:rPr>
      </w:pPr>
    </w:p>
    <w:tbl>
      <w:tblPr>
        <w:tblLayout w:type="fixed"/>
        <w:tblInd w:w="420" w:type="dxa"/>
        <w:tblCellMar>
          <w:top w:w="0" w:type="dxa"/>
          <w:left w:w="0" w:type="dxa"/>
          <w:bottom w:w="0" w:type="dxa"/>
          <w:right w:w="0" w:type="dxa"/>
        </w:tblCellMar>
      </w:tblPr>
      <w:tr>
        <w:trPr>
          <w:trHeight w:val="208"/>
        </w:trPr>
        <w:tc>
          <w:tcPr>
            <w:tcW w:w="6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tcPr>
          <w:p>
            <w:pPr>
              <w:jc w:val="right"/>
              <w:ind w:right="1584"/>
              <w:spacing w:after="0"/>
              <w:rPr>
                <w:sz w:val="20"/>
                <w:szCs w:val="20"/>
                <w:color w:val="auto"/>
              </w:rPr>
            </w:pPr>
            <w:r>
              <w:rPr>
                <w:rFonts w:ascii="Arial" w:cs="Arial" w:eastAsia="Arial" w:hAnsi="Arial"/>
                <w:sz w:val="15"/>
                <w:szCs w:val="15"/>
                <w:b w:val="1"/>
                <w:bCs w:val="1"/>
                <w:color w:val="auto"/>
              </w:rPr>
              <w:t>Years ended</w:t>
            </w:r>
          </w:p>
        </w:tc>
      </w:tr>
      <w:tr>
        <w:trPr>
          <w:trHeight w:val="196"/>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Pr>
          <w:p>
            <w:pPr>
              <w:spacing w:after="0"/>
              <w:rPr>
                <w:sz w:val="17"/>
                <w:szCs w:val="17"/>
                <w:color w:val="auto"/>
              </w:rPr>
            </w:pPr>
          </w:p>
        </w:tc>
        <w:tc>
          <w:tcPr>
            <w:tcW w:w="192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 2024</w:t>
            </w:r>
          </w:p>
        </w:tc>
        <w:tc>
          <w:tcPr>
            <w:tcW w:w="220" w:type="dxa"/>
            <w:vAlign w:val="bottom"/>
          </w:tcPr>
          <w:p>
            <w:pPr>
              <w:spacing w:after="0"/>
              <w:rPr>
                <w:sz w:val="17"/>
                <w:szCs w:val="17"/>
                <w:color w:val="auto"/>
              </w:rPr>
            </w:pPr>
          </w:p>
        </w:tc>
        <w:tc>
          <w:tcPr>
            <w:tcW w:w="1860" w:type="dxa"/>
            <w:vAlign w:val="bottom"/>
          </w:tcPr>
          <w:p>
            <w:pPr>
              <w:jc w:val="right"/>
              <w:ind w:right="284"/>
              <w:spacing w:after="0"/>
              <w:rPr>
                <w:sz w:val="20"/>
                <w:szCs w:val="20"/>
                <w:color w:val="auto"/>
              </w:rPr>
            </w:pPr>
            <w:r>
              <w:rPr>
                <w:rFonts w:ascii="Arial" w:cs="Arial" w:eastAsia="Arial" w:hAnsi="Arial"/>
                <w:sz w:val="15"/>
                <w:szCs w:val="15"/>
                <w:b w:val="1"/>
                <w:bCs w:val="1"/>
                <w:color w:val="auto"/>
              </w:rPr>
              <w:t>December 31, 2023</w:t>
            </w:r>
          </w:p>
        </w:tc>
      </w:tr>
      <w:tr>
        <w:trPr>
          <w:trHeight w:val="196"/>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2,208,904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2,072,328</w:t>
            </w:r>
          </w:p>
        </w:tc>
      </w:tr>
      <w:tr>
        <w:trPr>
          <w:trHeight w:val="201"/>
        </w:trPr>
        <w:tc>
          <w:tcPr>
            <w:tcW w:w="62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840" w:type="dxa"/>
            <w:vAlign w:val="bottom"/>
          </w:tcPr>
          <w:p>
            <w:pPr>
              <w:jc w:val="right"/>
              <w:ind w:right="4"/>
              <w:spacing w:after="0"/>
              <w:rPr>
                <w:sz w:val="20"/>
                <w:szCs w:val="20"/>
                <w:color w:val="auto"/>
              </w:rPr>
            </w:pPr>
            <w:r>
              <w:rPr>
                <w:rFonts w:ascii="Arial" w:cs="Arial" w:eastAsia="Arial" w:hAnsi="Arial"/>
                <w:sz w:val="15"/>
                <w:szCs w:val="15"/>
                <w:color w:val="auto"/>
              </w:rPr>
              <w:t>1,006,694</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ind w:right="4"/>
              <w:spacing w:after="0"/>
              <w:rPr>
                <w:sz w:val="20"/>
                <w:szCs w:val="20"/>
                <w:color w:val="auto"/>
              </w:rPr>
            </w:pPr>
            <w:r>
              <w:rPr>
                <w:rFonts w:ascii="Arial" w:cs="Arial" w:eastAsia="Arial" w:hAnsi="Arial"/>
                <w:sz w:val="15"/>
                <w:szCs w:val="15"/>
                <w:color w:val="auto"/>
              </w:rPr>
              <w:t>892,870</w:t>
            </w:r>
          </w:p>
        </w:tc>
      </w:tr>
      <w:tr>
        <w:trPr>
          <w:trHeight w:val="204"/>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230,440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82,515</w:t>
            </w:r>
          </w:p>
        </w:tc>
      </w:tr>
      <w:tr>
        <w:trPr>
          <w:trHeight w:val="201"/>
        </w:trPr>
        <w:tc>
          <w:tcPr>
            <w:tcW w:w="6200" w:type="dxa"/>
            <w:vAlign w:val="bottom"/>
          </w:tcPr>
          <w:p>
            <w:pPr>
              <w:ind w:left="20"/>
              <w:spacing w:after="0"/>
              <w:rPr>
                <w:sz w:val="20"/>
                <w:szCs w:val="20"/>
                <w:color w:val="auto"/>
              </w:rPr>
            </w:pPr>
            <w:r>
              <w:rPr>
                <w:rFonts w:ascii="Arial" w:cs="Arial" w:eastAsia="Arial" w:hAnsi="Arial"/>
                <w:sz w:val="15"/>
                <w:szCs w:val="15"/>
                <w:color w:val="auto"/>
              </w:rPr>
              <w:t>Net income (loss) from continuing operations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840" w:type="dxa"/>
            <w:vAlign w:val="bottom"/>
          </w:tcPr>
          <w:p>
            <w:pPr>
              <w:jc w:val="right"/>
              <w:ind w:right="4"/>
              <w:spacing w:after="0"/>
              <w:rPr>
                <w:sz w:val="20"/>
                <w:szCs w:val="20"/>
                <w:color w:val="auto"/>
              </w:rPr>
            </w:pPr>
            <w:r>
              <w:rPr>
                <w:rFonts w:ascii="Arial" w:cs="Arial" w:eastAsia="Arial" w:hAnsi="Arial"/>
                <w:sz w:val="15"/>
                <w:szCs w:val="15"/>
                <w:color w:val="auto"/>
              </w:rPr>
              <w:t>42,126</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spacing w:after="0"/>
              <w:rPr>
                <w:sz w:val="20"/>
                <w:szCs w:val="20"/>
                <w:color w:val="auto"/>
              </w:rPr>
            </w:pPr>
            <w:r>
              <w:rPr>
                <w:rFonts w:ascii="Arial" w:cs="Arial" w:eastAsia="Arial" w:hAnsi="Arial"/>
                <w:sz w:val="15"/>
                <w:szCs w:val="15"/>
                <w:color w:val="auto"/>
              </w:rPr>
              <w:t>(48,403)</w:t>
            </w:r>
          </w:p>
        </w:tc>
      </w:tr>
      <w:tr>
        <w:trPr>
          <w:trHeight w:val="204"/>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from continuing operations attributable to Holdings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(65,259)</w:t>
            </w:r>
          </w:p>
        </w:tc>
      </w:tr>
      <w:tr>
        <w:trPr>
          <w:trHeight w:val="158"/>
        </w:trPr>
        <w:tc>
          <w:tcPr>
            <w:tcW w:w="6200" w:type="dxa"/>
            <w:vAlign w:val="bottom"/>
          </w:tcPr>
          <w:p>
            <w:pPr>
              <w:ind w:left="20"/>
              <w:spacing w:after="0" w:line="158" w:lineRule="exact"/>
              <w:rPr>
                <w:sz w:val="20"/>
                <w:szCs w:val="20"/>
                <w:color w:val="auto"/>
              </w:rPr>
            </w:pPr>
            <w:r>
              <w:rPr>
                <w:rFonts w:ascii="Arial" w:cs="Arial" w:eastAsia="Arial" w:hAnsi="Arial"/>
                <w:sz w:val="15"/>
                <w:szCs w:val="15"/>
                <w:color w:val="auto"/>
              </w:rPr>
              <w:t>Basic and fully diluted net loss per share from continuing operations attributable to</w:t>
            </w: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00"/>
        </w:trPr>
        <w:tc>
          <w:tcPr>
            <w:tcW w:w="6200" w:type="dxa"/>
            <w:vAlign w:val="bottom"/>
          </w:tcPr>
          <w:p>
            <w:pPr>
              <w:ind w:left="20"/>
              <w:spacing w:after="0"/>
              <w:rPr>
                <w:sz w:val="20"/>
                <w:szCs w:val="20"/>
                <w:color w:val="auto"/>
              </w:rPr>
            </w:pPr>
            <w:r>
              <w:rPr>
                <w:rFonts w:ascii="Arial" w:cs="Arial" w:eastAsia="Arial" w:hAnsi="Arial"/>
                <w:sz w:val="15"/>
                <w:szCs w:val="15"/>
                <w:color w:val="auto"/>
              </w:rPr>
              <w:t>Holdings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spacing w:after="0"/>
              <w:rPr>
                <w:sz w:val="20"/>
                <w:szCs w:val="20"/>
                <w:color w:val="auto"/>
              </w:rPr>
            </w:pPr>
            <w:r>
              <w:rPr>
                <w:rFonts w:ascii="Arial" w:cs="Arial" w:eastAsia="Arial" w:hAnsi="Arial"/>
                <w:sz w:val="15"/>
                <w:szCs w:val="15"/>
                <w:color w:val="auto"/>
              </w:rPr>
              <w:t>(1.86)</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Altor Solutions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Lifoam </w:t>
      </w:r>
      <w:r>
        <w:rPr>
          <w:rFonts w:ascii="Arial" w:cs="Arial" w:eastAsia="Arial" w:hAnsi="Arial"/>
          <w:sz w:val="18"/>
          <w:szCs w:val="18"/>
          <w:color w:val="auto"/>
        </w:rPr>
        <w:t>- On October 1, 2024, Altor Solutions acquired 100% of the outstanding equity interests of Lifoam Industries LLC, a Delaware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company (“Lifoam”) pursuant to a Purchase and Sale Agreement entered into on August 19, 2024 (the “Lifoam Acquisition”). Lifoam is a manufacturer and distributor of temperature-controlled shipping solutions. The purchase price was $137.8 million, excluding working capital and other adjustments to the purchase price. Altor incurred transaction costs of approximately $1.8 million, which are included in selling, general and administrative expense in the consolidated statement of operations. The acquisition and related transaction costs were funded through additional term loans of $143.7 million under the Altor intercompany credit agreement. The Company funded the additional intercompany loans used for the acquisition of Lifoam with a draw on the 2022 Revolving Credit Facility. Altor recorded a preliminary purchase price allocation of $19.9 million in goodwill, which is expected to be deductible for income tax purposes, $49.4 million in intangible assets comprised of $39.5 million in customer relationships and $9.9 million in tradenames, $24 million in capital asset step-up and $1.6 million in inventory step-up. The purchase price allocation is expected to be finalized in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Velocity</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King's Camo - </w:t>
      </w:r>
      <w:r>
        <w:rPr>
          <w:rFonts w:ascii="Arial" w:cs="Arial" w:eastAsia="Arial" w:hAnsi="Arial"/>
          <w:sz w:val="18"/>
          <w:szCs w:val="18"/>
          <w:color w:val="auto"/>
        </w:rPr>
        <w:t>On July 8, 2022, Velocity acquired the assets of King's Camo LC, a manufacturer of outdoor performance apparel and gear,</w:t>
      </w:r>
      <w:r>
        <w:rPr>
          <w:rFonts w:ascii="Arial" w:cs="Arial" w:eastAsia="Arial" w:hAnsi="Arial"/>
          <w:sz w:val="18"/>
          <w:szCs w:val="18"/>
          <w:i w:val="1"/>
          <w:iCs w:val="1"/>
          <w:color w:val="auto"/>
        </w:rPr>
        <w:t xml:space="preserve"> </w:t>
      </w:r>
      <w:r>
        <w:rPr>
          <w:rFonts w:ascii="Arial" w:cs="Arial" w:eastAsia="Arial" w:hAnsi="Arial"/>
          <w:sz w:val="18"/>
          <w:szCs w:val="18"/>
          <w:color w:val="auto"/>
        </w:rPr>
        <w:t>for a purchase price of approximately $ 25.2 million and included a potential earnout of $3.0 million. The final earnout amount was $1.3 million and was paid in the second quarter of 2023. The acquisition and related transaction costs were funded through an additional term loan of $25.7 million under the Velocity intercompany credit agreement. Velocity paid approximately $0.2 million in transaction fees. Velocity recorded a purchase price allocation, including goodwill of approximately $9.7 million, which is expected to be deductible for income tax purposes, and intangible assets of $7.1 million. The remainder of the purchase consideration was allocated to net assets acquired. The purchase price allocation was finalized in the fourth quarter of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Dispositions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Ergo</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27, 2024, the LLC, solely in its capacity as the representative of the holders of stock and options of EBP Lifestyle Brands Holdings, Inc. (“Ergobaby”), a majority owned subsidiary of the Company, entered into a definitive Agreement and Plan of Merger (the “Ergobaby Merger Agreement”) with ERGO Acquisition LLC (“Ergo Acquiror”), Aloha Merger Sub LLC ( “Aloha Merger Sub”) and Ergobaby, to sell to Ergo Acquiror all of the issued and outstanding securities of Ergobaby, the parent company of the operating entity, The ERGO Baby Carrier, Inc., through a merger of Aloha Merger Sub with and into Ergobaby, with Ergobaby surviving the merger and becoming a wholly owned subsidiary of Acquiror (the “Ergobaby Merger”). On the same day, December 27, 2024, the parties completed the Ergobaby Merger pursuant to the Ergobaby Merger Agreement.</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sale price of Ergobaby was based on an enterprise value of $104 million and will be subject to certain adjustments based on matters such as transaction expenses of Ergobaby, the net working capital and cash and debt balances of Ergobaby at the time of the closing. The LLC owned approximately 82% of the outstanding stock of Ergobaby on a fully diluted basis prior to the Merger. After the allocation of the sales price to Ergobaby non-controlling equityholders and the payment of transaction expenses, the Company received approximately $99.1 million of total proceeds at closing. This amount was in respect of its debt and equity interests in Ergobaby (which was acquired by the Company on September 16, 2010) and the payment of accrued interest. The Company recorded a pre-tax gain on the sale of Ergobaby of $6.1 million. The proceeds from the Ergo sale were used to pay down outstanding debt under the Company’s Revolving Credit facility.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operations of Ergo for the previous years through the date of disposition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80" w:type="dxa"/>
            <w:vAlign w:val="bottom"/>
          </w:tcPr>
          <w:p>
            <w:pPr>
              <w:spacing w:after="0"/>
              <w:rPr>
                <w:sz w:val="14"/>
                <w:szCs w:val="14"/>
                <w:color w:val="auto"/>
              </w:rPr>
            </w:pPr>
          </w:p>
        </w:tc>
        <w:tc>
          <w:tcPr>
            <w:tcW w:w="198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For the period January 1,</w:t>
            </w:r>
          </w:p>
        </w:tc>
        <w:tc>
          <w:tcPr>
            <w:tcW w:w="2020" w:type="dxa"/>
            <w:vAlign w:val="bottom"/>
            <w:gridSpan w:val="3"/>
          </w:tcPr>
          <w:p>
            <w:pPr>
              <w:ind w:left="20"/>
              <w:spacing w:after="0"/>
              <w:rPr>
                <w:sz w:val="20"/>
                <w:szCs w:val="20"/>
                <w:color w:val="auto"/>
              </w:rPr>
            </w:pPr>
            <w:r>
              <w:rPr>
                <w:rFonts w:ascii="Arial" w:cs="Arial" w:eastAsia="Arial" w:hAnsi="Arial"/>
                <w:sz w:val="15"/>
                <w:szCs w:val="15"/>
                <w:b w:val="1"/>
                <w:bCs w:val="1"/>
                <w:color w:val="auto"/>
              </w:rPr>
              <w:t>Year ended December 31,</w:t>
            </w:r>
          </w:p>
        </w:tc>
        <w:tc>
          <w:tcPr>
            <w:tcW w:w="1880" w:type="dxa"/>
            <w:vAlign w:val="bottom"/>
            <w:gridSpan w:val="2"/>
          </w:tcPr>
          <w:p>
            <w:pPr>
              <w:ind w:left="20"/>
              <w:spacing w:after="0"/>
              <w:rPr>
                <w:sz w:val="20"/>
                <w:szCs w:val="20"/>
                <w:color w:val="auto"/>
              </w:rPr>
            </w:pPr>
            <w:r>
              <w:rPr>
                <w:rFonts w:ascii="Arial" w:cs="Arial" w:eastAsia="Arial" w:hAnsi="Arial"/>
                <w:sz w:val="15"/>
                <w:szCs w:val="15"/>
                <w:b w:val="1"/>
                <w:bCs w:val="1"/>
                <w:color w:val="auto"/>
              </w:rPr>
              <w:t>Year ended December 31,</w:t>
            </w:r>
          </w:p>
        </w:tc>
      </w:tr>
      <w:tr>
        <w:trPr>
          <w:trHeight w:val="213"/>
        </w:trPr>
        <w:tc>
          <w:tcPr>
            <w:tcW w:w="5080" w:type="dxa"/>
            <w:vAlign w:val="bottom"/>
          </w:tcPr>
          <w:p>
            <w:pPr>
              <w:spacing w:after="0"/>
              <w:rPr>
                <w:sz w:val="18"/>
                <w:szCs w:val="18"/>
                <w:color w:val="auto"/>
              </w:rPr>
            </w:pPr>
          </w:p>
        </w:tc>
        <w:tc>
          <w:tcPr>
            <w:tcW w:w="198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2024 through disposition</w:t>
            </w:r>
          </w:p>
        </w:tc>
        <w:tc>
          <w:tcPr>
            <w:tcW w:w="440" w:type="dxa"/>
            <w:vAlign w:val="bottom"/>
          </w:tcPr>
          <w:p>
            <w:pPr>
              <w:spacing w:after="0"/>
              <w:rPr>
                <w:sz w:val="18"/>
                <w:szCs w:val="18"/>
                <w:color w:val="auto"/>
              </w:rPr>
            </w:pPr>
          </w:p>
        </w:tc>
        <w:tc>
          <w:tcPr>
            <w:tcW w:w="1440" w:type="dxa"/>
            <w:vAlign w:val="bottom"/>
          </w:tcPr>
          <w:p>
            <w:pPr>
              <w:jc w:val="right"/>
              <w:ind w:right="684"/>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84"/>
              <w:spacing w:after="0"/>
              <w:rPr>
                <w:sz w:val="20"/>
                <w:szCs w:val="20"/>
                <w:color w:val="auto"/>
              </w:rPr>
            </w:pPr>
            <w:r>
              <w:rPr>
                <w:rFonts w:ascii="Arial" w:cs="Arial" w:eastAsia="Arial" w:hAnsi="Arial"/>
                <w:sz w:val="15"/>
                <w:szCs w:val="15"/>
                <w:b w:val="1"/>
                <w:bCs w:val="1"/>
                <w:color w:val="auto"/>
              </w:rPr>
              <w:t>2022</w:t>
            </w:r>
          </w:p>
        </w:tc>
      </w:tr>
      <w:tr>
        <w:trPr>
          <w:trHeight w:val="19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720" w:type="dxa"/>
            <w:vAlign w:val="bottom"/>
            <w:tcBorders>
              <w:top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93,213</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93,859</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88,435</w:t>
            </w:r>
          </w:p>
        </w:tc>
      </w:tr>
      <w:tr>
        <w:trPr>
          <w:trHeight w:val="201"/>
        </w:trPr>
        <w:tc>
          <w:tcPr>
            <w:tcW w:w="50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7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60,091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60,320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54,430</w:t>
            </w: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(5,461)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(16,814)</w:t>
            </w:r>
          </w:p>
        </w:tc>
      </w:tr>
      <w:tr>
        <w:trPr>
          <w:trHeight w:val="203"/>
        </w:trPr>
        <w:tc>
          <w:tcPr>
            <w:tcW w:w="508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Income (loss) from operations before income taxes </w:t>
            </w:r>
            <w:r>
              <w:rPr>
                <w:rFonts w:ascii="Arial" w:cs="Arial" w:eastAsia="Arial" w:hAnsi="Arial"/>
                <w:sz w:val="21"/>
                <w:szCs w:val="21"/>
                <w:b w:val="1"/>
                <w:bCs w:val="1"/>
                <w:color w:val="auto"/>
                <w:vertAlign w:val="superscript"/>
              </w:rPr>
              <w:t>(1)</w:t>
            </w:r>
          </w:p>
        </w:tc>
        <w:tc>
          <w:tcPr>
            <w:tcW w:w="7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(5,526)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4,784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(16,830)</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(benefit) for income taxes</w:t>
            </w: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(4,274)</w:t>
            </w:r>
          </w:p>
        </w:tc>
      </w:tr>
      <w:tr>
        <w:trPr>
          <w:trHeight w:val="271"/>
        </w:trPr>
        <w:tc>
          <w:tcPr>
            <w:tcW w:w="5080" w:type="dxa"/>
            <w:vAlign w:val="bottom"/>
          </w:tcPr>
          <w:p>
            <w:pPr>
              <w:ind w:left="20"/>
              <w:spacing w:after="0"/>
              <w:rPr>
                <w:sz w:val="20"/>
                <w:szCs w:val="20"/>
                <w:color w:val="auto"/>
              </w:rPr>
            </w:pPr>
            <w:r>
              <w:rPr>
                <w:rFonts w:ascii="Arial" w:cs="Arial" w:eastAsia="Arial" w:hAnsi="Arial"/>
                <w:sz w:val="15"/>
                <w:szCs w:val="15"/>
                <w:color w:val="auto"/>
              </w:rPr>
              <w:t xml:space="preserve">Income (loss) from discontinued operations </w:t>
            </w:r>
            <w:r>
              <w:rPr>
                <w:rFonts w:ascii="Arial" w:cs="Arial" w:eastAsia="Arial" w:hAnsi="Arial"/>
                <w:sz w:val="19"/>
                <w:szCs w:val="19"/>
                <w:b w:val="1"/>
                <w:bCs w:val="1"/>
                <w:color w:val="auto"/>
                <w:vertAlign w:val="superscript"/>
              </w:rPr>
              <w:t>(1)</w:t>
            </w:r>
          </w:p>
        </w:tc>
        <w:tc>
          <w:tcPr>
            <w:tcW w:w="720" w:type="dxa"/>
            <w:vAlign w:val="bottom"/>
          </w:tcPr>
          <w:p>
            <w:pPr>
              <w:jc w:val="right"/>
              <w:ind w:right="5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(6,905)</w:t>
            </w:r>
          </w:p>
        </w:tc>
        <w:tc>
          <w:tcPr>
            <w:tcW w:w="100" w:type="dxa"/>
            <w:vAlign w:val="bottom"/>
          </w:tcPr>
          <w:p>
            <w:pPr>
              <w:spacing w:after="0"/>
              <w:rPr>
                <w:sz w:val="23"/>
                <w:szCs w:val="23"/>
                <w:color w:val="auto"/>
              </w:rPr>
            </w:pP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6,092</w:t>
            </w:r>
          </w:p>
        </w:tc>
        <w:tc>
          <w:tcPr>
            <w:tcW w:w="140" w:type="dxa"/>
            <w:vAlign w:val="bottom"/>
          </w:tcPr>
          <w:p>
            <w:pPr>
              <w:spacing w:after="0"/>
              <w:rPr>
                <w:sz w:val="23"/>
                <w:szCs w:val="23"/>
                <w:color w:val="auto"/>
              </w:rPr>
            </w:pP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(12,556)</w:t>
            </w:r>
          </w:p>
        </w:tc>
      </w:tr>
    </w:tbl>
    <w:p>
      <w:pPr>
        <w:spacing w:after="0" w:line="169" w:lineRule="exact"/>
        <w:rPr>
          <w:sz w:val="20"/>
          <w:szCs w:val="20"/>
          <w:color w:val="auto"/>
        </w:rPr>
      </w:pPr>
    </w:p>
    <w:p>
      <w:pPr>
        <w:ind w:firstLine="8"/>
        <w:spacing w:after="0" w:line="247" w:lineRule="auto"/>
        <w:tabs>
          <w:tab w:leader="none" w:pos="189" w:val="left"/>
        </w:tabs>
        <w:numPr>
          <w:ilvl w:val="0"/>
          <w:numId w:val="68"/>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 results of operations for the periods from January 1, 2024 through disposition and the years ended December 31, 2023 and 2022, each exclude $8.8 million, $8.7 million and $6.1 million, respectively, of intercompany interest expense.</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summary balance sheet information of Ergo that is presented as discontinued operations as of December 31, 2023 (in thousands):</w:t>
      </w:r>
    </w:p>
    <w:p>
      <w:pPr>
        <w:spacing w:after="0" w:line="125" w:lineRule="exact"/>
        <w:rPr>
          <w:sz w:val="20"/>
          <w:szCs w:val="20"/>
          <w:color w:val="auto"/>
        </w:rPr>
      </w:pPr>
    </w:p>
    <w:tbl>
      <w:tblPr>
        <w:tblLayout w:type="fixed"/>
        <w:tblInd w:w="196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right"/>
              <w:ind w:right="539"/>
              <w:spacing w:after="0" w:line="17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3,793</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10,058</w:t>
            </w: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Inventories, net</w:t>
            </w: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17,193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5,871</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color w:val="auto"/>
              </w:rPr>
              <w:t>Current assets of discontinued operations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36,915</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41,521</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44,827</w:t>
            </w:r>
          </w:p>
        </w:tc>
        <w:tc>
          <w:tcPr>
            <w:tcW w:w="0" w:type="dxa"/>
            <w:vAlign w:val="bottom"/>
          </w:tcPr>
          <w:p>
            <w:pPr>
              <w:spacing w:after="0"/>
              <w:rPr>
                <w:sz w:val="1"/>
                <w:szCs w:val="1"/>
                <w:color w:val="auto"/>
              </w:rPr>
            </w:pPr>
          </w:p>
        </w:tc>
      </w:tr>
      <w:tr>
        <w:trPr>
          <w:trHeight w:val="215"/>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assets of discontinued operations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87,883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2,323</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6,013</w:t>
            </w:r>
          </w:p>
        </w:tc>
        <w:tc>
          <w:tcPr>
            <w:tcW w:w="0" w:type="dxa"/>
            <w:vAlign w:val="bottom"/>
          </w:tcPr>
          <w:p>
            <w:pPr>
              <w:spacing w:after="0"/>
              <w:rPr>
                <w:sz w:val="1"/>
                <w:szCs w:val="1"/>
                <w:color w:val="auto"/>
              </w:rPr>
            </w:pPr>
          </w:p>
        </w:tc>
      </w:tr>
      <w:tr>
        <w:trPr>
          <w:trHeight w:val="215"/>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3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 of discontinued operations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color w:val="auto"/>
              </w:rPr>
              <w:t>Non-current liabilities of discontinued operations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 of discontinued operations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Marucci</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 2023, the LLC, solely in its capacity as the representative of the holders of stock and options of Marucci, a majority owned subsidiary of the LLC, entered into a definitive Agreement and Plan of Merger with Fox Factory, Inc. (“Marucci Purchaser”), Marucci Merger Sub, Inc. (“Marucci Merger Sub”) and Wheelhouse, pursuant to which Marucci Purchaser agreed to acquire all of the issued and outstanding securities of Wheelhouse, the parent company of the operating entity, Marucci Sports, LLC, through a merger of Marucci Merger Sub with and into Wheelhouse, with Wheelhouse surviving the merger and becoming a wholly owned subsidiary of Marucci Purchaser. On November 14, 2023, the parties completed the Merger pursuant to the Agreement. The sale price of</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Wheelhouse was based on an enterprise value of $572 million, subject to certain adjustments based on matters such as transaction tax benefits, transaction expenses of Wheelhouse, the net working capital and cash and debt balances of Wheelhouse at the time of the closing. After the allocation of the sales price to Wheelhouse non-controlling equityholders and the payment of transaction expenses, we received approximately $484.0 million of total proceeds at closing of which $87.3 million related to the repayment of intercompany loans with the Company. We recorded a pre-tax gain on sale of Marucci of $241.4 million in the year ended December 31, 2023. In the first quarter of 2024, the LLC received a net working capital settlement of approximately $3.3 million related to Marucci, which was recognized as an additional gain on sale of discontinued operations, net of taxes, in the accompanying consolidated statement of operations.The proceeds from the Marucci sale were used to pay down outstanding debt under the Company’s 2022 Credit Facility and to fund an acquisition by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operations of Marucci for the previous years through the date of disposition are as follows (in thousands):</w:t>
      </w:r>
    </w:p>
    <w:p>
      <w:pPr>
        <w:spacing w:after="0" w:line="139"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2000" w:type="dxa"/>
            <w:vAlign w:val="bottom"/>
            <w:gridSpan w:val="3"/>
          </w:tcPr>
          <w:p>
            <w:pPr>
              <w:ind w:left="20"/>
              <w:spacing w:after="0"/>
              <w:rPr>
                <w:sz w:val="20"/>
                <w:szCs w:val="20"/>
                <w:color w:val="auto"/>
              </w:rPr>
            </w:pPr>
            <w:r>
              <w:rPr>
                <w:rFonts w:ascii="Arial" w:cs="Arial" w:eastAsia="Arial" w:hAnsi="Arial"/>
                <w:sz w:val="15"/>
                <w:szCs w:val="15"/>
                <w:b w:val="1"/>
                <w:bCs w:val="1"/>
                <w:color w:val="auto"/>
              </w:rPr>
              <w:t>For the period January 1,</w:t>
            </w:r>
          </w:p>
        </w:tc>
        <w:tc>
          <w:tcPr>
            <w:tcW w:w="1900" w:type="dxa"/>
            <w:vAlign w:val="bottom"/>
            <w:gridSpan w:val="2"/>
          </w:tcPr>
          <w:p>
            <w:pPr>
              <w:ind w:left="20"/>
              <w:spacing w:after="0"/>
              <w:rPr>
                <w:sz w:val="20"/>
                <w:szCs w:val="20"/>
                <w:color w:val="auto"/>
              </w:rPr>
            </w:pPr>
            <w:r>
              <w:rPr>
                <w:rFonts w:ascii="Arial" w:cs="Arial" w:eastAsia="Arial" w:hAnsi="Arial"/>
                <w:sz w:val="15"/>
                <w:szCs w:val="15"/>
                <w:b w:val="1"/>
                <w:bCs w:val="1"/>
                <w:color w:val="auto"/>
              </w:rPr>
              <w:t>Year ended December 31,</w:t>
            </w:r>
          </w:p>
        </w:tc>
      </w:tr>
      <w:tr>
        <w:trPr>
          <w:trHeight w:val="213"/>
        </w:trPr>
        <w:tc>
          <w:tcPr>
            <w:tcW w:w="5440" w:type="dxa"/>
            <w:vAlign w:val="bottom"/>
          </w:tcPr>
          <w:p>
            <w:pPr>
              <w:spacing w:after="0"/>
              <w:rPr>
                <w:sz w:val="18"/>
                <w:szCs w:val="18"/>
                <w:color w:val="auto"/>
              </w:rPr>
            </w:pPr>
          </w:p>
        </w:tc>
        <w:tc>
          <w:tcPr>
            <w:tcW w:w="2000" w:type="dxa"/>
            <w:vAlign w:val="bottom"/>
            <w:gridSpan w:val="3"/>
          </w:tcPr>
          <w:p>
            <w:pPr>
              <w:ind w:left="20"/>
              <w:spacing w:after="0"/>
              <w:rPr>
                <w:sz w:val="20"/>
                <w:szCs w:val="20"/>
                <w:color w:val="auto"/>
              </w:rPr>
            </w:pPr>
            <w:r>
              <w:rPr>
                <w:rFonts w:ascii="Arial" w:cs="Arial" w:eastAsia="Arial" w:hAnsi="Arial"/>
                <w:sz w:val="15"/>
                <w:szCs w:val="15"/>
                <w:b w:val="1"/>
                <w:bCs w:val="1"/>
                <w:color w:val="auto"/>
              </w:rPr>
              <w:t>2023 through disposition</w:t>
            </w:r>
          </w:p>
        </w:tc>
        <w:tc>
          <w:tcPr>
            <w:tcW w:w="440" w:type="dxa"/>
            <w:vAlign w:val="bottom"/>
          </w:tcPr>
          <w:p>
            <w:pPr>
              <w:spacing w:after="0"/>
              <w:rPr>
                <w:sz w:val="18"/>
                <w:szCs w:val="18"/>
                <w:color w:val="auto"/>
              </w:rPr>
            </w:pPr>
          </w:p>
        </w:tc>
        <w:tc>
          <w:tcPr>
            <w:tcW w:w="1460" w:type="dxa"/>
            <w:vAlign w:val="bottom"/>
          </w:tcPr>
          <w:p>
            <w:pPr>
              <w:jc w:val="right"/>
              <w:ind w:right="704"/>
              <w:spacing w:after="0"/>
              <w:rPr>
                <w:sz w:val="20"/>
                <w:szCs w:val="20"/>
                <w:color w:val="auto"/>
              </w:rPr>
            </w:pPr>
            <w:r>
              <w:rPr>
                <w:rFonts w:ascii="Arial" w:cs="Arial" w:eastAsia="Arial" w:hAnsi="Arial"/>
                <w:sz w:val="15"/>
                <w:szCs w:val="15"/>
                <w:b w:val="1"/>
                <w:bCs w:val="1"/>
                <w:color w:val="auto"/>
              </w:rPr>
              <w:t>2022</w:t>
            </w:r>
          </w:p>
        </w:tc>
      </w:tr>
      <w:tr>
        <w:trPr>
          <w:trHeight w:val="19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167,898</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165,411</w:t>
            </w:r>
          </w:p>
        </w:tc>
      </w:tr>
      <w:tr>
        <w:trPr>
          <w:trHeight w:val="201"/>
        </w:trPr>
        <w:tc>
          <w:tcPr>
            <w:tcW w:w="5440" w:type="dxa"/>
            <w:vAlign w:val="bottom"/>
          </w:tcPr>
          <w:p>
            <w:pPr>
              <w:spacing w:after="0"/>
              <w:rPr>
                <w:sz w:val="20"/>
                <w:szCs w:val="20"/>
                <w:color w:val="auto"/>
              </w:rPr>
            </w:pPr>
            <w:r>
              <w:rPr>
                <w:rFonts w:ascii="Arial" w:cs="Arial" w:eastAsia="Arial" w:hAnsi="Arial"/>
                <w:sz w:val="15"/>
                <w:szCs w:val="15"/>
                <w:color w:val="auto"/>
              </w:rPr>
              <w:t>Gross profit</w:t>
            </w:r>
          </w:p>
        </w:tc>
        <w:tc>
          <w:tcPr>
            <w:tcW w:w="6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94,891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83,628</w:t>
            </w:r>
          </w:p>
        </w:tc>
      </w:tr>
      <w:tr>
        <w:trPr>
          <w:trHeight w:val="204"/>
        </w:trPr>
        <w:tc>
          <w:tcPr>
            <w:tcW w:w="544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17,073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21,113</w:t>
            </w:r>
          </w:p>
        </w:tc>
      </w:tr>
      <w:tr>
        <w:trPr>
          <w:trHeight w:val="203"/>
        </w:trPr>
        <w:tc>
          <w:tcPr>
            <w:tcW w:w="5440" w:type="dxa"/>
            <w:vAlign w:val="bottom"/>
          </w:tcPr>
          <w:p>
            <w:pPr>
              <w:spacing w:after="0" w:line="203" w:lineRule="exact"/>
              <w:rPr>
                <w:sz w:val="20"/>
                <w:szCs w:val="20"/>
                <w:color w:val="auto"/>
              </w:rPr>
            </w:pPr>
            <w:r>
              <w:rPr>
                <w:rFonts w:ascii="Arial" w:cs="Arial" w:eastAsia="Arial" w:hAnsi="Arial"/>
                <w:sz w:val="15"/>
                <w:szCs w:val="15"/>
                <w:color w:val="auto"/>
              </w:rPr>
              <w:t xml:space="preserve">Income from operations before income taxes </w:t>
            </w:r>
            <w:r>
              <w:rPr>
                <w:rFonts w:ascii="Arial" w:cs="Arial" w:eastAsia="Arial" w:hAnsi="Arial"/>
                <w:sz w:val="21"/>
                <w:szCs w:val="21"/>
                <w:b w:val="1"/>
                <w:bCs w:val="1"/>
                <w:color w:val="auto"/>
                <w:vertAlign w:val="superscript"/>
              </w:rPr>
              <w:t>(1)</w:t>
            </w:r>
          </w:p>
        </w:tc>
        <w:tc>
          <w:tcPr>
            <w:tcW w:w="6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17,040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22,974</w:t>
            </w:r>
          </w:p>
        </w:tc>
      </w:tr>
      <w:tr>
        <w:trPr>
          <w:trHeight w:val="203"/>
        </w:trPr>
        <w:tc>
          <w:tcPr>
            <w:tcW w:w="5440" w:type="dxa"/>
            <w:vAlign w:val="bottom"/>
            <w:shd w:val="clear" w:color="auto" w:fill="CCEEFF"/>
          </w:tcPr>
          <w:p>
            <w:pPr>
              <w:spacing w:after="0"/>
              <w:rPr>
                <w:sz w:val="20"/>
                <w:szCs w:val="20"/>
                <w:color w:val="auto"/>
              </w:rPr>
            </w:pPr>
            <w:r>
              <w:rPr>
                <w:rFonts w:ascii="Arial" w:cs="Arial" w:eastAsia="Arial" w:hAnsi="Arial"/>
                <w:sz w:val="15"/>
                <w:szCs w:val="15"/>
                <w:color w:val="auto"/>
              </w:rPr>
              <w:t>Provision (benefit) for income taxes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4,320</w:t>
            </w:r>
          </w:p>
        </w:tc>
      </w:tr>
      <w:tr>
        <w:trPr>
          <w:trHeight w:val="271"/>
        </w:trPr>
        <w:tc>
          <w:tcPr>
            <w:tcW w:w="5440" w:type="dxa"/>
            <w:vAlign w:val="bottom"/>
          </w:tcPr>
          <w:p>
            <w:pPr>
              <w:spacing w:after="0"/>
              <w:rPr>
                <w:sz w:val="20"/>
                <w:szCs w:val="20"/>
                <w:color w:val="auto"/>
              </w:rPr>
            </w:pPr>
            <w:r>
              <w:rPr>
                <w:rFonts w:ascii="Arial" w:cs="Arial" w:eastAsia="Arial" w:hAnsi="Arial"/>
                <w:sz w:val="15"/>
                <w:szCs w:val="15"/>
                <w:color w:val="auto"/>
              </w:rPr>
              <w:t xml:space="preserve">Income from discontinued operations </w:t>
            </w:r>
            <w:r>
              <w:rPr>
                <w:rFonts w:ascii="Arial" w:cs="Arial" w:eastAsia="Arial" w:hAnsi="Arial"/>
                <w:sz w:val="19"/>
                <w:szCs w:val="19"/>
                <w:b w:val="1"/>
                <w:bCs w:val="1"/>
                <w:color w:val="auto"/>
                <w:vertAlign w:val="superscript"/>
              </w:rPr>
              <w:t>(1)</w:t>
            </w:r>
          </w:p>
        </w:tc>
        <w:tc>
          <w:tcPr>
            <w:tcW w:w="680" w:type="dxa"/>
            <w:vAlign w:val="bottom"/>
          </w:tcPr>
          <w:p>
            <w:pPr>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19,507</w:t>
            </w:r>
          </w:p>
        </w:tc>
        <w:tc>
          <w:tcPr>
            <w:tcW w:w="10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18,654</w:t>
            </w:r>
          </w:p>
        </w:tc>
      </w:tr>
    </w:tbl>
    <w:p>
      <w:pPr>
        <w:spacing w:after="0" w:line="169" w:lineRule="exact"/>
        <w:rPr>
          <w:sz w:val="20"/>
          <w:szCs w:val="20"/>
          <w:color w:val="auto"/>
        </w:rPr>
      </w:pPr>
    </w:p>
    <w:p>
      <w:pPr>
        <w:ind w:right="20" w:firstLine="8"/>
        <w:spacing w:after="0" w:line="293" w:lineRule="auto"/>
        <w:tabs>
          <w:tab w:leader="none" w:pos="175" w:val="left"/>
        </w:tabs>
        <w:numPr>
          <w:ilvl w:val="0"/>
          <w:numId w:val="69"/>
        </w:numPr>
        <w:rPr>
          <w:rFonts w:ascii="Arial" w:cs="Arial" w:eastAsia="Arial" w:hAnsi="Arial"/>
          <w:sz w:val="20"/>
          <w:szCs w:val="20"/>
          <w:b w:val="1"/>
          <w:bCs w:val="1"/>
          <w:color w:val="auto"/>
          <w:vertAlign w:val="superscript"/>
        </w:rPr>
      </w:pPr>
      <w:r>
        <w:rPr>
          <w:rFonts w:ascii="Arial" w:cs="Arial" w:eastAsia="Arial" w:hAnsi="Arial"/>
          <w:sz w:val="16"/>
          <w:szCs w:val="16"/>
          <w:color w:val="auto"/>
        </w:rPr>
        <w:t>The results of operations for the periods from January 1, 2023 through disposition and the year ended December 31, 2022, each exclude $8.9 million and $7.0 million, respectively, of intercompany interest expense.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Advanced Circuits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10, 2023, the LLC, solely in its capacity as the representative of the holders of stock and options of Compass AC Holdings, Inc., a majority owned subsidiary of the LLC, entered into a definitive Agreement and Plan of Merger with APCT Inc. (“ACI Purchaser”), Circuit Merger Sub, Inc. (“ACI Merger Sub”) and Advanced Circuits, pursuant to which ACI Purchaser agreed to acquire all of the issued and outstanding securities of Advanced Circuits, the parent company of the operating entity, Advanced Circuits, Inc., through a merger of ACI Merger Sub with and into Advanced Circuits, with Advanced Circuits surviving the merger and becoming a wholly owned subsidiary of ACI Purchaser (the “ACI Merger”). The ACI Merger was completed on February 14, 2023. The sale price of Advanced Circuits was based on an enterprise value of $220 million, subject to certain adjustments based on matters such as the working capital and cash and debt balances of Advanced Circuits at the time of the closing. After the allocation of the sales price to Advanced Circuits non-controlling equity holders and the payment of transaction expenses, the Company received approximately $170.9 million of total proceeds at closing, of which $ 66.9 million related to the repayment of intercompany loans with the Company. We recorded a pre-tax gain on sale of $106.9 million on the sale of Advanced Circuits in the year ended December 31, 2023.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operations of ACI for the previous years through the date of disposition are as follows (in thousands):</w:t>
      </w:r>
    </w:p>
    <w:p>
      <w:pPr>
        <w:spacing w:after="0" w:line="139" w:lineRule="exact"/>
        <w:rPr>
          <w:sz w:val="20"/>
          <w:szCs w:val="20"/>
          <w:color w:val="auto"/>
        </w:rPr>
      </w:pPr>
    </w:p>
    <w:tbl>
      <w:tblPr>
        <w:tblLayout w:type="fixed"/>
        <w:tblInd w:w="880" w:type="dxa"/>
        <w:tblCellMar>
          <w:top w:w="0" w:type="dxa"/>
          <w:left w:w="0" w:type="dxa"/>
          <w:bottom w:w="0" w:type="dxa"/>
          <w:right w:w="0" w:type="dxa"/>
        </w:tblCellMar>
      </w:tblPr>
      <w:tr>
        <w:trPr>
          <w:trHeight w:val="172"/>
        </w:trPr>
        <w:tc>
          <w:tcPr>
            <w:tcW w:w="5600" w:type="dxa"/>
            <w:vAlign w:val="bottom"/>
          </w:tcPr>
          <w:p>
            <w:pPr>
              <w:spacing w:after="0"/>
              <w:rPr>
                <w:sz w:val="15"/>
                <w:szCs w:val="15"/>
                <w:color w:val="auto"/>
              </w:rPr>
            </w:pPr>
          </w:p>
        </w:tc>
        <w:tc>
          <w:tcPr>
            <w:tcW w:w="2000" w:type="dxa"/>
            <w:vAlign w:val="bottom"/>
            <w:gridSpan w:val="3"/>
          </w:tcPr>
          <w:p>
            <w:pPr>
              <w:ind w:left="20"/>
              <w:spacing w:after="0"/>
              <w:rPr>
                <w:sz w:val="20"/>
                <w:szCs w:val="20"/>
                <w:color w:val="auto"/>
              </w:rPr>
            </w:pPr>
            <w:r>
              <w:rPr>
                <w:rFonts w:ascii="Arial" w:cs="Arial" w:eastAsia="Arial" w:hAnsi="Arial"/>
                <w:sz w:val="15"/>
                <w:szCs w:val="15"/>
                <w:b w:val="1"/>
                <w:bCs w:val="1"/>
                <w:color w:val="auto"/>
              </w:rPr>
              <w:t>For the period January 1,</w:t>
            </w:r>
          </w:p>
        </w:tc>
        <w:tc>
          <w:tcPr>
            <w:tcW w:w="1900" w:type="dxa"/>
            <w:vAlign w:val="bottom"/>
            <w:gridSpan w:val="2"/>
          </w:tcPr>
          <w:p>
            <w:pPr>
              <w:ind w:left="20"/>
              <w:spacing w:after="0"/>
              <w:rPr>
                <w:sz w:val="20"/>
                <w:szCs w:val="20"/>
                <w:color w:val="auto"/>
              </w:rPr>
            </w:pPr>
            <w:r>
              <w:rPr>
                <w:rFonts w:ascii="Arial" w:cs="Arial" w:eastAsia="Arial" w:hAnsi="Arial"/>
                <w:sz w:val="15"/>
                <w:szCs w:val="15"/>
                <w:b w:val="1"/>
                <w:bCs w:val="1"/>
                <w:color w:val="auto"/>
              </w:rPr>
              <w:t>Year ended December 31,</w:t>
            </w:r>
          </w:p>
        </w:tc>
      </w:tr>
      <w:tr>
        <w:trPr>
          <w:trHeight w:val="213"/>
        </w:trPr>
        <w:tc>
          <w:tcPr>
            <w:tcW w:w="5600" w:type="dxa"/>
            <w:vAlign w:val="bottom"/>
          </w:tcPr>
          <w:p>
            <w:pPr>
              <w:spacing w:after="0"/>
              <w:rPr>
                <w:sz w:val="18"/>
                <w:szCs w:val="18"/>
                <w:color w:val="auto"/>
              </w:rPr>
            </w:pPr>
          </w:p>
        </w:tc>
        <w:tc>
          <w:tcPr>
            <w:tcW w:w="2000" w:type="dxa"/>
            <w:vAlign w:val="bottom"/>
            <w:gridSpan w:val="3"/>
          </w:tcPr>
          <w:p>
            <w:pPr>
              <w:ind w:left="40"/>
              <w:spacing w:after="0"/>
              <w:rPr>
                <w:sz w:val="20"/>
                <w:szCs w:val="20"/>
                <w:color w:val="auto"/>
              </w:rPr>
            </w:pPr>
            <w:r>
              <w:rPr>
                <w:rFonts w:ascii="Arial" w:cs="Arial" w:eastAsia="Arial" w:hAnsi="Arial"/>
                <w:sz w:val="15"/>
                <w:szCs w:val="15"/>
                <w:b w:val="1"/>
                <w:bCs w:val="1"/>
                <w:color w:val="auto"/>
              </w:rPr>
              <w:t>2023 through disposition</w:t>
            </w:r>
          </w:p>
        </w:tc>
        <w:tc>
          <w:tcPr>
            <w:tcW w:w="420" w:type="dxa"/>
            <w:vAlign w:val="bottom"/>
          </w:tcPr>
          <w:p>
            <w:pPr>
              <w:spacing w:after="0"/>
              <w:rPr>
                <w:sz w:val="18"/>
                <w:szCs w:val="18"/>
                <w:color w:val="auto"/>
              </w:rPr>
            </w:pPr>
          </w:p>
        </w:tc>
        <w:tc>
          <w:tcPr>
            <w:tcW w:w="1480" w:type="dxa"/>
            <w:vAlign w:val="bottom"/>
          </w:tcPr>
          <w:p>
            <w:pPr>
              <w:jc w:val="right"/>
              <w:ind w:right="724"/>
              <w:spacing w:after="0"/>
              <w:rPr>
                <w:sz w:val="20"/>
                <w:szCs w:val="20"/>
                <w:color w:val="auto"/>
              </w:rPr>
            </w:pPr>
            <w:r>
              <w:rPr>
                <w:rFonts w:ascii="Arial" w:cs="Arial" w:eastAsia="Arial" w:hAnsi="Arial"/>
                <w:sz w:val="15"/>
                <w:szCs w:val="15"/>
                <w:b w:val="1"/>
                <w:bCs w:val="1"/>
                <w:color w:val="auto"/>
              </w:rPr>
              <w:t>2022</w:t>
            </w:r>
          </w:p>
        </w:tc>
      </w:tr>
      <w:tr>
        <w:trPr>
          <w:trHeight w:val="199"/>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shd w:val="clear" w:color="auto" w:fill="CCEEFF"/>
          </w:tcPr>
          <w:p>
            <w:pPr>
              <w:jc w:val="center"/>
              <w:ind w:left="544"/>
              <w:spacing w:after="0"/>
              <w:rPr>
                <w:sz w:val="20"/>
                <w:szCs w:val="20"/>
                <w:color w:val="auto"/>
              </w:rPr>
            </w:pPr>
            <w:r>
              <w:rPr>
                <w:rFonts w:ascii="Arial" w:cs="Arial" w:eastAsia="Arial" w:hAnsi="Arial"/>
                <w:sz w:val="15"/>
                <w:szCs w:val="15"/>
                <w:color w:val="auto"/>
              </w:rPr>
              <w:t>8,829</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89,503</w:t>
            </w:r>
          </w:p>
        </w:tc>
      </w:tr>
      <w:tr>
        <w:trPr>
          <w:trHeight w:val="201"/>
        </w:trPr>
        <w:tc>
          <w:tcPr>
            <w:tcW w:w="56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740" w:type="dxa"/>
            <w:vAlign w:val="bottom"/>
          </w:tcPr>
          <w:p>
            <w:pPr>
              <w:spacing w:after="0"/>
              <w:rPr>
                <w:sz w:val="17"/>
                <w:szCs w:val="17"/>
                <w:color w:val="auto"/>
              </w:rPr>
            </w:pPr>
          </w:p>
        </w:tc>
        <w:tc>
          <w:tcPr>
            <w:tcW w:w="1160" w:type="dxa"/>
            <w:vAlign w:val="bottom"/>
          </w:tcPr>
          <w:p>
            <w:pPr>
              <w:jc w:val="center"/>
              <w:ind w:left="544"/>
              <w:spacing w:after="0"/>
              <w:rPr>
                <w:sz w:val="20"/>
                <w:szCs w:val="20"/>
                <w:color w:val="auto"/>
              </w:rPr>
            </w:pPr>
            <w:r>
              <w:rPr>
                <w:rFonts w:ascii="Arial" w:cs="Arial" w:eastAsia="Arial" w:hAnsi="Arial"/>
                <w:sz w:val="15"/>
                <w:szCs w:val="15"/>
                <w:color w:val="auto"/>
              </w:rPr>
              <w:t>3,663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41,064</w:t>
            </w:r>
          </w:p>
        </w:tc>
      </w:tr>
      <w:tr>
        <w:trPr>
          <w:trHeight w:val="204"/>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544"/>
              <w:spacing w:after="0"/>
              <w:rPr>
                <w:sz w:val="20"/>
                <w:szCs w:val="20"/>
                <w:color w:val="auto"/>
              </w:rPr>
            </w:pPr>
            <w:r>
              <w:rPr>
                <w:rFonts w:ascii="Arial" w:cs="Arial" w:eastAsia="Arial" w:hAnsi="Arial"/>
                <w:sz w:val="15"/>
                <w:szCs w:val="15"/>
                <w:color w:val="auto"/>
              </w:rPr>
              <w:t>1,058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23,617</w:t>
            </w:r>
          </w:p>
        </w:tc>
      </w:tr>
      <w:tr>
        <w:trPr>
          <w:trHeight w:val="203"/>
        </w:trPr>
        <w:tc>
          <w:tcPr>
            <w:tcW w:w="560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Income (loss) from operations before income taxes </w:t>
            </w:r>
            <w:r>
              <w:rPr>
                <w:rFonts w:ascii="Arial" w:cs="Arial" w:eastAsia="Arial" w:hAnsi="Arial"/>
                <w:sz w:val="21"/>
                <w:szCs w:val="21"/>
                <w:b w:val="1"/>
                <w:bCs w:val="1"/>
                <w:color w:val="auto"/>
                <w:vertAlign w:val="superscript"/>
              </w:rPr>
              <w:t>(1)</w:t>
            </w:r>
          </w:p>
        </w:tc>
        <w:tc>
          <w:tcPr>
            <w:tcW w:w="740" w:type="dxa"/>
            <w:vAlign w:val="bottom"/>
          </w:tcPr>
          <w:p>
            <w:pPr>
              <w:spacing w:after="0"/>
              <w:rPr>
                <w:sz w:val="17"/>
                <w:szCs w:val="17"/>
                <w:color w:val="auto"/>
              </w:rPr>
            </w:pPr>
          </w:p>
        </w:tc>
        <w:tc>
          <w:tcPr>
            <w:tcW w:w="1160" w:type="dxa"/>
            <w:vAlign w:val="bottom"/>
          </w:tcPr>
          <w:p>
            <w:pPr>
              <w:jc w:val="center"/>
              <w:ind w:left="524"/>
              <w:spacing w:after="0"/>
              <w:rPr>
                <w:sz w:val="20"/>
                <w:szCs w:val="20"/>
                <w:color w:val="auto"/>
              </w:rPr>
            </w:pPr>
            <w:r>
              <w:rPr>
                <w:rFonts w:ascii="Arial" w:cs="Arial" w:eastAsia="Arial" w:hAnsi="Arial"/>
                <w:sz w:val="15"/>
                <w:szCs w:val="15"/>
                <w:color w:val="auto"/>
              </w:rPr>
              <w:t>(2,464)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23,349</w:t>
            </w:r>
          </w:p>
        </w:tc>
      </w:tr>
      <w:tr>
        <w:trPr>
          <w:trHeight w:val="203"/>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(benefit) for income taxes</w:t>
            </w: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524"/>
              <w:spacing w:after="0"/>
              <w:rPr>
                <w:sz w:val="20"/>
                <w:szCs w:val="20"/>
                <w:color w:val="auto"/>
              </w:rPr>
            </w:pPr>
            <w:r>
              <w:rPr>
                <w:rFonts w:ascii="Arial" w:cs="Arial" w:eastAsia="Arial" w:hAnsi="Arial"/>
                <w:sz w:val="15"/>
                <w:szCs w:val="15"/>
                <w:color w:val="auto"/>
              </w:rPr>
              <w:t>(1,073)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3,616</w:t>
            </w:r>
          </w:p>
        </w:tc>
      </w:tr>
      <w:tr>
        <w:trPr>
          <w:trHeight w:val="271"/>
        </w:trPr>
        <w:tc>
          <w:tcPr>
            <w:tcW w:w="5600" w:type="dxa"/>
            <w:vAlign w:val="bottom"/>
          </w:tcPr>
          <w:p>
            <w:pPr>
              <w:ind w:left="20"/>
              <w:spacing w:after="0"/>
              <w:rPr>
                <w:sz w:val="20"/>
                <w:szCs w:val="20"/>
                <w:color w:val="auto"/>
              </w:rPr>
            </w:pPr>
            <w:r>
              <w:rPr>
                <w:rFonts w:ascii="Arial" w:cs="Arial" w:eastAsia="Arial" w:hAnsi="Arial"/>
                <w:sz w:val="15"/>
                <w:szCs w:val="15"/>
                <w:color w:val="auto"/>
              </w:rPr>
              <w:t xml:space="preserve">Income (loss) from discontinued operations </w:t>
            </w:r>
            <w:r>
              <w:rPr>
                <w:rFonts w:ascii="Arial" w:cs="Arial" w:eastAsia="Arial" w:hAnsi="Arial"/>
                <w:sz w:val="19"/>
                <w:szCs w:val="19"/>
                <w:b w:val="1"/>
                <w:bCs w:val="1"/>
                <w:color w:val="auto"/>
                <w:vertAlign w:val="superscript"/>
              </w:rPr>
              <w:t>(1)</w:t>
            </w:r>
          </w:p>
        </w:tc>
        <w:tc>
          <w:tcPr>
            <w:tcW w:w="740" w:type="dxa"/>
            <w:vAlign w:val="bottom"/>
          </w:tcPr>
          <w:p>
            <w:pPr>
              <w:spacing w:after="0"/>
              <w:rPr>
                <w:sz w:val="20"/>
                <w:szCs w:val="20"/>
                <w:color w:val="auto"/>
              </w:rPr>
            </w:pPr>
            <w:r>
              <w:rPr>
                <w:rFonts w:ascii="Arial" w:cs="Arial" w:eastAsia="Arial" w:hAnsi="Arial"/>
                <w:sz w:val="15"/>
                <w:szCs w:val="15"/>
                <w:color w:val="auto"/>
              </w:rPr>
              <w:t>$</w:t>
            </w:r>
          </w:p>
        </w:tc>
        <w:tc>
          <w:tcPr>
            <w:tcW w:w="1160" w:type="dxa"/>
            <w:vAlign w:val="bottom"/>
          </w:tcPr>
          <w:p>
            <w:pPr>
              <w:jc w:val="center"/>
              <w:ind w:left="524"/>
              <w:spacing w:after="0"/>
              <w:rPr>
                <w:sz w:val="20"/>
                <w:szCs w:val="20"/>
                <w:color w:val="auto"/>
              </w:rPr>
            </w:pPr>
            <w:r>
              <w:rPr>
                <w:rFonts w:ascii="Arial" w:cs="Arial" w:eastAsia="Arial" w:hAnsi="Arial"/>
                <w:sz w:val="15"/>
                <w:szCs w:val="15"/>
                <w:color w:val="auto"/>
              </w:rPr>
              <w:t>(1,391)</w:t>
            </w:r>
          </w:p>
        </w:tc>
        <w:tc>
          <w:tcPr>
            <w:tcW w:w="100" w:type="dxa"/>
            <w:vAlign w:val="bottom"/>
          </w:tcPr>
          <w:p>
            <w:pPr>
              <w:spacing w:after="0"/>
              <w:rPr>
                <w:sz w:val="23"/>
                <w:szCs w:val="23"/>
                <w:color w:val="auto"/>
              </w:rPr>
            </w:pPr>
          </w:p>
        </w:tc>
        <w:tc>
          <w:tcPr>
            <w:tcW w:w="420" w:type="dxa"/>
            <w:vAlign w:val="bottom"/>
          </w:tcPr>
          <w:p>
            <w:pPr>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19,733</w:t>
            </w:r>
          </w:p>
        </w:tc>
      </w:tr>
    </w:tbl>
    <w:p>
      <w:pPr>
        <w:spacing w:after="0" w:line="156" w:lineRule="exact"/>
        <w:rPr>
          <w:sz w:val="20"/>
          <w:szCs w:val="20"/>
          <w:color w:val="auto"/>
        </w:rPr>
      </w:pPr>
    </w:p>
    <w:p>
      <w:pPr>
        <w:ind w:right="20" w:firstLine="8"/>
        <w:spacing w:after="0" w:line="293" w:lineRule="auto"/>
        <w:tabs>
          <w:tab w:leader="none" w:pos="175" w:val="left"/>
        </w:tabs>
        <w:numPr>
          <w:ilvl w:val="0"/>
          <w:numId w:val="70"/>
        </w:numPr>
        <w:rPr>
          <w:rFonts w:ascii="Arial" w:cs="Arial" w:eastAsia="Arial" w:hAnsi="Arial"/>
          <w:sz w:val="20"/>
          <w:szCs w:val="20"/>
          <w:b w:val="1"/>
          <w:bCs w:val="1"/>
          <w:color w:val="auto"/>
          <w:vertAlign w:val="superscript"/>
        </w:rPr>
      </w:pPr>
      <w:r>
        <w:rPr>
          <w:rFonts w:ascii="Arial" w:cs="Arial" w:eastAsia="Arial" w:hAnsi="Arial"/>
          <w:sz w:val="16"/>
          <w:szCs w:val="16"/>
          <w:color w:val="auto"/>
        </w:rPr>
        <w:t>The results of operations for the periods from January 1, 2023 through disposition and the year ended December 31, 2022, each exclude $1.4 million and $6.7 million, respectively, of intercompany interest expense.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discontinued operations - income tax</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September 1, 2021, the Trust elected to be treated as a corporation for U.S. federal income tax purposes. Prior to the Effective Date, the Trust was treated as a partnership for U.S. federal income tax purposes and the Trust’s items of income, gain, loss and deduction flowed through from the Trust to the shareholders, and the Trust shareholders were subject to income taxes on their allocable share of the Trust’s income and gains. After the Effective Date, the Trust is taxed as a corporation and is subject to U.S. federal corporate income tax at the Trust level. The election to be treated as a corporation for U.S federal income tax purposes, resulted in an approximate $328 million gain to the Trust for U.S. federal income tax purposes. This taxable capital gain should result in a basis step-up for the Trust after the Election. This basis step-up should provide a tax benefit to the Trust, as it should increase the Trust’s basis in its subsidiaries as of September 1, 2021, which in turn should reduce future gains, if and when the Trust divests such subsidiaries. The Trust filed for a Private Letter Ruling ("PLR"), with the Internal Revenue Service ("IRS") regarding the basis step-up and intends to reflect the basis step up on future tax returns unless the IRS disagrees with the Company's proposed treatment. Until the IRS issues a ruling on the PLR, the Company has concluded that a full reserve should be recorded for the stepped-up basis benefit and as a result, recorded an unrecognized tax benefit of $7.4 million that reduced the gain on Ergobaby in 2024, and $27.9 million that reduced the gain on sale of Advanced Circuits and Marucci in 2023. The sale of Ergobaby in the year ending December 31, 2024 resulted in a tax benefit of $9.9 million that increased the gain on the sale of Ergobaby. The Advanced Circuits and Marucci in the year ending December 31, 2023 was subject to income tax expense. Prior to the sale of Marucci in the fourth quarter of 2023, the Trust had sufficient net operating losses to offset the gain on sale of Advanced Circuits and did not record income tax expense. The sale of Marucci and the resulting gain that was recorded, combined with the gain on Advanced Circuits, utilized all of the Trust's net operating losses and resulted in taxable income in the fourth quarter of 2023. The Trust recorded income tax expense of $37.4 million that reduced the gain on sale of discontinued operations. The pre-tax gain on sale of Advanced Circuits and Marucci totaled $348.4 million, and was reduced by the $37.4 million in income tax expense and the $27.9 million in unrecognized tax benefits, resulting in the $283.0 million recorded as gain on sale of discontinued operations in the statement of operations in the year ending December 31, 2023.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Crosman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30, 2024, Velocity Outdoor entered into a stock purchase agreement to sell Crosman Corporation ("Crosman"), its airgun product division, to Daisy Manufacturing Company, for an enterprise value of approximately $63 million. The sale was completed on the same day. The Company recorded a loss of $24.6 million on the sale of Crosman in the quarter ended June 30, 2024, and a gain of $0.4 million in the third quarter of 2024 related to the working capital settlement. Velocity received net proceeds of approximately $61.9 million related to the sale of Crosman, which was used to repay amounts outstanding under its intercompany credit agreement. The results of operation of Crosman are included in the accompanying consolidated financial statements through the date of sale.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Revenue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Performance Obligations </w:t>
      </w:r>
      <w:r>
        <w:rPr>
          <w:rFonts w:ascii="Arial" w:cs="Arial" w:eastAsia="Arial" w:hAnsi="Arial"/>
          <w:sz w:val="18"/>
          <w:szCs w:val="18"/>
          <w:color w:val="auto"/>
        </w:rPr>
        <w:t>- Revenues are recognized when control of the promised goods or service is transferred to the customer,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that reflects the consideration the Company expects to be entitled to in exchange for those goods and services. Each product or service represents a separate performance obligation. Once the performance obligations are identified, the Company determines the transaction price, which includes estimating the amount of variable consideration to be included in the transaction price, if any. The Company then allocates the transaction price to each performance obligation in the contract based on a relative stand-alone selling price method. The corresponding revenues are recognized as the related performance obligations are satisfied as discussed above. The Company determines standalone selling prices based on the price at which the performance obligation is sold separately. The standalone selling price is directly observable as it is the price at which the Company sells its products separately to the customer. The Company assesses promised goods or services as performance obligations deemed immaterial at the contract level. Revenue is recognized generally upon shipment terms for products and when the service is performed for services.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sale transactions at our Lugano operating segment also include a non-monetary exchange of inventory with customers whereby the consideration received for the sale transaction has a non-cash component. The transaction price for a sale to a customer includes all cash and non-cash consideration. The non-cash consideration represents the non-monetary exchange of inventory and is measured at the fair-value of the exchanged item. The amount of non-monetary exchanges at Lugano was $154.9 million, $105.5 million and $38.0 million, respectively, in the years ended December 31, 2024, 2023 and 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Shipping and handling costs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accounts for shipping and handling activities performed after control of a good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transferred to the customer as a fulfillment cost. Therefore, both revenue and costs of shipping and handling are recorded at the same time. As a result, any consideration (including freight and landing costs) related to these activities are included as a component of the overall transaction consideration and allocated to the performance obligations of the contract. Costs associated with shipment of products to a customer are accounted for as a fulfillment cost and are typically included in selling, general and administrative expense. Shipping and handling fees billed directly to customers are included in sales.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product sales, the Company provides standard assurance-type warranties as the Company only warrants its products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defects in materials and workmanship (i.e., manufacturing flaws). Although the warranties are not required by law, the tasks performed over the warranty period are only to remediate instances when products do not meet the promised specifications. Customers do not have the option to purchase warranties separately. The Company’s warranty periods generally range from 90 days to three years depending on the nature of the product and are consistent with industry standards. The periods are reasonable to assure that products conform to specifications. The Company does not have a history of performing activities outside the scope of the standard warranty.</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Variable Consideration - </w:t>
      </w:r>
      <w:r>
        <w:rPr>
          <w:rFonts w:ascii="Arial" w:cs="Arial" w:eastAsia="Arial" w:hAnsi="Arial"/>
          <w:sz w:val="18"/>
          <w:szCs w:val="18"/>
          <w:color w:val="auto"/>
        </w:rPr>
        <w:t>The Company’s policy around estimating variable consideration related to sales incentives (early pay discounts,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of return, rebates, chargebacks, and other discounts) included in certain customer contracts are recorded as a reduction in the transaction price. The Company applies the expected value method to estimate variable consideration. These estimates are based on historical experience, anticipated performance and the Company’s best judgment at the time and as a result, reflect applicable constraints. The Company includes in the transaction price an amount of variable consideration only to the extent that it is probable that a significant reversal in the amount of cumulative revenue recognized will not occur when the uncertainty associated with the variable consideration is subsequently resolved.</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certain of the Company’s arrangements related to product sales, a right of return exists, which is included in the transaction price. For these right of return arrangements, an asset (and corresponding adjustment to cost of sale) for its right to recover the products from the customers is recorded. The asset recognized is the carrying amount of the product (for example, inventory) less any expected costs to recover the products (including potential decreases in the value to the Company of the returned product). Additionally, the Company records a refund liability for the amount of consideration that it does not expect to be entitled. The amounts associated with right of return arrangements are not material to the Company's statement of position or operating results.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Sales and Other Similar Taxes - </w:t>
      </w:r>
      <w:r>
        <w:rPr>
          <w:rFonts w:ascii="Arial" w:cs="Arial" w:eastAsia="Arial" w:hAnsi="Arial"/>
          <w:sz w:val="18"/>
          <w:szCs w:val="18"/>
          <w:color w:val="auto"/>
        </w:rPr>
        <w:t>The Company notes that under its contracts with customers, the customer is responsible for all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similar taxes, which the Company will invoice the customer for if they are applicable. The Company excludes sales taxes and similar taxes from the measurement of transaction price.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Cost to Obtain a Contract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recognizes the incremental costs of obtaining a contract as an expense when incurred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period of the asset that the Company otherwise would have recognized is one year or less.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Disaggregated Revenue - Revenue Streams &amp; Timing of Revenue Recognition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disaggregates revenue by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unit and by geography for each strategic business unit which are categories that depict how the nature, amount and uncertainty of revenue and cash flows are affected by economic factors. The disaggregation in the tables below reflects where revenue is earned based on the shipping address of our customers unless otherwise noted.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tables provide disaggregation of revenue by reportable segment geography for the years ended December 31, 2024, 2023 and 2022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Year ended December 31, 2024</w:t>
            </w: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r>
      <w:tr>
        <w:trPr>
          <w:trHeight w:val="196"/>
        </w:trPr>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5"/>
                <w:szCs w:val="15"/>
                <w:b w:val="1"/>
                <w:bCs w:val="1"/>
                <w:color w:val="auto"/>
              </w:rPr>
              <w:t>United States</w:t>
            </w:r>
          </w:p>
        </w:tc>
        <w:tc>
          <w:tcPr>
            <w:tcW w:w="28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5"/>
                <w:szCs w:val="15"/>
                <w:b w:val="1"/>
                <w:bCs w:val="1"/>
                <w:color w:val="auto"/>
              </w:rPr>
              <w:t>Mexico</w:t>
            </w:r>
          </w:p>
        </w:tc>
        <w:tc>
          <w:tcPr>
            <w:tcW w:w="220" w:type="dxa"/>
            <w:vAlign w:val="bottom"/>
          </w:tcPr>
          <w:p>
            <w:pPr>
              <w:spacing w:after="0"/>
              <w:rPr>
                <w:sz w:val="17"/>
                <w:szCs w:val="17"/>
                <w:color w:val="auto"/>
              </w:rPr>
            </w:pPr>
          </w:p>
        </w:tc>
        <w:tc>
          <w:tcPr>
            <w:tcW w:w="1300" w:type="dxa"/>
            <w:vAlign w:val="bottom"/>
            <w:gridSpan w:val="2"/>
          </w:tcPr>
          <w:p>
            <w:pPr>
              <w:ind w:left="220"/>
              <w:spacing w:after="0"/>
              <w:rPr>
                <w:sz w:val="20"/>
                <w:szCs w:val="20"/>
                <w:color w:val="auto"/>
              </w:rPr>
            </w:pPr>
            <w:r>
              <w:rPr>
                <w:rFonts w:ascii="Arial" w:cs="Arial" w:eastAsia="Arial" w:hAnsi="Arial"/>
                <w:sz w:val="15"/>
                <w:szCs w:val="15"/>
                <w:b w:val="1"/>
                <w:bCs w:val="1"/>
                <w:color w:val="auto"/>
              </w:rPr>
              <w:t>Europe</w:t>
            </w:r>
          </w:p>
        </w:tc>
        <w:tc>
          <w:tcPr>
            <w:tcW w:w="18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5"/>
                <w:szCs w:val="15"/>
                <w:b w:val="1"/>
                <w:bCs w:val="1"/>
                <w:color w:val="auto"/>
              </w:rPr>
              <w:t>Asia Pacific</w:t>
            </w:r>
          </w:p>
        </w:tc>
        <w:tc>
          <w:tcPr>
            <w:tcW w:w="1540" w:type="dxa"/>
            <w:vAlign w:val="bottom"/>
            <w:gridSpan w:val="3"/>
          </w:tcPr>
          <w:p>
            <w:pPr>
              <w:ind w:left="40"/>
              <w:spacing w:after="0"/>
              <w:rPr>
                <w:sz w:val="20"/>
                <w:szCs w:val="20"/>
                <w:color w:val="auto"/>
              </w:rPr>
            </w:pPr>
            <w:r>
              <w:rPr>
                <w:rFonts w:ascii="Arial" w:cs="Arial" w:eastAsia="Arial" w:hAnsi="Arial"/>
                <w:sz w:val="15"/>
                <w:szCs w:val="15"/>
                <w:b w:val="1"/>
                <w:bCs w:val="1"/>
                <w:color w:val="auto"/>
              </w:rPr>
              <w:t>Other International</w:t>
            </w:r>
          </w:p>
        </w:tc>
        <w:tc>
          <w:tcPr>
            <w:tcW w:w="320" w:type="dxa"/>
            <w:vAlign w:val="bottom"/>
          </w:tcPr>
          <w:p>
            <w:pPr>
              <w:spacing w:after="0"/>
              <w:rPr>
                <w:sz w:val="17"/>
                <w:szCs w:val="17"/>
                <w:color w:val="auto"/>
              </w:rPr>
            </w:pPr>
          </w:p>
        </w:tc>
        <w:tc>
          <w:tcPr>
            <w:tcW w:w="1100" w:type="dxa"/>
            <w:vAlign w:val="bottom"/>
          </w:tcPr>
          <w:p>
            <w:pPr>
              <w:jc w:val="right"/>
              <w:ind w:right="464"/>
              <w:spacing w:after="0"/>
              <w:rPr>
                <w:sz w:val="20"/>
                <w:szCs w:val="20"/>
                <w:color w:val="auto"/>
              </w:rPr>
            </w:pPr>
            <w:r>
              <w:rPr>
                <w:rFonts w:ascii="Arial" w:cs="Arial" w:eastAsia="Arial" w:hAnsi="Arial"/>
                <w:sz w:val="15"/>
                <w:szCs w:val="15"/>
                <w:b w:val="1"/>
                <w:bCs w:val="1"/>
                <w:color w:val="auto"/>
              </w:rPr>
              <w:t>Total</w:t>
            </w: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412,309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34,648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31,508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17,653</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36,043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532,161</w:t>
            </w:r>
          </w:p>
        </w:tc>
      </w:tr>
      <w:tr>
        <w:trPr>
          <w:trHeight w:val="203"/>
        </w:trPr>
        <w:tc>
          <w:tcPr>
            <w:tcW w:w="220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BOA </w:t>
            </w:r>
            <w:r>
              <w:rPr>
                <w:rFonts w:ascii="Arial" w:cs="Arial" w:eastAsia="Arial" w:hAnsi="Arial"/>
                <w:sz w:val="21"/>
                <w:szCs w:val="21"/>
                <w:b w:val="1"/>
                <w:bCs w:val="1"/>
                <w:color w:val="auto"/>
                <w:vertAlign w:val="superscript"/>
              </w:rPr>
              <w:t>(1)</w:t>
            </w: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50,932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79,201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60,273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190,811</w:t>
            </w:r>
          </w:p>
        </w:tc>
      </w:tr>
      <w:tr>
        <w:trPr>
          <w:trHeight w:val="203"/>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465,095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1,032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470,666</w:t>
            </w:r>
          </w:p>
        </w:tc>
      </w:tr>
      <w:tr>
        <w:trPr>
          <w:trHeight w:val="203"/>
        </w:trPr>
        <w:tc>
          <w:tcPr>
            <w:tcW w:w="220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PrimaLoft </w:t>
            </w:r>
            <w:r>
              <w:rPr>
                <w:rFonts w:ascii="Arial" w:cs="Arial" w:eastAsia="Arial" w:hAnsi="Arial"/>
                <w:sz w:val="21"/>
                <w:szCs w:val="21"/>
                <w:b w:val="1"/>
                <w:bCs w:val="1"/>
                <w:color w:val="auto"/>
                <w:vertAlign w:val="superscript"/>
              </w:rPr>
              <w:t>(1)</w:t>
            </w: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868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68,457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810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74,226</w:t>
            </w:r>
          </w:p>
        </w:tc>
      </w:tr>
      <w:tr>
        <w:trPr>
          <w:trHeight w:val="203"/>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104,485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104,589</w:t>
            </w:r>
          </w:p>
        </w:tc>
      </w:tr>
      <w:tr>
        <w:trPr>
          <w:trHeight w:val="201"/>
        </w:trPr>
        <w:tc>
          <w:tcPr>
            <w:tcW w:w="2200" w:type="dxa"/>
            <w:vAlign w:val="bottom"/>
          </w:tcPr>
          <w:p>
            <w:pPr>
              <w:ind w:left="20"/>
              <w:spacing w:after="0"/>
              <w:rPr>
                <w:sz w:val="20"/>
                <w:szCs w:val="20"/>
                <w:color w:val="auto"/>
              </w:rPr>
            </w:pPr>
            <w:r>
              <w:rPr>
                <w:rFonts w:ascii="Arial" w:cs="Arial" w:eastAsia="Arial" w:hAnsi="Arial"/>
                <w:sz w:val="15"/>
                <w:szCs w:val="15"/>
                <w:color w:val="auto"/>
              </w:rPr>
              <w:t>Velocity</w:t>
            </w: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90,263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256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4,509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96,427</w:t>
            </w:r>
          </w:p>
        </w:tc>
      </w:tr>
      <w:tr>
        <w:trPr>
          <w:trHeight w:val="204"/>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Altor</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213,346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25,722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239,068</w:t>
            </w:r>
          </w:p>
        </w:tc>
      </w:tr>
      <w:tr>
        <w:trPr>
          <w:trHeight w:val="201"/>
        </w:trPr>
        <w:tc>
          <w:tcPr>
            <w:tcW w:w="2200" w:type="dxa"/>
            <w:vAlign w:val="bottom"/>
          </w:tcPr>
          <w:p>
            <w:pPr>
              <w:ind w:left="20"/>
              <w:spacing w:after="0"/>
              <w:rPr>
                <w:sz w:val="20"/>
                <w:szCs w:val="20"/>
                <w:color w:val="auto"/>
              </w:rPr>
            </w:pPr>
            <w:r>
              <w:rPr>
                <w:rFonts w:ascii="Arial" w:cs="Arial" w:eastAsia="Arial" w:hAnsi="Arial"/>
                <w:sz w:val="15"/>
                <w:szCs w:val="15"/>
                <w:color w:val="auto"/>
              </w:rPr>
              <w:t>Arnold</w:t>
            </w: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119,056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41,505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7,799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3,081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171,837</w:t>
            </w:r>
          </w:p>
        </w:tc>
      </w:tr>
      <w:tr>
        <w:trPr>
          <w:trHeight w:val="203"/>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Sterno</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305,534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8,346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318,448</w:t>
            </w:r>
          </w:p>
        </w:tc>
      </w:tr>
      <w:tr>
        <w:trPr>
          <w:trHeight w:val="196"/>
        </w:trPr>
        <w:tc>
          <w:tcPr>
            <w:tcW w:w="2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1,761,888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61,870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164,002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155,591</w:t>
            </w:r>
          </w:p>
        </w:tc>
        <w:tc>
          <w:tcPr>
            <w:tcW w:w="100" w:type="dxa"/>
            <w:vAlign w:val="bottom"/>
          </w:tcPr>
          <w:p>
            <w:pPr>
              <w:spacing w:after="0"/>
              <w:rPr>
                <w:sz w:val="17"/>
                <w:szCs w:val="17"/>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54,882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2,198,233</w:t>
            </w:r>
          </w:p>
        </w:tc>
      </w:tr>
      <w:tr>
        <w:trPr>
          <w:trHeight w:val="22"/>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179705</wp:posOffset>
            </wp:positionV>
            <wp:extent cx="70980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5"/>
          <w:szCs w:val="15"/>
          <w:b w:val="1"/>
          <w:bCs w:val="1"/>
          <w:color w:val="auto"/>
        </w:rPr>
        <w:t>Year ended December 31, 2023</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Mexico</w:t>
            </w: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Europe</w:t>
            </w: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Asia Pacific</w:t>
            </w:r>
          </w:p>
        </w:tc>
        <w:tc>
          <w:tcPr>
            <w:tcW w:w="154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Total</w:t>
            </w:r>
          </w:p>
        </w:tc>
      </w:tr>
      <w:tr>
        <w:trPr>
          <w:trHeight w:val="19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423,750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26,718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34,018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17,313</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31,290</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533,089</w:t>
            </w:r>
          </w:p>
        </w:tc>
      </w:tr>
      <w:tr>
        <w:trPr>
          <w:trHeight w:val="216"/>
        </w:trPr>
        <w:tc>
          <w:tcPr>
            <w:tcW w:w="2120" w:type="dxa"/>
            <w:vAlign w:val="bottom"/>
          </w:tcPr>
          <w:p>
            <w:pPr>
              <w:ind w:left="20"/>
              <w:spacing w:after="0" w:line="216" w:lineRule="exact"/>
              <w:rPr>
                <w:sz w:val="20"/>
                <w:szCs w:val="20"/>
                <w:color w:val="auto"/>
              </w:rPr>
            </w:pPr>
            <w:r>
              <w:rPr>
                <w:rFonts w:ascii="Arial" w:cs="Arial" w:eastAsia="Arial" w:hAnsi="Arial"/>
                <w:sz w:val="15"/>
                <w:szCs w:val="15"/>
                <w:color w:val="auto"/>
              </w:rPr>
              <w:t xml:space="preserve">BOA </w:t>
            </w:r>
            <w:r>
              <w:rPr>
                <w:rFonts w:ascii="Arial" w:cs="Arial" w:eastAsia="Arial" w:hAnsi="Arial"/>
                <w:sz w:val="21"/>
                <w:szCs w:val="21"/>
                <w:b w:val="1"/>
                <w:bCs w:val="1"/>
                <w:color w:val="auto"/>
                <w:vertAlign w:val="superscript"/>
              </w:rPr>
              <w:t>(1)</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41,036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56,073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58,139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155,825</w:t>
            </w: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304,761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308,321</w:t>
            </w:r>
          </w:p>
        </w:tc>
      </w:tr>
      <w:tr>
        <w:trPr>
          <w:trHeight w:val="203"/>
        </w:trPr>
        <w:tc>
          <w:tcPr>
            <w:tcW w:w="212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PrimaLoft </w:t>
            </w:r>
            <w:r>
              <w:rPr>
                <w:rFonts w:ascii="Arial" w:cs="Arial" w:eastAsia="Arial" w:hAnsi="Arial"/>
                <w:sz w:val="21"/>
                <w:szCs w:val="21"/>
                <w:b w:val="1"/>
                <w:bCs w:val="1"/>
                <w:color w:val="auto"/>
                <w:vertAlign w:val="superscript"/>
              </w:rPr>
              <w:t>(1)</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774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3,500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62,049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67,053</w:t>
            </w: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Velocity</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156,853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172,190</w:t>
            </w:r>
          </w:p>
        </w:tc>
      </w:tr>
      <w:tr>
        <w:trPr>
          <w:trHeight w:val="201"/>
        </w:trPr>
        <w:tc>
          <w:tcPr>
            <w:tcW w:w="2120" w:type="dxa"/>
            <w:vAlign w:val="bottom"/>
          </w:tcPr>
          <w:p>
            <w:pPr>
              <w:ind w:left="20"/>
              <w:spacing w:after="0"/>
              <w:rPr>
                <w:sz w:val="20"/>
                <w:szCs w:val="20"/>
                <w:color w:val="auto"/>
              </w:rPr>
            </w:pPr>
            <w:r>
              <w:rPr>
                <w:rFonts w:ascii="Arial" w:cs="Arial" w:eastAsia="Arial" w:hAnsi="Arial"/>
                <w:sz w:val="15"/>
                <w:szCs w:val="15"/>
                <w:color w:val="auto"/>
              </w:rPr>
              <w:t>Altor</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204,598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33,432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238,030</w:t>
            </w:r>
          </w:p>
        </w:tc>
      </w:tr>
      <w:tr>
        <w:trPr>
          <w:trHeight w:val="204"/>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115,625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166,679</w:t>
            </w:r>
          </w:p>
        </w:tc>
      </w:tr>
      <w:tr>
        <w:trPr>
          <w:trHeight w:val="201"/>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312,239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8,226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323,830</w:t>
            </w:r>
          </w:p>
        </w:tc>
      </w:tr>
      <w:tr>
        <w:trPr>
          <w:trHeight w:val="221"/>
        </w:trPr>
        <w:tc>
          <w:tcPr>
            <w:tcW w:w="2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1,559,636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61,828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143,613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144,589</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55,351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1,965,017</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171450</wp:posOffset>
            </wp:positionV>
            <wp:extent cx="70980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5"/>
          <w:szCs w:val="15"/>
          <w:b w:val="1"/>
          <w:bCs w:val="1"/>
          <w:color w:val="auto"/>
        </w:rPr>
        <w:t>Year ended December 31, 2022</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United States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Mexico</w:t>
            </w: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Europe</w:t>
            </w: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Asia Pacific</w:t>
            </w:r>
          </w:p>
        </w:tc>
        <w:tc>
          <w:tcPr>
            <w:tcW w:w="154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Other International</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Total</w:t>
            </w:r>
          </w:p>
        </w:tc>
      </w:tr>
      <w:tr>
        <w:trPr>
          <w:trHeight w:val="19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384,911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19,110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34,389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16,677</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31,126</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486,213</w:t>
            </w:r>
          </w:p>
        </w:tc>
      </w:tr>
      <w:tr>
        <w:trPr>
          <w:trHeight w:val="203"/>
        </w:trPr>
        <w:tc>
          <w:tcPr>
            <w:tcW w:w="212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BOA </w:t>
            </w:r>
            <w:r>
              <w:rPr>
                <w:rFonts w:ascii="Arial" w:cs="Arial" w:eastAsia="Arial" w:hAnsi="Arial"/>
                <w:sz w:val="21"/>
                <w:szCs w:val="21"/>
                <w:b w:val="1"/>
                <w:bCs w:val="1"/>
                <w:color w:val="auto"/>
                <w:vertAlign w:val="superscript"/>
              </w:rPr>
              <w:t>(1)</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61,719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66,273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79,848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836</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208,688</w:t>
            </w: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192,026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201,507</w:t>
            </w:r>
          </w:p>
        </w:tc>
      </w:tr>
      <w:tr>
        <w:trPr>
          <w:trHeight w:val="203"/>
        </w:trPr>
        <w:tc>
          <w:tcPr>
            <w:tcW w:w="212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PrimaLoft </w:t>
            </w:r>
            <w:r>
              <w:rPr>
                <w:rFonts w:ascii="Arial" w:cs="Arial" w:eastAsia="Arial" w:hAnsi="Arial"/>
                <w:sz w:val="21"/>
                <w:szCs w:val="21"/>
                <w:b w:val="1"/>
                <w:bCs w:val="1"/>
                <w:color w:val="auto"/>
                <w:vertAlign w:val="superscript"/>
              </w:rPr>
              <w:t>(1)</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20,623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601</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24,744</w:t>
            </w: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Velocity</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208,215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232,238</w:t>
            </w:r>
          </w:p>
        </w:tc>
      </w:tr>
      <w:tr>
        <w:trPr>
          <w:trHeight w:val="201"/>
        </w:trPr>
        <w:tc>
          <w:tcPr>
            <w:tcW w:w="2120" w:type="dxa"/>
            <w:vAlign w:val="bottom"/>
          </w:tcPr>
          <w:p>
            <w:pPr>
              <w:ind w:left="20"/>
              <w:spacing w:after="0"/>
              <w:rPr>
                <w:sz w:val="20"/>
                <w:szCs w:val="20"/>
                <w:color w:val="auto"/>
              </w:rPr>
            </w:pPr>
            <w:r>
              <w:rPr>
                <w:rFonts w:ascii="Arial" w:cs="Arial" w:eastAsia="Arial" w:hAnsi="Arial"/>
                <w:sz w:val="15"/>
                <w:szCs w:val="15"/>
                <w:color w:val="auto"/>
              </w:rPr>
              <w:t>Altor</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233,158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28,180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261,338</w:t>
            </w:r>
          </w:p>
        </w:tc>
      </w:tr>
      <w:tr>
        <w:trPr>
          <w:trHeight w:val="204"/>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105,899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153,815</w:t>
            </w:r>
          </w:p>
        </w:tc>
      </w:tr>
      <w:tr>
        <w:trPr>
          <w:trHeight w:val="201"/>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Sterno</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340,510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8,795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352,152</w:t>
            </w:r>
          </w:p>
        </w:tc>
      </w:tr>
      <w:tr>
        <w:trPr>
          <w:trHeight w:val="221"/>
        </w:trPr>
        <w:tc>
          <w:tcPr>
            <w:tcW w:w="2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1,528,021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49,132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160,462</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125,464</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57,616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1,920,695</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21"/>
          <w:szCs w:val="21"/>
          <w:b w:val="1"/>
          <w:bCs w:val="1"/>
          <w:color w:val="auto"/>
          <w:vertAlign w:val="superscript"/>
        </w:rPr>
      </w:pPr>
      <w:r>
        <w:rPr>
          <w:rFonts w:ascii="Arial" w:cs="Arial" w:eastAsia="Arial" w:hAnsi="Arial"/>
          <w:sz w:val="16"/>
          <w:szCs w:val="16"/>
          <w:color w:val="auto"/>
        </w:rPr>
        <w:t>For BOA and PrimaLoft, revenue reflects the location of the Brand Partners of each business.</w:t>
      </w: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353" w:lineRule="exact"/>
        <w:rPr>
          <w:rFonts w:ascii="Arial" w:cs="Arial" w:eastAsia="Arial" w:hAnsi="Arial"/>
          <w:sz w:val="21"/>
          <w:szCs w:val="21"/>
          <w:b w:val="1"/>
          <w:bCs w:val="1"/>
          <w:color w:val="auto"/>
          <w:vertAlign w:val="superscript"/>
        </w:rPr>
      </w:pPr>
    </w:p>
    <w:p>
      <w:pPr>
        <w:ind w:left="5460"/>
        <w:spacing w:after="0"/>
        <w:rPr>
          <w:rFonts w:ascii="Arial" w:cs="Arial" w:eastAsia="Arial" w:hAnsi="Arial"/>
          <w:sz w:val="21"/>
          <w:szCs w:val="21"/>
          <w:b w:val="1"/>
          <w:bCs w:val="1"/>
          <w:color w:val="auto"/>
          <w:vertAlign w:val="superscript"/>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Inventory and Property, Plant, and Equipment</w:t>
      </w:r>
    </w:p>
    <w:p>
      <w:pPr>
        <w:spacing w:after="0" w:line="265"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Inventory</w:t>
            </w: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196"/>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r>
      <w:tr>
        <w:trPr>
          <w:trHeight w:val="196"/>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Raw materials and supplies</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117,894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97,195</w:t>
            </w:r>
          </w:p>
        </w:tc>
      </w:tr>
      <w:tr>
        <w:trPr>
          <w:trHeight w:val="201"/>
        </w:trPr>
        <w:tc>
          <w:tcPr>
            <w:tcW w:w="5700" w:type="dxa"/>
            <w:vAlign w:val="bottom"/>
          </w:tcPr>
          <w:p>
            <w:pPr>
              <w:ind w:left="20"/>
              <w:spacing w:after="0"/>
              <w:rPr>
                <w:sz w:val="20"/>
                <w:szCs w:val="20"/>
                <w:color w:val="auto"/>
              </w:rPr>
            </w:pPr>
            <w:r>
              <w:rPr>
                <w:rFonts w:ascii="Arial" w:cs="Arial" w:eastAsia="Arial" w:hAnsi="Arial"/>
                <w:sz w:val="15"/>
                <w:szCs w:val="15"/>
                <w:color w:val="auto"/>
              </w:rPr>
              <w:t>Work-in-process</w:t>
            </w:r>
          </w:p>
        </w:tc>
        <w:tc>
          <w:tcPr>
            <w:tcW w:w="3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61,874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25,516</w:t>
            </w: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Finished goods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816,962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628,742</w:t>
            </w:r>
          </w:p>
        </w:tc>
      </w:tr>
      <w:tr>
        <w:trPr>
          <w:trHeight w:val="196"/>
        </w:trPr>
        <w:tc>
          <w:tcPr>
            <w:tcW w:w="5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996,730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751,453</w:t>
            </w: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obsolescence reserve</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(34,322)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(28,259)</w:t>
            </w:r>
          </w:p>
        </w:tc>
      </w:tr>
      <w:tr>
        <w:trPr>
          <w:trHeight w:val="197"/>
        </w:trPr>
        <w:tc>
          <w:tcPr>
            <w:tcW w:w="5700" w:type="dxa"/>
            <w:vAlign w:val="bottom"/>
          </w:tcPr>
          <w:p>
            <w:pPr>
              <w:ind w:left="36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962,408</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723,194</w:t>
            </w:r>
          </w:p>
        </w:tc>
      </w:tr>
      <w:tr>
        <w:trPr>
          <w:trHeight w:val="21"/>
        </w:trPr>
        <w:tc>
          <w:tcPr>
            <w:tcW w:w="5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Property, plant and equipment</w:t>
            </w: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196"/>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r>
      <w:tr>
        <w:trPr>
          <w:trHeight w:val="196"/>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Machinery and equipment</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269,367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233,970</w:t>
            </w:r>
          </w:p>
        </w:tc>
      </w:tr>
      <w:tr>
        <w:trPr>
          <w:trHeight w:val="201"/>
        </w:trPr>
        <w:tc>
          <w:tcPr>
            <w:tcW w:w="5700" w:type="dxa"/>
            <w:vAlign w:val="bottom"/>
          </w:tcPr>
          <w:p>
            <w:pPr>
              <w:ind w:left="20"/>
              <w:spacing w:after="0"/>
              <w:rPr>
                <w:sz w:val="20"/>
                <w:szCs w:val="20"/>
                <w:color w:val="auto"/>
              </w:rPr>
            </w:pPr>
            <w:r>
              <w:rPr>
                <w:rFonts w:ascii="Arial" w:cs="Arial" w:eastAsia="Arial" w:hAnsi="Arial"/>
                <w:sz w:val="15"/>
                <w:szCs w:val="15"/>
                <w:color w:val="auto"/>
              </w:rPr>
              <w:t>Office furniture, computers and software</w:t>
            </w:r>
          </w:p>
        </w:tc>
        <w:tc>
          <w:tcPr>
            <w:tcW w:w="3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72,721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66,244</w:t>
            </w:r>
          </w:p>
        </w:tc>
      </w:tr>
      <w:tr>
        <w:trPr>
          <w:trHeight w:val="204"/>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120,046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95,262</w:t>
            </w:r>
          </w:p>
        </w:tc>
      </w:tr>
      <w:tr>
        <w:trPr>
          <w:trHeight w:val="201"/>
        </w:trPr>
        <w:tc>
          <w:tcPr>
            <w:tcW w:w="5700" w:type="dxa"/>
            <w:vAlign w:val="bottom"/>
          </w:tcPr>
          <w:p>
            <w:pPr>
              <w:ind w:left="20"/>
              <w:spacing w:after="0"/>
              <w:rPr>
                <w:sz w:val="20"/>
                <w:szCs w:val="20"/>
                <w:color w:val="auto"/>
              </w:rPr>
            </w:pPr>
            <w:r>
              <w:rPr>
                <w:rFonts w:ascii="Arial" w:cs="Arial" w:eastAsia="Arial" w:hAnsi="Arial"/>
                <w:sz w:val="15"/>
                <w:szCs w:val="15"/>
                <w:color w:val="auto"/>
              </w:rPr>
              <w:t>Buildings and land</w:t>
            </w:r>
          </w:p>
        </w:tc>
        <w:tc>
          <w:tcPr>
            <w:tcW w:w="3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11,375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12,816</w:t>
            </w: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Construction in process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24,807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15,197</w:t>
            </w:r>
          </w:p>
        </w:tc>
      </w:tr>
      <w:tr>
        <w:trPr>
          <w:trHeight w:val="196"/>
        </w:trPr>
        <w:tc>
          <w:tcPr>
            <w:tcW w:w="5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498,316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423,489</w:t>
            </w: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accumulated depreciation</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(253,570)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(232,206)</w:t>
            </w:r>
          </w:p>
        </w:tc>
      </w:tr>
      <w:tr>
        <w:trPr>
          <w:trHeight w:val="197"/>
        </w:trPr>
        <w:tc>
          <w:tcPr>
            <w:tcW w:w="5700" w:type="dxa"/>
            <w:vAlign w:val="bottom"/>
          </w:tcPr>
          <w:p>
            <w:pPr>
              <w:ind w:left="36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244,746</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191,283</w:t>
            </w:r>
          </w:p>
        </w:tc>
      </w:tr>
      <w:tr>
        <w:trPr>
          <w:trHeight w:val="20"/>
        </w:trPr>
        <w:tc>
          <w:tcPr>
            <w:tcW w:w="5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expense was approximately $43.9 million, $46.0 million and $39.5 million for the years ended December 31, 2024, 2023 and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Goodwill and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A reconciliation of the change in the carrying value of goodwill by segment for the years ended December 31, 2024 and 2023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Balance at January 1,</w:t>
            </w:r>
          </w:p>
        </w:tc>
        <w:tc>
          <w:tcPr>
            <w:tcW w:w="120" w:type="dxa"/>
            <w:vAlign w:val="bottom"/>
          </w:tcPr>
          <w:p>
            <w:pPr>
              <w:spacing w:after="0"/>
              <w:rPr>
                <w:sz w:val="14"/>
                <w:szCs w:val="1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Acquisitions/Measurement</w:t>
            </w:r>
          </w:p>
        </w:tc>
        <w:tc>
          <w:tcPr>
            <w:tcW w:w="2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Goodwill</w:t>
            </w: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December 31,</w:t>
            </w:r>
          </w:p>
        </w:tc>
      </w:tr>
      <w:tr>
        <w:trPr>
          <w:trHeight w:val="189"/>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604"/>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 xml:space="preserve">Period Adjustments </w:t>
            </w:r>
            <w:r>
              <w:rPr>
                <w:rFonts w:ascii="Arial" w:cs="Arial" w:eastAsia="Arial" w:hAnsi="Arial"/>
                <w:sz w:val="9"/>
                <w:szCs w:val="9"/>
                <w:b w:val="1"/>
                <w:bCs w:val="1"/>
                <w:color w:val="auto"/>
              </w:rPr>
              <w:t>(1)</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Impairment</w:t>
            </w:r>
          </w:p>
        </w:tc>
        <w:tc>
          <w:tcPr>
            <w:tcW w:w="420" w:type="dxa"/>
            <w:vAlign w:val="bottom"/>
          </w:tcPr>
          <w:p>
            <w:pPr>
              <w:spacing w:after="0"/>
              <w:rPr>
                <w:sz w:val="16"/>
                <w:szCs w:val="16"/>
                <w:color w:val="auto"/>
              </w:rPr>
            </w:pPr>
          </w:p>
        </w:tc>
        <w:tc>
          <w:tcPr>
            <w:tcW w:w="1320" w:type="dxa"/>
            <w:vAlign w:val="bottom"/>
          </w:tcPr>
          <w:p>
            <w:pPr>
              <w:jc w:val="right"/>
              <w:ind w:right="624"/>
              <w:spacing w:after="0"/>
              <w:rPr>
                <w:sz w:val="20"/>
                <w:szCs w:val="20"/>
                <w:color w:val="auto"/>
              </w:rPr>
            </w:pPr>
            <w:r>
              <w:rPr>
                <w:rFonts w:ascii="Arial" w:cs="Arial" w:eastAsia="Arial" w:hAnsi="Arial"/>
                <w:sz w:val="14"/>
                <w:szCs w:val="14"/>
                <w:b w:val="1"/>
                <w:bCs w:val="1"/>
                <w:color w:val="auto"/>
              </w:rPr>
              <w:t>2024</w:t>
            </w:r>
          </w:p>
        </w:tc>
      </w:tr>
      <w:tr>
        <w:trPr>
          <w:trHeight w:val="196"/>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92,966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0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92,966</w:t>
            </w:r>
          </w:p>
        </w:tc>
      </w:tr>
      <w:tr>
        <w:trPr>
          <w:trHeight w:val="201"/>
        </w:trPr>
        <w:tc>
          <w:tcPr>
            <w:tcW w:w="3800" w:type="dxa"/>
            <w:vAlign w:val="bottom"/>
          </w:tcPr>
          <w:p>
            <w:pPr>
              <w:ind w:left="20"/>
              <w:spacing w:after="0"/>
              <w:rPr>
                <w:sz w:val="20"/>
                <w:szCs w:val="20"/>
                <w:color w:val="auto"/>
              </w:rPr>
            </w:pPr>
            <w:r>
              <w:rPr>
                <w:rFonts w:ascii="Arial" w:cs="Arial" w:eastAsia="Arial" w:hAnsi="Arial"/>
                <w:sz w:val="15"/>
                <w:szCs w:val="15"/>
                <w:color w:val="auto"/>
              </w:rPr>
              <w:t>BOA</w:t>
            </w:r>
          </w:p>
        </w:tc>
        <w:tc>
          <w:tcPr>
            <w:tcW w:w="12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254,153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2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254,153</w:t>
            </w:r>
          </w:p>
        </w:tc>
      </w:tr>
      <w:tr>
        <w:trPr>
          <w:trHeight w:val="204"/>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86,337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86,337</w:t>
            </w:r>
          </w:p>
        </w:tc>
      </w:tr>
      <w:tr>
        <w:trPr>
          <w:trHeight w:val="201"/>
        </w:trPr>
        <w:tc>
          <w:tcPr>
            <w:tcW w:w="3800" w:type="dxa"/>
            <w:vAlign w:val="bottom"/>
          </w:tcPr>
          <w:p>
            <w:pPr>
              <w:ind w:left="20"/>
              <w:spacing w:after="0"/>
              <w:rPr>
                <w:sz w:val="20"/>
                <w:szCs w:val="20"/>
                <w:color w:val="auto"/>
              </w:rPr>
            </w:pPr>
            <w:r>
              <w:rPr>
                <w:rFonts w:ascii="Arial" w:cs="Arial" w:eastAsia="Arial" w:hAnsi="Arial"/>
                <w:sz w:val="15"/>
                <w:szCs w:val="15"/>
                <w:color w:val="auto"/>
              </w:rPr>
              <w:t>PrimaLoft</w:t>
            </w:r>
          </w:p>
        </w:tc>
        <w:tc>
          <w:tcPr>
            <w:tcW w:w="12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232,536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2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232,536</w:t>
            </w:r>
          </w:p>
        </w:tc>
      </w:tr>
      <w:tr>
        <w:trPr>
          <w:trHeight w:val="204"/>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107,039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107,039</w:t>
            </w:r>
          </w:p>
        </w:tc>
      </w:tr>
      <w:tr>
        <w:trPr>
          <w:trHeight w:val="201"/>
        </w:trPr>
        <w:tc>
          <w:tcPr>
            <w:tcW w:w="3800" w:type="dxa"/>
            <w:vAlign w:val="bottom"/>
          </w:tcPr>
          <w:p>
            <w:pPr>
              <w:ind w:left="20"/>
              <w:spacing w:after="0"/>
              <w:rPr>
                <w:sz w:val="20"/>
                <w:szCs w:val="20"/>
                <w:color w:val="auto"/>
              </w:rPr>
            </w:pPr>
            <w:r>
              <w:rPr>
                <w:rFonts w:ascii="Arial" w:cs="Arial" w:eastAsia="Arial" w:hAnsi="Arial"/>
                <w:sz w:val="15"/>
                <w:szCs w:val="15"/>
                <w:color w:val="auto"/>
              </w:rPr>
              <w:t>Velocity Outdoor</w:t>
            </w:r>
          </w:p>
        </w:tc>
        <w:tc>
          <w:tcPr>
            <w:tcW w:w="12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8,182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(8,182)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Altor Solutions</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91,130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23,489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114,619</w:t>
            </w:r>
          </w:p>
        </w:tc>
      </w:tr>
      <w:tr>
        <w:trPr>
          <w:trHeight w:val="201"/>
        </w:trPr>
        <w:tc>
          <w:tcPr>
            <w:tcW w:w="3800" w:type="dxa"/>
            <w:vAlign w:val="bottom"/>
          </w:tcPr>
          <w:p>
            <w:pPr>
              <w:ind w:left="20"/>
              <w:spacing w:after="0"/>
              <w:rPr>
                <w:sz w:val="20"/>
                <w:szCs w:val="20"/>
                <w:color w:val="auto"/>
              </w:rPr>
            </w:pPr>
            <w:r>
              <w:rPr>
                <w:rFonts w:ascii="Arial" w:cs="Arial" w:eastAsia="Arial" w:hAnsi="Arial"/>
                <w:sz w:val="15"/>
                <w:szCs w:val="15"/>
                <w:color w:val="auto"/>
              </w:rPr>
              <w:t>Arnold</w:t>
            </w:r>
          </w:p>
        </w:tc>
        <w:tc>
          <w:tcPr>
            <w:tcW w:w="12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39,267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2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39,267</w:t>
            </w:r>
          </w:p>
        </w:tc>
      </w:tr>
      <w:tr>
        <w:trPr>
          <w:trHeight w:val="204"/>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Sterno</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55,336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55,336</w:t>
            </w:r>
          </w:p>
        </w:tc>
      </w:tr>
      <w:tr>
        <w:trPr>
          <w:trHeight w:val="196"/>
        </w:trPr>
        <w:tc>
          <w:tcPr>
            <w:tcW w:w="3800" w:type="dxa"/>
            <w:vAlign w:val="bottom"/>
          </w:tcPr>
          <w:p>
            <w:pPr>
              <w:ind w:left="220"/>
              <w:spacing w:after="0"/>
              <w:rPr>
                <w:sz w:val="20"/>
                <w:szCs w:val="20"/>
                <w:color w:val="auto"/>
              </w:rPr>
            </w:pPr>
            <w:r>
              <w:rPr>
                <w:rFonts w:ascii="Arial" w:cs="Arial" w:eastAsia="Arial" w:hAnsi="Arial"/>
                <w:sz w:val="15"/>
                <w:szCs w:val="15"/>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5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859,907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2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130,528</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5"/>
                <w:szCs w:val="15"/>
                <w:color w:val="auto"/>
              </w:rPr>
              <w:t>(8,182)</w:t>
            </w:r>
          </w:p>
        </w:tc>
        <w:tc>
          <w:tcPr>
            <w:tcW w:w="16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982,253</w:t>
            </w:r>
          </w:p>
        </w:tc>
      </w:tr>
      <w:tr>
        <w:trPr>
          <w:trHeight w:val="21"/>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hanging="332"/>
        <w:spacing w:after="0" w:line="207" w:lineRule="auto"/>
        <w:tabs>
          <w:tab w:leader="none" w:pos="356" w:val="left"/>
        </w:tabs>
        <w:numPr>
          <w:ilvl w:val="0"/>
          <w:numId w:val="72"/>
        </w:numPr>
        <w:rPr>
          <w:rFonts w:ascii="Arial" w:cs="Arial" w:eastAsia="Arial" w:hAnsi="Arial"/>
          <w:sz w:val="26"/>
          <w:szCs w:val="26"/>
          <w:b w:val="1"/>
          <w:bCs w:val="1"/>
          <w:color w:val="auto"/>
          <w:vertAlign w:val="superscript"/>
        </w:rPr>
      </w:pPr>
      <w:r>
        <w:rPr>
          <w:rFonts w:ascii="Arial" w:cs="Arial" w:eastAsia="Arial" w:hAnsi="Arial"/>
          <w:sz w:val="16"/>
          <w:szCs w:val="16"/>
          <w:color w:val="auto"/>
        </w:rPr>
        <w:t>Acquisition of businesses during the year ended December 31, 2024 includes the acquisition of The Honey Pot Co. by the Company, and an add-on acquisition at Altor.</w:t>
      </w: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78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at January 1,</w:t>
            </w:r>
          </w:p>
        </w:tc>
        <w:tc>
          <w:tcPr>
            <w:tcW w:w="100" w:type="dxa"/>
            <w:vAlign w:val="bottom"/>
          </w:tcPr>
          <w:p>
            <w:pPr>
              <w:spacing w:after="0"/>
              <w:rPr>
                <w:sz w:val="14"/>
                <w:szCs w:val="14"/>
                <w:color w:val="auto"/>
              </w:rPr>
            </w:pP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Acquisitions/Measurement</w:t>
            </w:r>
          </w:p>
        </w:tc>
        <w:tc>
          <w:tcPr>
            <w:tcW w:w="1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c>
          <w:tcPr>
            <w:tcW w:w="1600" w:type="dxa"/>
            <w:vAlign w:val="bottom"/>
          </w:tcPr>
          <w:p>
            <w:pPr>
              <w:jc w:val="right"/>
              <w:ind w:right="44"/>
              <w:spacing w:after="0"/>
              <w:rPr>
                <w:sz w:val="20"/>
                <w:szCs w:val="20"/>
                <w:color w:val="auto"/>
              </w:rPr>
            </w:pPr>
            <w:r>
              <w:rPr>
                <w:rFonts w:ascii="Arial" w:cs="Arial" w:eastAsia="Arial" w:hAnsi="Arial"/>
                <w:sz w:val="14"/>
                <w:szCs w:val="14"/>
                <w:b w:val="1"/>
                <w:bCs w:val="1"/>
                <w:color w:val="auto"/>
              </w:rPr>
              <w:t>Balance at December</w:t>
            </w:r>
          </w:p>
        </w:tc>
      </w:tr>
      <w:tr>
        <w:trPr>
          <w:trHeight w:val="189"/>
        </w:trPr>
        <w:tc>
          <w:tcPr>
            <w:tcW w:w="3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8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Period Adjustments</w:t>
            </w: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6"/>
                <w:szCs w:val="16"/>
                <w:color w:val="auto"/>
              </w:rPr>
            </w:pPr>
          </w:p>
        </w:tc>
        <w:tc>
          <w:tcPr>
            <w:tcW w:w="1600" w:type="dxa"/>
            <w:vAlign w:val="bottom"/>
          </w:tcPr>
          <w:p>
            <w:pPr>
              <w:jc w:val="right"/>
              <w:ind w:right="504"/>
              <w:spacing w:after="0"/>
              <w:rPr>
                <w:sz w:val="20"/>
                <w:szCs w:val="20"/>
                <w:color w:val="auto"/>
              </w:rPr>
            </w:pPr>
            <w:r>
              <w:rPr>
                <w:rFonts w:ascii="Arial" w:cs="Arial" w:eastAsia="Arial" w:hAnsi="Arial"/>
                <w:sz w:val="14"/>
                <w:szCs w:val="14"/>
                <w:b w:val="1"/>
                <w:bCs w:val="1"/>
                <w:color w:val="auto"/>
              </w:rPr>
              <w:t>31, 2023</w:t>
            </w:r>
          </w:p>
        </w:tc>
      </w:tr>
      <w:tr>
        <w:trPr>
          <w:trHeight w:val="19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5.11</w:t>
            </w:r>
          </w:p>
        </w:tc>
        <w:tc>
          <w:tcPr>
            <w:tcW w:w="38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92,966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6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92,966</w:t>
            </w:r>
          </w:p>
        </w:tc>
      </w:tr>
      <w:tr>
        <w:trPr>
          <w:trHeight w:val="201"/>
        </w:trPr>
        <w:tc>
          <w:tcPr>
            <w:tcW w:w="3620" w:type="dxa"/>
            <w:vAlign w:val="bottom"/>
          </w:tcPr>
          <w:p>
            <w:pPr>
              <w:spacing w:after="0"/>
              <w:rPr>
                <w:sz w:val="20"/>
                <w:szCs w:val="20"/>
                <w:color w:val="auto"/>
              </w:rPr>
            </w:pPr>
            <w:r>
              <w:rPr>
                <w:rFonts w:ascii="Arial" w:cs="Arial" w:eastAsia="Arial" w:hAnsi="Arial"/>
                <w:sz w:val="15"/>
                <w:szCs w:val="15"/>
                <w:color w:val="auto"/>
              </w:rPr>
              <w:t>BOA</w:t>
            </w:r>
          </w:p>
        </w:tc>
        <w:tc>
          <w:tcPr>
            <w:tcW w:w="3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254,153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17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0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254,153</w:t>
            </w:r>
          </w:p>
        </w:tc>
      </w:tr>
      <w:tr>
        <w:trPr>
          <w:trHeight w:val="204"/>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Lugano</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86,337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ind w:left="17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86,337</w:t>
            </w:r>
          </w:p>
        </w:tc>
      </w:tr>
      <w:tr>
        <w:trPr>
          <w:trHeight w:val="201"/>
        </w:trPr>
        <w:tc>
          <w:tcPr>
            <w:tcW w:w="3620" w:type="dxa"/>
            <w:vAlign w:val="bottom"/>
          </w:tcPr>
          <w:p>
            <w:pPr>
              <w:spacing w:after="0"/>
              <w:rPr>
                <w:sz w:val="20"/>
                <w:szCs w:val="20"/>
                <w:color w:val="auto"/>
              </w:rPr>
            </w:pPr>
            <w:r>
              <w:rPr>
                <w:rFonts w:ascii="Arial" w:cs="Arial" w:eastAsia="Arial" w:hAnsi="Arial"/>
                <w:sz w:val="15"/>
                <w:szCs w:val="15"/>
                <w:color w:val="auto"/>
              </w:rPr>
              <w:t>PrimaLoft</w:t>
            </w:r>
          </w:p>
        </w:tc>
        <w:tc>
          <w:tcPr>
            <w:tcW w:w="3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291,150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ind w:left="1580"/>
              <w:spacing w:after="0"/>
              <w:rPr>
                <w:sz w:val="20"/>
                <w:szCs w:val="20"/>
                <w:color w:val="auto"/>
              </w:rPr>
            </w:pPr>
            <w:r>
              <w:rPr>
                <w:rFonts w:ascii="Arial" w:cs="Arial" w:eastAsia="Arial" w:hAnsi="Arial"/>
                <w:sz w:val="15"/>
                <w:szCs w:val="15"/>
                <w:color w:val="auto"/>
              </w:rPr>
              <w:t>(804)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ind w:left="540"/>
              <w:spacing w:after="0"/>
              <w:rPr>
                <w:sz w:val="20"/>
                <w:szCs w:val="20"/>
                <w:color w:val="auto"/>
              </w:rPr>
            </w:pPr>
            <w:r>
              <w:rPr>
                <w:rFonts w:ascii="Arial" w:cs="Arial" w:eastAsia="Arial" w:hAnsi="Arial"/>
                <w:sz w:val="15"/>
                <w:szCs w:val="15"/>
                <w:color w:val="auto"/>
              </w:rPr>
              <w:t>(57,810)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232,536</w:t>
            </w:r>
          </w:p>
        </w:tc>
      </w:tr>
      <w:tr>
        <w:trPr>
          <w:trHeight w:val="204"/>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Velocity Outdoor</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39,773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ind w:left="17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ind w:left="540"/>
              <w:spacing w:after="0"/>
              <w:rPr>
                <w:sz w:val="20"/>
                <w:szCs w:val="20"/>
                <w:color w:val="auto"/>
              </w:rPr>
            </w:pPr>
            <w:r>
              <w:rPr>
                <w:rFonts w:ascii="Arial" w:cs="Arial" w:eastAsia="Arial" w:hAnsi="Arial"/>
                <w:sz w:val="15"/>
                <w:szCs w:val="15"/>
                <w:color w:val="auto"/>
              </w:rPr>
              <w:t>(31,591)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r>
      <w:tr>
        <w:trPr>
          <w:trHeight w:val="201"/>
        </w:trPr>
        <w:tc>
          <w:tcPr>
            <w:tcW w:w="3620" w:type="dxa"/>
            <w:vAlign w:val="bottom"/>
          </w:tcPr>
          <w:p>
            <w:pPr>
              <w:spacing w:after="0"/>
              <w:rPr>
                <w:sz w:val="20"/>
                <w:szCs w:val="20"/>
                <w:color w:val="auto"/>
              </w:rPr>
            </w:pPr>
            <w:r>
              <w:rPr>
                <w:rFonts w:ascii="Arial" w:cs="Arial" w:eastAsia="Arial" w:hAnsi="Arial"/>
                <w:sz w:val="15"/>
                <w:szCs w:val="15"/>
                <w:color w:val="auto"/>
              </w:rPr>
              <w:t>Altor Solutions</w:t>
            </w:r>
          </w:p>
        </w:tc>
        <w:tc>
          <w:tcPr>
            <w:tcW w:w="3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91,130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17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0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91,130</w:t>
            </w:r>
          </w:p>
        </w:tc>
      </w:tr>
      <w:tr>
        <w:trPr>
          <w:trHeight w:val="204"/>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Arnold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39,267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ind w:left="17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39,267</w:t>
            </w:r>
          </w:p>
        </w:tc>
      </w:tr>
      <w:tr>
        <w:trPr>
          <w:trHeight w:val="201"/>
        </w:trPr>
        <w:tc>
          <w:tcPr>
            <w:tcW w:w="3620" w:type="dxa"/>
            <w:vAlign w:val="bottom"/>
          </w:tcPr>
          <w:p>
            <w:pPr>
              <w:spacing w:after="0"/>
              <w:rPr>
                <w:sz w:val="20"/>
                <w:szCs w:val="20"/>
                <w:color w:val="auto"/>
              </w:rPr>
            </w:pPr>
            <w:r>
              <w:rPr>
                <w:rFonts w:ascii="Arial" w:cs="Arial" w:eastAsia="Arial" w:hAnsi="Arial"/>
                <w:sz w:val="15"/>
                <w:szCs w:val="15"/>
                <w:color w:val="auto"/>
              </w:rPr>
              <w:t>Sterno</w:t>
            </w:r>
          </w:p>
        </w:tc>
        <w:tc>
          <w:tcPr>
            <w:tcW w:w="3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55,336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17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0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55,336</w:t>
            </w:r>
          </w:p>
        </w:tc>
      </w:tr>
      <w:tr>
        <w:trPr>
          <w:trHeight w:val="222"/>
        </w:trPr>
        <w:tc>
          <w:tcPr>
            <w:tcW w:w="36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38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950,112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60" w:type="dxa"/>
            <w:vAlign w:val="bottom"/>
            <w:tcBorders>
              <w:top w:val="single" w:sz="8" w:color="auto"/>
              <w:bottom w:val="single" w:sz="8" w:color="auto"/>
            </w:tcBorders>
            <w:shd w:val="clear" w:color="auto" w:fill="CCEEFF"/>
          </w:tcPr>
          <w:p>
            <w:pPr>
              <w:ind w:left="1580"/>
              <w:spacing w:after="0"/>
              <w:rPr>
                <w:sz w:val="20"/>
                <w:szCs w:val="20"/>
                <w:color w:val="auto"/>
              </w:rPr>
            </w:pPr>
            <w:r>
              <w:rPr>
                <w:rFonts w:ascii="Arial" w:cs="Arial" w:eastAsia="Arial" w:hAnsi="Arial"/>
                <w:sz w:val="15"/>
                <w:szCs w:val="15"/>
                <w:color w:val="auto"/>
              </w:rPr>
              <w:t>(804)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(89,401)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859,907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$227.9 million of goodwill is deductible for income tax purposes at December 31, 2024.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Testing</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uses a qualitative approach to test goodwill and indefinite lived intangible assets for impairment by first assessing qualitative factors to determine whether it is more-likely than-not that the fair value of a reporting unit is less than its carrying amount as a basis for determining whether it is necessary to perform quantitative goodwill impairment testing.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Annual Impairment Testing</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Company's annual impairment testing at March 31, 2024, the Company performed a qualitative assessment of our reporting units. The results of the qualitative analysis indicated that it was more-likely-than-not that the fair value of each of our reporting units except Velocity exceeded their carrying value. Based on our analysis, the Company determined that the Velocity operating segment required quantitative testing because we could not conclude that the fair value of this reporting unit significantly exceeded the carrying value based on qualitative factors alone. The Company performed a quantitative test of Velocity and the results of the testing indicated that the fair value of Velocity did not exceed the carrying value, resulting in goodwill impairment expense of $8.2 million as of March 31, 2024.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Annual Impairment Testing</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determined that the Velocity reporting unit required additional quantitative testing because we could not conclude that the fair value of the reporting unit exceeded its carrying value based on qualitative factors alone. For the reporting units that were tested only on a qualitative basis for the 2023 annual impairment testing, the results of the qualitative analysis indicated that it was more likely than not that the fair value exceeded the carrying value of these reporting units.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quantitative test of Velocity was performed using an income approach to determine the fair value of the reporting unit. The discount rate used in the income approach was 15% and the results of the quantitative impairment testing indicated that the fair value of the Velocity reporting unit exceeded the carrying value by 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Annual Impairment Testing</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results of the qualitative analysis indicated that it was more-likely-than-not that the fair value of each of our reporting units exceeded their carrying value for the 2022 annual impairment testing.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Interim Impairment Testing</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PrimaLoft</w:t>
      </w:r>
      <w:r>
        <w:rPr>
          <w:rFonts w:ascii="Arial" w:cs="Arial" w:eastAsia="Arial" w:hAnsi="Arial"/>
          <w:sz w:val="18"/>
          <w:szCs w:val="18"/>
          <w:color w:val="auto"/>
        </w:rPr>
        <w:t xml:space="preserve"> - The Company performed an interim impairment test of goodwill at PrimaLoft as of December 31, 2023. As a result of operating results that were below forecast amounts that were used as the basis for the purchase price allocation performed when PrimaLoft was acquired as well as the failure of certain financial covenants in the intercompany credit agreement as of December 31, 2023, the Company determined that a triggering event had occurred. The Company performed the quantitative impairment test using both an income approach and a market approach. The prospective information used in the income approach considered macroeconomic data, industry and reporting unit specific facts and circumstances and was our best estimate of operational results and cash flows for the PrimaLoft reporting unit as of the date of our impairment testing. The discount rate used in the income approach was 11.3% The results of the quantitative impairment testing indicated that the fair value of the PrimaLoft reporting unit did not exceed its carrying value, resulting in goodwill impairment expense of $57.8 million in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-1243965</wp:posOffset>
            </wp:positionV>
            <wp:extent cx="543496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1">
                      <a:extLst>
                        <a:ext uri="{28A0092B-C50C-407E-A947-70E740481C1C}"/>
                      </a:extLst>
                    </a:blip>
                    <a:srcRect/>
                    <a:stretch>
                      <a:fillRect/>
                    </a:stretch>
                  </pic:blipFill>
                  <pic:spPr bwMode="auto">
                    <a:xfrm>
                      <a:off x="0" y="0"/>
                      <a:ext cx="5434965" cy="128905"/>
                    </a:xfrm>
                    <a:prstGeom prst="rect">
                      <a:avLst/>
                    </a:prstGeom>
                    <a:noFill/>
                  </pic:spPr>
                </pic:pic>
              </a:graphicData>
            </a:graphic>
          </wp:anchor>
        </w:drawing>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 The Company performed interim quantitative impairment testing of goodwill at Velocity at August 31, 2023. As a result of operating results that were below the forecast that we used in the quantitative impairment test of Velocity Outdoor at March 31, 2023, the Company determined that a triggering event had occurred at Velocity in the third quarter of 2023 and performed an interim impairment test as of August 31, 2023. The Company used an income approach for the impairment test, whereby we estimated the fair value of the reporting unit based on the present value of future cash flows. Cash flow projections are based on management's estimate of revenue growth rates and operating margins, and take into consideration industry and market conditions as well as company specific economic factors. The Company used a weighted average cost of capital of 17% in the income approach. The discount rate used was based on the weighted average cost of capital adjusted for the relevant risk associated with business specific characteristics and Velocity's ability to execute on projected cash flows. Based on the results of the impairment test, the fair value of Velocity did not exceed its carrying value. The Company recorded goodwill impairment of $31.6 million during the year ended December 31,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net carrying amount of goodwill at December 31, 2024 and 2023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1" w:lineRule="exact"/>
        <w:rPr>
          <w:sz w:val="20"/>
          <w:szCs w:val="20"/>
          <w:color w:val="auto"/>
        </w:rPr>
      </w:pPr>
    </w:p>
    <w:tbl>
      <w:tblPr>
        <w:tblLayout w:type="fixed"/>
        <w:tblInd w:w="152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2"/>
          </w:tcPr>
          <w:p>
            <w:pPr>
              <w:ind w:left="140"/>
              <w:spacing w:after="0"/>
              <w:rPr>
                <w:sz w:val="20"/>
                <w:szCs w:val="20"/>
                <w:color w:val="auto"/>
              </w:rPr>
            </w:pPr>
            <w:r>
              <w:rPr>
                <w:rFonts w:ascii="Arial" w:cs="Arial" w:eastAsia="Arial" w:hAnsi="Arial"/>
                <w:sz w:val="15"/>
                <w:szCs w:val="15"/>
                <w:b w:val="1"/>
                <w:bCs w:val="1"/>
                <w:color w:val="auto"/>
              </w:rPr>
              <w:t>December 31, 2024</w:t>
            </w:r>
          </w:p>
        </w:tc>
        <w:tc>
          <w:tcPr>
            <w:tcW w:w="260" w:type="dxa"/>
            <w:vAlign w:val="bottom"/>
          </w:tcPr>
          <w:p>
            <w:pPr>
              <w:spacing w:after="0"/>
              <w:rPr>
                <w:sz w:val="18"/>
                <w:szCs w:val="18"/>
                <w:color w:val="auto"/>
              </w:rPr>
            </w:pPr>
          </w:p>
        </w:tc>
        <w:tc>
          <w:tcPr>
            <w:tcW w:w="1940" w:type="dxa"/>
            <w:vAlign w:val="bottom"/>
          </w:tcPr>
          <w:p>
            <w:pPr>
              <w:jc w:val="right"/>
              <w:ind w:right="324"/>
              <w:spacing w:after="0"/>
              <w:rPr>
                <w:sz w:val="20"/>
                <w:szCs w:val="20"/>
                <w:color w:val="auto"/>
              </w:rPr>
            </w:pPr>
            <w:r>
              <w:rPr>
                <w:rFonts w:ascii="Arial" w:cs="Arial" w:eastAsia="Arial" w:hAnsi="Arial"/>
                <w:sz w:val="15"/>
                <w:szCs w:val="15"/>
                <w:b w:val="1"/>
                <w:bCs w:val="1"/>
                <w:color w:val="auto"/>
              </w:rPr>
              <w:t>December 31, 2023</w:t>
            </w:r>
          </w:p>
        </w:tc>
      </w:tr>
      <w:tr>
        <w:trPr>
          <w:trHeight w:val="196"/>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 - gross carrying amount</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1,137,580</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1,007,052</w:t>
            </w:r>
          </w:p>
        </w:tc>
      </w:tr>
      <w:tr>
        <w:trPr>
          <w:trHeight w:val="203"/>
        </w:trPr>
        <w:tc>
          <w:tcPr>
            <w:tcW w:w="366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5"/>
                <w:szCs w:val="15"/>
                <w:color w:val="auto"/>
              </w:rPr>
              <w:t xml:space="preserve">Accumulated impairment losses </w:t>
            </w:r>
            <w:r>
              <w:rPr>
                <w:rFonts w:ascii="Arial" w:cs="Arial" w:eastAsia="Arial" w:hAnsi="Arial"/>
                <w:sz w:val="19"/>
                <w:szCs w:val="19"/>
                <w:b w:val="1"/>
                <w:bCs w:val="1"/>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(155,327)</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(147,145)</w:t>
            </w:r>
          </w:p>
        </w:tc>
      </w:tr>
      <w:tr>
        <w:trPr>
          <w:trHeight w:val="22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 - net carrying amount</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982,253</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859,907</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21"/>
          <w:szCs w:val="21"/>
          <w:b w:val="1"/>
          <w:bCs w:val="1"/>
          <w:color w:val="auto"/>
          <w:vertAlign w:val="superscript"/>
        </w:rPr>
      </w:pPr>
      <w:r>
        <w:rPr>
          <w:rFonts w:ascii="Arial" w:cs="Arial" w:eastAsia="Arial" w:hAnsi="Arial"/>
          <w:sz w:val="18"/>
          <w:szCs w:val="18"/>
          <w:color w:val="auto"/>
        </w:rPr>
        <w:t>Comprised of accumulated goodwill impairment expense of $72.7 million at Velocity $24.9 million at Arnold and $57.8 million at PrimaLoft.</w:t>
      </w: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59" w:lineRule="exact"/>
        <w:rPr>
          <w:rFonts w:ascii="Arial" w:cs="Arial" w:eastAsia="Arial" w:hAnsi="Arial"/>
          <w:sz w:val="21"/>
          <w:szCs w:val="21"/>
          <w:b w:val="1"/>
          <w:bCs w:val="1"/>
          <w:color w:val="auto"/>
          <w:vertAlign w:val="superscript"/>
        </w:rPr>
      </w:pPr>
    </w:p>
    <w:p>
      <w:pPr>
        <w:ind w:left="5460"/>
        <w:spacing w:after="0"/>
        <w:rPr>
          <w:rFonts w:ascii="Arial" w:cs="Arial" w:eastAsia="Arial" w:hAnsi="Arial"/>
          <w:sz w:val="21"/>
          <w:szCs w:val="21"/>
          <w:b w:val="1"/>
          <w:bCs w:val="1"/>
          <w:color w:val="auto"/>
          <w:vertAlign w:val="superscript"/>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Intangible assets are comprised of the following </w:t>
      </w:r>
      <w:r>
        <w:rPr>
          <w:rFonts w:ascii="Arial" w:cs="Arial" w:eastAsia="Arial" w:hAnsi="Arial"/>
          <w:sz w:val="18"/>
          <w:szCs w:val="18"/>
          <w:i w:val="1"/>
          <w:iCs w:val="1"/>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rPr>
              <w:t>December 31, 2024</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rPr>
              <w:t>December 31, 2023</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w w:val="99"/>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1"/>
                <w:szCs w:val="11"/>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auto"/>
                <w:w w:val="99"/>
              </w:rPr>
              <w:t>Gross Carrying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1"/>
                <w:szCs w:val="11"/>
                <w:color w:val="auto"/>
              </w:rPr>
            </w:pPr>
          </w:p>
        </w:tc>
        <w:tc>
          <w:tcPr>
            <w:tcW w:w="9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9"/>
              </w:rPr>
              <w:t>Net Carrying</w:t>
            </w: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76"/>
        </w:trPr>
        <w:tc>
          <w:tcPr>
            <w:tcW w:w="2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Useful Lives</w:t>
            </w: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806,382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(318,898)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487,484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748,972</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473,820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1"/>
        </w:trPr>
        <w:tc>
          <w:tcPr>
            <w:tcW w:w="2320" w:type="dxa"/>
            <w:vAlign w:val="bottom"/>
          </w:tcPr>
          <w:p>
            <w:pPr>
              <w:ind w:left="20"/>
              <w:spacing w:after="0"/>
              <w:rPr>
                <w:sz w:val="20"/>
                <w:szCs w:val="20"/>
                <w:color w:val="auto"/>
              </w:rPr>
            </w:pPr>
            <w:r>
              <w:rPr>
                <w:rFonts w:ascii="Arial" w:cs="Arial" w:eastAsia="Arial" w:hAnsi="Arial"/>
                <w:sz w:val="15"/>
                <w:szCs w:val="15"/>
                <w:color w:val="auto"/>
              </w:rPr>
              <w:t>Technology and patents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198,865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(78,175)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120,690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200,788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(65,043)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135,745</w:t>
            </w:r>
          </w:p>
        </w:tc>
        <w:tc>
          <w:tcPr>
            <w:tcW w:w="1240" w:type="dxa"/>
            <w:vAlign w:val="bottom"/>
            <w:gridSpan w:val="2"/>
          </w:tcPr>
          <w:p>
            <w:pPr>
              <w:jc w:val="center"/>
              <w:ind w:lef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0"/>
        </w:trPr>
        <w:tc>
          <w:tcPr>
            <w:tcW w:w="232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Trade names, subject to</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501,999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409,396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321,291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237,647</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1"/>
        </w:trPr>
        <w:tc>
          <w:tcPr>
            <w:tcW w:w="2320" w:type="dxa"/>
            <w:vAlign w:val="bottom"/>
          </w:tcPr>
          <w:p>
            <w:pPr>
              <w:ind w:left="20"/>
              <w:spacing w:after="0"/>
              <w:rPr>
                <w:sz w:val="20"/>
                <w:szCs w:val="20"/>
                <w:color w:val="auto"/>
              </w:rPr>
            </w:pPr>
            <w:r>
              <w:rPr>
                <w:rFonts w:ascii="Arial" w:cs="Arial" w:eastAsia="Arial" w:hAnsi="Arial"/>
                <w:sz w:val="15"/>
                <w:szCs w:val="15"/>
                <w:color w:val="auto"/>
              </w:rPr>
              <w:t>Non-compete agreements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556</w:t>
            </w:r>
          </w:p>
        </w:tc>
        <w:tc>
          <w:tcPr>
            <w:tcW w:w="1240" w:type="dxa"/>
            <w:vAlign w:val="bottom"/>
            <w:gridSpan w:val="2"/>
          </w:tcPr>
          <w:p>
            <w:pPr>
              <w:jc w:val="center"/>
              <w:ind w:lef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0"/>
        </w:trPr>
        <w:tc>
          <w:tcPr>
            <w:tcW w:w="232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Other contractual intangible</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1,509,044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(491,168)</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1,017,876</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1,272,849</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(425,081)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847,768</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Trade names, not subject to</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line="149" w:lineRule="exact"/>
              <w:rPr>
                <w:sz w:val="20"/>
                <w:szCs w:val="20"/>
                <w:color w:val="auto"/>
              </w:rPr>
            </w:pPr>
            <w:r>
              <w:rPr>
                <w:rFonts w:ascii="Arial" w:cs="Arial" w:eastAsia="Arial" w:hAnsi="Arial"/>
                <w:sz w:val="15"/>
                <w:szCs w:val="15"/>
                <w:color w:val="auto"/>
              </w:rPr>
              <w:t>In-process research and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5"/>
                <w:szCs w:val="15"/>
                <w:color w:val="auto"/>
              </w:rPr>
              <w:t xml:space="preserve">development </w:t>
            </w:r>
            <w:r>
              <w:rPr>
                <w:rFonts w:ascii="Arial" w:cs="Arial" w:eastAsia="Arial" w:hAnsi="Arial"/>
                <w:sz w:val="19"/>
                <w:szCs w:val="19"/>
                <w:b w:val="1"/>
                <w:bCs w:val="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intangibles,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1,540,354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1,049,186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1,304,159</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(425,081)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879,078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0" w:firstLine="8"/>
        <w:spacing w:after="0" w:line="287" w:lineRule="auto"/>
        <w:tabs>
          <w:tab w:leader="none" w:pos="171" w:val="left"/>
        </w:tabs>
        <w:numPr>
          <w:ilvl w:val="0"/>
          <w:numId w:val="74"/>
        </w:numPr>
        <w:rPr>
          <w:rFonts w:ascii="Arial" w:cs="Arial" w:eastAsia="Arial" w:hAnsi="Arial"/>
          <w:sz w:val="11"/>
          <w:szCs w:val="11"/>
          <w:b w:val="1"/>
          <w:bCs w:val="1"/>
          <w:color w:val="auto"/>
        </w:rPr>
      </w:pPr>
      <w:r>
        <w:rPr>
          <w:rFonts w:ascii="Arial" w:cs="Arial" w:eastAsia="Arial" w:hAnsi="Arial"/>
          <w:sz w:val="18"/>
          <w:szCs w:val="18"/>
          <w:color w:val="auto"/>
        </w:rPr>
        <w:t>In-process research and development is considered indefinite lived until the underlying technology becomes viable, at which point the intangible asset will be amortized over the expected useful life.</w:t>
      </w:r>
    </w:p>
    <w:p>
      <w:pPr>
        <w:spacing w:after="0" w:line="20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Company’s amortization expense of intangible assets for the years ended December 31, 2024, 2023 and 2022 totaled $99.8 million, $88.4 million and $77.2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Estimated charges to amortization expense of intangible assets over the next five years, is as follows, </w:t>
      </w:r>
      <w:r>
        <w:rPr>
          <w:rFonts w:ascii="Arial" w:cs="Arial" w:eastAsia="Arial" w:hAnsi="Arial"/>
          <w:sz w:val="18"/>
          <w:szCs w:val="18"/>
          <w:i w:val="1"/>
          <w:iCs w:val="1"/>
          <w:color w:val="auto"/>
        </w:rPr>
        <w:t>(in thousands):</w:t>
      </w:r>
    </w:p>
    <w:p>
      <w:pPr>
        <w:spacing w:after="0" w:line="149" w:lineRule="exact"/>
        <w:rPr>
          <w:sz w:val="20"/>
          <w:szCs w:val="20"/>
          <w:color w:val="auto"/>
        </w:rPr>
      </w:pPr>
    </w:p>
    <w:tbl>
      <w:tblPr>
        <w:tblLayout w:type="fixed"/>
        <w:tblInd w:w="3620" w:type="dxa"/>
        <w:tblCellMar>
          <w:top w:w="0" w:type="dxa"/>
          <w:left w:w="0" w:type="dxa"/>
          <w:bottom w:w="0" w:type="dxa"/>
          <w:right w:w="0" w:type="dxa"/>
        </w:tblCellMar>
      </w:tblPr>
      <w:tr>
        <w:trPr>
          <w:trHeight w:val="203"/>
        </w:trPr>
        <w:tc>
          <w:tcPr>
            <w:tcW w:w="140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rPr>
              <w:t>2025</w:t>
            </w:r>
          </w:p>
        </w:tc>
        <w:tc>
          <w:tcPr>
            <w:tcW w:w="160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97,797</w:t>
            </w:r>
          </w:p>
        </w:tc>
      </w:tr>
      <w:tr>
        <w:trPr>
          <w:trHeight w:val="201"/>
        </w:trPr>
        <w:tc>
          <w:tcPr>
            <w:tcW w:w="1400" w:type="dxa"/>
            <w:vAlign w:val="bottom"/>
          </w:tcPr>
          <w:p>
            <w:pPr>
              <w:jc w:val="right"/>
              <w:ind w:right="964"/>
              <w:spacing w:after="0"/>
              <w:rPr>
                <w:sz w:val="20"/>
                <w:szCs w:val="20"/>
                <w:color w:val="auto"/>
              </w:rPr>
            </w:pPr>
            <w:r>
              <w:rPr>
                <w:rFonts w:ascii="Arial" w:cs="Arial" w:eastAsia="Arial" w:hAnsi="Arial"/>
                <w:sz w:val="15"/>
                <w:szCs w:val="15"/>
                <w:color w:val="auto"/>
              </w:rPr>
              <w:t>2026</w:t>
            </w:r>
          </w:p>
        </w:tc>
        <w:tc>
          <w:tcPr>
            <w:tcW w:w="160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95,605</w:t>
            </w:r>
          </w:p>
        </w:tc>
      </w:tr>
      <w:tr>
        <w:trPr>
          <w:trHeight w:val="204"/>
        </w:trPr>
        <w:tc>
          <w:tcPr>
            <w:tcW w:w="140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rPr>
              <w:t>2027</w:t>
            </w:r>
          </w:p>
        </w:tc>
        <w:tc>
          <w:tcPr>
            <w:tcW w:w="160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86,815</w:t>
            </w:r>
          </w:p>
        </w:tc>
      </w:tr>
      <w:tr>
        <w:trPr>
          <w:trHeight w:val="201"/>
        </w:trPr>
        <w:tc>
          <w:tcPr>
            <w:tcW w:w="1400" w:type="dxa"/>
            <w:vAlign w:val="bottom"/>
          </w:tcPr>
          <w:p>
            <w:pPr>
              <w:jc w:val="right"/>
              <w:ind w:right="964"/>
              <w:spacing w:after="0"/>
              <w:rPr>
                <w:sz w:val="20"/>
                <w:szCs w:val="20"/>
                <w:color w:val="auto"/>
              </w:rPr>
            </w:pPr>
            <w:r>
              <w:rPr>
                <w:rFonts w:ascii="Arial" w:cs="Arial" w:eastAsia="Arial" w:hAnsi="Arial"/>
                <w:sz w:val="15"/>
                <w:szCs w:val="15"/>
                <w:color w:val="auto"/>
              </w:rPr>
              <w:t>2028</w:t>
            </w:r>
          </w:p>
        </w:tc>
        <w:tc>
          <w:tcPr>
            <w:tcW w:w="160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84,714</w:t>
            </w:r>
          </w:p>
        </w:tc>
      </w:tr>
      <w:tr>
        <w:trPr>
          <w:trHeight w:val="204"/>
        </w:trPr>
        <w:tc>
          <w:tcPr>
            <w:tcW w:w="140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rPr>
              <w:t>2029</w:t>
            </w:r>
          </w:p>
        </w:tc>
        <w:tc>
          <w:tcPr>
            <w:tcW w:w="160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84,592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Credit Facility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12, 2022, the LLC entered into the Third Amended and Restated Credit Agreement (the "2022 Credit Facility") to amend and restate the 2021 Credit Facility. The 2022 Credit Facility provides for revolving loans, swing line loans and letters of credit ("the 2022 Revolving Line of Credit") up to a maximum aggregate amount of $600 million ("the 2022 Revolving Loan Commitment") and a $400 million term loan (the “2022 Term Loan”). The 2022 Term Loan requires quarterly payments ranging from $2.5 million to $7.5 million, commencing September 30, 2022, with a final payment of all remaining principal and interest due on July 12, 2027, which is the 2022 Term Loan’s maturity date. All amounts outstanding under the 2022 Revolving Line of Credit will become due on July 12, 2027, which is the termination date of the 2022 Revolving Loan Commitment. The 2022 Credit Facility also permits the LLC, prior to the applicable maturity date, to increase the Revolving Loan Commitment and/or obtain additional term loans in an aggregate amount of up to $250 million, subject to certain restrictions and conditions. On the closing date for the 2022 Credit Facility, the 2022 Term Loan was advanced in full and the initial borrowings outstanding under the 2022 Revolving Line of Credit were $115 million. The Company used the initial proceeds from the 2022 Credit Facility to pay all amounts outstanding under the 2021 Credit Facility, pay fees and expenses incurred in connection with the 2022 Credit Facility and fund the acquisition of PrimaLoft.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LLC may borrow, prepay and reborrow principal under the 2022 Revolving Credit Facility from time to time during its term. Advances under the 2022 Revolving Line of Credit can be either term Secured Overnight Financing Rate ("SOFR") loans or base rate loans. Term SOFR revolving loans bear interest on the outstanding principal amount thereof for each interest period at a rate per annum based on the applicable SOFR as administered by the Federal Reserve Bank of New York (or a successor administrator), as adjusted, plus a margin ranging from 1.50% to 2.50%, based on the ratio of consolidated net indebtedness to adjusted consolidated earnings before interest expense, tax expense, and depreciation and amortization expenses for such period (the “Consolidated Total Leverage Ratio”). Base rate revolving loans bear interest on the outstanding principal amount thereof at a rate per annum equal to the highest of (i) Federal Funds rate plus 0.50%, (ii) the “prime rate”, and (iii) the applicable SOFR plus 1.0% (the “Base Rate”), plus a margin ranging from 0.50% to 1.50%, based on the Company's Consolidated Total Leverage Ratio.</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Advances under the 2022 Term Loan can be either term SOFR loans or base rate loans. The 2022 Term Loan was advanced in full on the closing date for the 2022 Credit Facility as a Term SOFR loan with an interest period of one month. On the last day of an interest period, Term SOFR loans may be converted to Term SOFR loans of a different interest period or to Base Rate loans. Term SOFR term loans bear interest on the outstanding principal amount thereof for each interest period at a rate per annum based on the Term SOFR for such interest period plus a margin ranging from 1.50% to 2.50%, based on the Consolidated Total Leverage Ratio. Base rate term loans bear interest on the outstanding principal amount thereof from the applicable borrowing date at a rate per annum equal to the Base Rate plus a margin ranging from 0.50% to 1.50%, based on the Consolidated Total Leverage Ratio.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Credit Facility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23, 2021, we entered into a Second Amended and Restated Credit Agreement (the "2021 Credit Facility") to amend and restate the 2018 Credit Facility (as previously restated and amended) among the LLC, the lenders from time to time party thereto, and Bank of America, N.A., as Administrative Agent. The 2021 Credit Facility provided for revolving loans, swing line loans and letters of credit up to a maximum aggregate amount of $600 million and also permitted the LLC, prior to the applicable maturity date, to increase the revolving loan commitment and/or obtain term loans in an aggregate amount of up to $250 million, subject to certain restrictions and conditions. The Company repaid the outstanding amounts under the 2021 credit facility in the third quarter of 2022 in connection with entering into the 2022 Credit Facility.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2032 Senior Notes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17, 2021, the Company consummated the issuance and sale of $ 300 million aggregate principal amount of our 5.000% Senior Notes due 2032 (the “2032 Notes” of "2032 Senior Notes") offered pursuant to a private offering to qualified institutional buyers in accordance with Rule 144A under the Securities Act, and to non-U.S. persons under Regulation S under the Securities Act. The 2032 Notes were issued pursuant to an indenture, dated as of November 17, 2021 (the “2032 Notes Indenture”), between the Company and U.S. Bank National Association, as trustee (the “Trustee”). The 2032 Notes bear interest at the rate of 5.000% per annum and will mature on January 15, 2032. Interest on the 2032 Notes is payable in cash on January 15 and July 15 of each year, beginning on July 15,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Senior Notes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23, 2021, the Company consummated the issuance and sale of $1 billion aggregate principal amount of our 5.250% Senior Notes due 2029 (the "2029 Notes" or "2029 Senior Notes") offered pursuant to a private offering to qualified institutional buyers in accordance with Rule 144A under the Securities Act, and to non-U.S. persons under Regulation S under the Securities Act. The 2029 Notes were issued pursuant to an indenture, dated as of March 23, 2021 (the “2029 Notes Indenture”), between the Company and U.S. Bank National Association, as trustee (the "Trustee"). The 2029 Notes bear interest at the rate of 5.250% per annum and will mature on April 15, 2029. Interest on the 2029 Notes is payable in cash on April 15th and October 15th of each year. The first interest payment date on the 2029 Senior Notes was October 15, 2021. The 2029 Notes are general unsecured obligations of the Company and are not guaranteed by our subsidiaries. The proceeds from the sale of the 2029 Notes was used to repay debt outstanding under the 2018 Credit Facility in connection with our entry into the 2021 Credit Facility, as described above, and to redeem our 8.000% Senior Notes due 2026.</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2032 Notes and the 2029 Notes rank equal in right of payment with all of the Company’s existing and future senior unsecured indebtedness, and rank senior in right of payment to all of the Company’s future subordinated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indebtedness, if any. The 2032 Notes and the 2029 Notes will be effectively subordinated to the Company’s existing and future secured indebtedness, to the extent of the value of the assets securing such indebtedness, including the indebtedness under the Company’s credit facilities described below. The 2032 Notes Indenture and the 2029 Notes Indenture contains several restrictive covenants including, but not limited to, limitations on the following: (i) the incurrence of additional indebtedness, (ii) restricted payments, (iii) the purchase, redemption or retirement of capital stock or subordinated debt, (iv) dividends and other payments affecting restricted subsidiaries, (v) transactions with affiliates, (vi) asset sales and mergers and consolidations, (vii) future subsidiary guarantees and (viii) incurring liens, (ix) entering into sale-leaseback transactions and (x) making certain investments, subject in each case to certain exceptions.</w:t>
      </w:r>
    </w:p>
    <w:p>
      <w:pPr>
        <w:spacing w:after="0" w:line="7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The following table provides the Company’s outstanding long-term debt and effective interest rates at December 31, 2024 and December 31, 2023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2024</w:t>
            </w:r>
          </w:p>
        </w:tc>
        <w:tc>
          <w:tcPr>
            <w:tcW w:w="9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2023</w:t>
            </w:r>
          </w:p>
        </w:tc>
        <w:tc>
          <w:tcPr>
            <w:tcW w:w="1000" w:type="dxa"/>
            <w:vAlign w:val="bottom"/>
            <w:tcBorders>
              <w:bottom w:val="single" w:sz="8" w:color="auto"/>
            </w:tcBorders>
          </w:tcPr>
          <w:p>
            <w:pPr>
              <w:spacing w:after="0"/>
              <w:rPr>
                <w:sz w:val="18"/>
                <w:szCs w:val="18"/>
                <w:color w:val="auto"/>
              </w:rPr>
            </w:pPr>
          </w:p>
        </w:tc>
      </w:tr>
      <w:tr>
        <w:trPr>
          <w:trHeight w:val="194"/>
        </w:trPr>
        <w:tc>
          <w:tcPr>
            <w:tcW w:w="3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Effective Interest Rate</w:t>
            </w:r>
          </w:p>
        </w:tc>
        <w:tc>
          <w:tcPr>
            <w:tcW w:w="380" w:type="dxa"/>
            <w:vAlign w:val="bottom"/>
          </w:tcPr>
          <w:p>
            <w:pPr>
              <w:spacing w:after="0"/>
              <w:rPr>
                <w:sz w:val="16"/>
                <w:szCs w:val="16"/>
                <w:color w:val="auto"/>
              </w:rPr>
            </w:pPr>
          </w:p>
        </w:tc>
        <w:tc>
          <w:tcPr>
            <w:tcW w:w="980" w:type="dxa"/>
            <w:vAlign w:val="bottom"/>
          </w:tcPr>
          <w:p>
            <w:pPr>
              <w:jc w:val="right"/>
              <w:ind w:right="324"/>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Effective Interest Rate</w:t>
            </w:r>
          </w:p>
        </w:tc>
        <w:tc>
          <w:tcPr>
            <w:tcW w:w="400" w:type="dxa"/>
            <w:vAlign w:val="bottom"/>
          </w:tcPr>
          <w:p>
            <w:pPr>
              <w:spacing w:after="0"/>
              <w:rPr>
                <w:sz w:val="16"/>
                <w:szCs w:val="16"/>
                <w:color w:val="auto"/>
              </w:rPr>
            </w:pPr>
          </w:p>
        </w:tc>
        <w:tc>
          <w:tcPr>
            <w:tcW w:w="1000" w:type="dxa"/>
            <w:vAlign w:val="bottom"/>
          </w:tcPr>
          <w:p>
            <w:pPr>
              <w:jc w:val="right"/>
              <w:ind w:right="364"/>
              <w:spacing w:after="0"/>
              <w:rPr>
                <w:sz w:val="20"/>
                <w:szCs w:val="20"/>
                <w:color w:val="auto"/>
              </w:rPr>
            </w:pPr>
            <w:r>
              <w:rPr>
                <w:rFonts w:ascii="Arial" w:cs="Arial" w:eastAsia="Arial" w:hAnsi="Arial"/>
                <w:sz w:val="14"/>
                <w:szCs w:val="14"/>
                <w:b w:val="1"/>
                <w:bCs w:val="1"/>
                <w:color w:val="auto"/>
              </w:rPr>
              <w:t>Amount</w:t>
            </w:r>
          </w:p>
        </w:tc>
      </w:tr>
      <w:tr>
        <w:trPr>
          <w:trHeight w:val="197"/>
        </w:trPr>
        <w:tc>
          <w:tcPr>
            <w:tcW w:w="380" w:type="dxa"/>
            <w:vAlign w:val="bottom"/>
          </w:tcPr>
          <w:p>
            <w:pPr>
              <w:ind w:left="20"/>
              <w:spacing w:after="0"/>
              <w:rPr>
                <w:sz w:val="20"/>
                <w:szCs w:val="20"/>
                <w:color w:val="auto"/>
              </w:rPr>
            </w:pPr>
            <w:r>
              <w:rPr>
                <w:rFonts w:ascii="Arial" w:cs="Arial" w:eastAsia="Arial" w:hAnsi="Arial"/>
                <w:sz w:val="15"/>
                <w:szCs w:val="15"/>
                <w:color w:val="auto"/>
              </w:rPr>
              <w:t>2029</w:t>
            </w:r>
          </w:p>
        </w:tc>
        <w:tc>
          <w:tcPr>
            <w:tcW w:w="3820" w:type="dxa"/>
            <w:vAlign w:val="bottom"/>
          </w:tcPr>
          <w:p>
            <w:pPr>
              <w:ind w:left="20"/>
              <w:spacing w:after="0"/>
              <w:rPr>
                <w:sz w:val="20"/>
                <w:szCs w:val="20"/>
                <w:color w:val="auto"/>
              </w:rPr>
            </w:pPr>
            <w:r>
              <w:rPr>
                <w:rFonts w:ascii="Arial" w:cs="Arial" w:eastAsia="Arial" w:hAnsi="Arial"/>
                <w:sz w:val="15"/>
                <w:szCs w:val="15"/>
                <w:color w:val="auto"/>
              </w:rPr>
              <w:t>Senior Notes</w:t>
            </w: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8"/>
              </w:rPr>
              <w:t>5.25%</w:t>
            </w: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1,000,000</w:t>
            </w:r>
          </w:p>
        </w:tc>
        <w:tc>
          <w:tcPr>
            <w:tcW w:w="180" w:type="dxa"/>
            <w:vAlign w:val="bottom"/>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1,000,000</w:t>
            </w:r>
          </w:p>
        </w:tc>
      </w:tr>
      <w:tr>
        <w:trPr>
          <w:trHeight w:val="204"/>
        </w:trPr>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2032</w:t>
            </w:r>
          </w:p>
        </w:tc>
        <w:tc>
          <w:tcPr>
            <w:tcW w:w="3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5.00%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2140" w:type="dxa"/>
            <w:vAlign w:val="bottom"/>
            <w:gridSpan w:val="2"/>
            <w:shd w:val="clear" w:color="auto" w:fill="CCEEFF"/>
          </w:tcPr>
          <w:p>
            <w:pPr>
              <w:jc w:val="center"/>
              <w:ind w:left="104"/>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r>
      <w:tr>
        <w:trPr>
          <w:trHeight w:val="201"/>
        </w:trPr>
        <w:tc>
          <w:tcPr>
            <w:tcW w:w="380" w:type="dxa"/>
            <w:vAlign w:val="bottom"/>
          </w:tcPr>
          <w:p>
            <w:pPr>
              <w:ind w:left="20"/>
              <w:spacing w:after="0"/>
              <w:rPr>
                <w:sz w:val="20"/>
                <w:szCs w:val="20"/>
                <w:color w:val="auto"/>
              </w:rPr>
            </w:pPr>
            <w:r>
              <w:rPr>
                <w:rFonts w:ascii="Arial" w:cs="Arial" w:eastAsia="Arial" w:hAnsi="Arial"/>
                <w:sz w:val="15"/>
                <w:szCs w:val="15"/>
                <w:color w:val="auto"/>
              </w:rPr>
              <w:t>2022</w:t>
            </w:r>
          </w:p>
        </w:tc>
        <w:tc>
          <w:tcPr>
            <w:tcW w:w="3820" w:type="dxa"/>
            <w:vAlign w:val="bottom"/>
          </w:tcPr>
          <w:p>
            <w:pPr>
              <w:ind w:left="20"/>
              <w:spacing w:after="0"/>
              <w:rPr>
                <w:sz w:val="20"/>
                <w:szCs w:val="20"/>
                <w:color w:val="auto"/>
              </w:rPr>
            </w:pPr>
            <w:r>
              <w:rPr>
                <w:rFonts w:ascii="Arial" w:cs="Arial" w:eastAsia="Arial" w:hAnsi="Arial"/>
                <w:sz w:val="15"/>
                <w:szCs w:val="15"/>
                <w:color w:val="auto"/>
              </w:rPr>
              <w:t>Term Loan</w:t>
            </w:r>
          </w:p>
        </w:tc>
        <w:tc>
          <w:tcPr>
            <w:tcW w:w="1960" w:type="dxa"/>
            <w:vAlign w:val="bottom"/>
          </w:tcPr>
          <w:p>
            <w:pPr>
              <w:jc w:val="center"/>
              <w:spacing w:after="0"/>
              <w:rPr>
                <w:sz w:val="20"/>
                <w:szCs w:val="20"/>
                <w:color w:val="auto"/>
              </w:rPr>
            </w:pPr>
            <w:r>
              <w:rPr>
                <w:rFonts w:ascii="Arial" w:cs="Arial" w:eastAsia="Arial" w:hAnsi="Arial"/>
                <w:sz w:val="15"/>
                <w:szCs w:val="15"/>
                <w:color w:val="auto"/>
                <w:w w:val="98"/>
              </w:rPr>
              <w:t>7.60%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375,000</w:t>
            </w:r>
          </w:p>
        </w:tc>
        <w:tc>
          <w:tcPr>
            <w:tcW w:w="2140" w:type="dxa"/>
            <w:vAlign w:val="bottom"/>
            <w:gridSpan w:val="2"/>
          </w:tcPr>
          <w:p>
            <w:pPr>
              <w:jc w:val="center"/>
              <w:ind w:left="104"/>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385,000</w:t>
            </w:r>
          </w:p>
        </w:tc>
      </w:tr>
      <w:tr>
        <w:trPr>
          <w:trHeight w:val="204"/>
        </w:trPr>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3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Revolving Credit Facility</w:t>
            </w:r>
          </w:p>
        </w:tc>
        <w:tc>
          <w:tcPr>
            <w:tcW w:w="1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7.62%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110,000</w:t>
            </w:r>
          </w:p>
        </w:tc>
        <w:tc>
          <w:tcPr>
            <w:tcW w:w="1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Unamortized premiums and debt issuance costs</w:t>
            </w:r>
          </w:p>
        </w:tc>
        <w:tc>
          <w:tcPr>
            <w:tcW w:w="1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(10,710)</w:t>
            </w:r>
          </w:p>
        </w:tc>
        <w:tc>
          <w:tcPr>
            <w:tcW w:w="18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(13,121)</w:t>
            </w:r>
          </w:p>
        </w:tc>
      </w:tr>
      <w:tr>
        <w:trPr>
          <w:trHeight w:val="197"/>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debt</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1,774,290</w:t>
            </w:r>
          </w:p>
        </w:tc>
        <w:tc>
          <w:tcPr>
            <w:tcW w:w="1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1,671,879</w:t>
            </w:r>
          </w:p>
        </w:tc>
      </w:tr>
      <w:tr>
        <w:trPr>
          <w:trHeight w:val="201"/>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Current portion, term loan facilities</w:t>
            </w:r>
          </w:p>
        </w:tc>
        <w:tc>
          <w:tcPr>
            <w:tcW w:w="1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(15,000)</w:t>
            </w:r>
          </w:p>
        </w:tc>
        <w:tc>
          <w:tcPr>
            <w:tcW w:w="18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w:t>
            </w:r>
          </w:p>
        </w:tc>
      </w:tr>
      <w:tr>
        <w:trPr>
          <w:trHeight w:val="222"/>
        </w:trPr>
        <w:tc>
          <w:tcPr>
            <w:tcW w:w="42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5"/>
                <w:szCs w:val="15"/>
                <w:color w:val="auto"/>
              </w:rPr>
              <w:t>Long-term debt</w:t>
            </w:r>
          </w:p>
        </w:tc>
        <w:tc>
          <w:tcPr>
            <w:tcW w:w="1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1,759,290</w:t>
            </w:r>
          </w:p>
        </w:tc>
        <w:tc>
          <w:tcPr>
            <w:tcW w:w="18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1,661,879</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the Company's debt obligations are as follows (in thousands):</w:t>
      </w:r>
    </w:p>
    <w:p>
      <w:pPr>
        <w:spacing w:after="0" w:line="271" w:lineRule="exact"/>
        <w:rPr>
          <w:sz w:val="20"/>
          <w:szCs w:val="20"/>
          <w:color w:val="auto"/>
        </w:rPr>
      </w:pPr>
    </w:p>
    <w:tbl>
      <w:tblPr>
        <w:tblLayout w:type="fixed"/>
        <w:tblInd w:w="3580" w:type="dxa"/>
        <w:tblCellMar>
          <w:top w:w="0" w:type="dxa"/>
          <w:left w:w="0" w:type="dxa"/>
          <w:bottom w:w="0" w:type="dxa"/>
          <w:right w:w="0" w:type="dxa"/>
        </w:tblCellMar>
      </w:tblPr>
      <w:tr>
        <w:trPr>
          <w:trHeight w:val="203"/>
        </w:trPr>
        <w:tc>
          <w:tcPr>
            <w:tcW w:w="2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2025</w:t>
            </w:r>
          </w:p>
        </w:tc>
        <w:tc>
          <w:tcPr>
            <w:tcW w:w="58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w:t>
            </w:r>
          </w:p>
        </w:tc>
      </w:tr>
      <w:tr>
        <w:trPr>
          <w:trHeight w:val="201"/>
        </w:trPr>
        <w:tc>
          <w:tcPr>
            <w:tcW w:w="2280" w:type="dxa"/>
            <w:vAlign w:val="bottom"/>
          </w:tcPr>
          <w:p>
            <w:pPr>
              <w:jc w:val="right"/>
              <w:ind w:right="84"/>
              <w:spacing w:after="0"/>
              <w:rPr>
                <w:sz w:val="20"/>
                <w:szCs w:val="20"/>
                <w:color w:val="auto"/>
              </w:rPr>
            </w:pPr>
            <w:r>
              <w:rPr>
                <w:rFonts w:ascii="Arial" w:cs="Arial" w:eastAsia="Arial" w:hAnsi="Arial"/>
                <w:sz w:val="15"/>
                <w:szCs w:val="15"/>
                <w:color w:val="auto"/>
              </w:rPr>
              <w:t>2026</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25,000</w:t>
            </w:r>
          </w:p>
        </w:tc>
      </w:tr>
      <w:tr>
        <w:trPr>
          <w:trHeight w:val="204"/>
        </w:trPr>
        <w:tc>
          <w:tcPr>
            <w:tcW w:w="2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2027</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445,000</w:t>
            </w:r>
          </w:p>
        </w:tc>
      </w:tr>
      <w:tr>
        <w:trPr>
          <w:trHeight w:val="201"/>
        </w:trPr>
        <w:tc>
          <w:tcPr>
            <w:tcW w:w="2280" w:type="dxa"/>
            <w:vAlign w:val="bottom"/>
          </w:tcPr>
          <w:p>
            <w:pPr>
              <w:jc w:val="right"/>
              <w:ind w:right="84"/>
              <w:spacing w:after="0"/>
              <w:rPr>
                <w:sz w:val="20"/>
                <w:szCs w:val="20"/>
                <w:color w:val="auto"/>
              </w:rPr>
            </w:pPr>
            <w:r>
              <w:rPr>
                <w:rFonts w:ascii="Arial" w:cs="Arial" w:eastAsia="Arial" w:hAnsi="Arial"/>
                <w:sz w:val="15"/>
                <w:szCs w:val="15"/>
                <w:color w:val="auto"/>
              </w:rPr>
              <w:t>2028</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2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2029</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1,000,000</w:t>
            </w:r>
          </w:p>
        </w:tc>
      </w:tr>
      <w:tr>
        <w:trPr>
          <w:trHeight w:val="201"/>
        </w:trPr>
        <w:tc>
          <w:tcPr>
            <w:tcW w:w="2280" w:type="dxa"/>
            <w:vAlign w:val="bottom"/>
            <w:tcBorders>
              <w:bottom w:val="single" w:sz="8" w:color="CCEEFF"/>
            </w:tcBorders>
          </w:tcPr>
          <w:p>
            <w:pPr>
              <w:jc w:val="right"/>
              <w:ind w:right="84"/>
              <w:spacing w:after="0"/>
              <w:rPr>
                <w:sz w:val="20"/>
                <w:szCs w:val="20"/>
                <w:color w:val="auto"/>
              </w:rPr>
            </w:pPr>
            <w:r>
              <w:rPr>
                <w:rFonts w:ascii="Arial" w:cs="Arial" w:eastAsia="Arial" w:hAnsi="Arial"/>
                <w:sz w:val="15"/>
                <w:szCs w:val="15"/>
                <w:color w:val="auto"/>
              </w:rPr>
              <w:t>2030 and thereafter</w:t>
            </w: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300,000</w:t>
            </w:r>
          </w:p>
        </w:tc>
      </w:tr>
      <w:tr>
        <w:trPr>
          <w:trHeight w:val="221"/>
        </w:trPr>
        <w:tc>
          <w:tcPr>
            <w:tcW w:w="22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1,785,000</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Issuance Costs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In connection with entering into the 2022 Credit Facility, the Company recognized $2.5 million in deferred financing costs associated with the 2022 Term Loan, and $2.8 million in deferred financing costs associated with the 2022 Revolving Credit Facility. The Company recorded $5.4 million in deferred financing costs in connection with entry into the 2021 Credit Facility, $0.5 million of which was recorded as a loss on debt extinguishment upon entry into the 2022 Credit Facility.</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Since the Company can borrow, repay and reborrow principal under the 2022 Revolving Credit Facility, the debt issuance costs associated with the 2022 Revolving Credit Facility have been classified as other non-current assets in the accompanying consolidated balance sheet. The debt issuance costs associated with the 2022 Term Loan and Senior Notes are classified as a reduction of long-term debt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debt issuance costs at December 31, 2024 and December 31, 2023, and the balance sheet classification in each of the periods presents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1200" w:type="dxa"/>
        <w:tblCellMar>
          <w:top w:w="0" w:type="dxa"/>
          <w:left w:w="0" w:type="dxa"/>
          <w:bottom w:w="0" w:type="dxa"/>
          <w:right w:w="0" w:type="dxa"/>
        </w:tblCellMar>
      </w:tblPr>
      <w:tr>
        <w:trPr>
          <w:trHeight w:val="208"/>
        </w:trPr>
        <w:tc>
          <w:tcPr>
            <w:tcW w:w="52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b w:val="1"/>
                <w:bCs w:val="1"/>
                <w:color w:val="auto"/>
              </w:rPr>
              <w:t>2023</w:t>
            </w: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debt issuance costs</w:t>
            </w:r>
          </w:p>
        </w:tc>
        <w:tc>
          <w:tcPr>
            <w:tcW w:w="1120" w:type="dxa"/>
            <w:vAlign w:val="bottom"/>
            <w:shd w:val="clear" w:color="auto" w:fill="CCEEFF"/>
          </w:tcPr>
          <w:p>
            <w:pPr>
              <w:jc w:val="right"/>
              <w:ind w:right="924"/>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32,526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32,526</w:t>
            </w:r>
          </w:p>
        </w:tc>
      </w:tr>
      <w:tr>
        <w:trPr>
          <w:trHeight w:val="201"/>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amortization</w:t>
            </w:r>
          </w:p>
        </w:tc>
        <w:tc>
          <w:tcPr>
            <w:tcW w:w="1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(17,797)</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(13,779)</w:t>
            </w:r>
          </w:p>
        </w:tc>
      </w:tr>
      <w:tr>
        <w:trPr>
          <w:trHeight w:val="22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debt issuance costs, net</w:t>
            </w:r>
          </w:p>
        </w:tc>
        <w:tc>
          <w:tcPr>
            <w:tcW w:w="112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14,729</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18,747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sheet classification:</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1"/>
        </w:trPr>
        <w:tc>
          <w:tcPr>
            <w:tcW w:w="520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1120" w:type="dxa"/>
            <w:vAlign w:val="bottom"/>
          </w:tcPr>
          <w:p>
            <w:pPr>
              <w:jc w:val="right"/>
              <w:ind w:right="924"/>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4,019</w:t>
            </w:r>
          </w:p>
        </w:tc>
        <w:tc>
          <w:tcPr>
            <w:tcW w:w="100" w:type="dxa"/>
            <w:vAlign w:val="bottom"/>
          </w:tcPr>
          <w:p>
            <w:pPr>
              <w:spacing w:after="0"/>
              <w:rPr>
                <w:sz w:val="17"/>
                <w:szCs w:val="17"/>
                <w:color w:val="auto"/>
              </w:rPr>
            </w:pPr>
          </w:p>
        </w:tc>
        <w:tc>
          <w:tcPr>
            <w:tcW w:w="580" w:type="dxa"/>
            <w:vAlign w:val="bottom"/>
          </w:tcPr>
          <w:p>
            <w:pPr>
              <w:jc w:val="right"/>
              <w:ind w:right="40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5,626</w:t>
            </w: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1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10,710</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13,121</w:t>
            </w:r>
          </w:p>
        </w:tc>
      </w:tr>
      <w:tr>
        <w:trPr>
          <w:trHeight w:val="196"/>
        </w:trPr>
        <w:tc>
          <w:tcPr>
            <w:tcW w:w="5200" w:type="dxa"/>
            <w:vAlign w:val="bottom"/>
          </w:tcPr>
          <w:p>
            <w:pPr>
              <w:spacing w:after="0"/>
              <w:rPr>
                <w:sz w:val="17"/>
                <w:szCs w:val="17"/>
                <w:color w:val="auto"/>
              </w:rPr>
            </w:pPr>
          </w:p>
        </w:tc>
        <w:tc>
          <w:tcPr>
            <w:tcW w:w="1120" w:type="dxa"/>
            <w:vAlign w:val="bottom"/>
            <w:tcBorders>
              <w:bottom w:val="single" w:sz="8" w:color="auto"/>
            </w:tcBorders>
          </w:tcPr>
          <w:p>
            <w:pPr>
              <w:jc w:val="right"/>
              <w:ind w:right="924"/>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14,729</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18,747</w:t>
            </w:r>
          </w:p>
        </w:tc>
      </w:tr>
      <w:tr>
        <w:trPr>
          <w:trHeight w:val="22"/>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subject to certain customary affirmative and restrictive covenants arising under the 2022 Credit Facility. The following table reflects required and actual financial ratios as of December 31, 2024 included as part of the affirmative covenants in the 2022 Credit Facility:</w:t>
      </w:r>
    </w:p>
    <w:p>
      <w:pPr>
        <w:spacing w:after="0" w:line="85"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426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Required Covenant Ratio</w:t>
            </w:r>
          </w:p>
        </w:tc>
        <w:tc>
          <w:tcPr>
            <w:tcW w:w="3440" w:type="dxa"/>
            <w:vAlign w:val="bottom"/>
            <w:gridSpan w:val="2"/>
          </w:tcPr>
          <w:p>
            <w:pPr>
              <w:ind w:left="20"/>
              <w:spacing w:after="0"/>
              <w:rPr>
                <w:sz w:val="20"/>
                <w:szCs w:val="20"/>
                <w:color w:val="auto"/>
              </w:rPr>
            </w:pPr>
            <w:r>
              <w:rPr>
                <w:rFonts w:ascii="Arial" w:cs="Arial" w:eastAsia="Arial" w:hAnsi="Arial"/>
                <w:sz w:val="15"/>
                <w:szCs w:val="15"/>
                <w:b w:val="1"/>
                <w:bCs w:val="1"/>
                <w:color w:val="auto"/>
              </w:rPr>
              <w:t>Covenant Ratio Requirement</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rPr>
              <w:t>Actual Ratio</w:t>
            </w:r>
          </w:p>
        </w:tc>
      </w:tr>
      <w:tr>
        <w:trPr>
          <w:trHeight w:val="88"/>
        </w:trPr>
        <w:tc>
          <w:tcPr>
            <w:tcW w:w="40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1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r>
      <w:tr>
        <w:trPr>
          <w:trHeight w:val="203"/>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Fixed Charge Coverage Ratio</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Greater than or equal to 1.50: 1.00</w:t>
            </w: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2.43:1:00</w:t>
            </w:r>
          </w:p>
        </w:tc>
      </w:tr>
      <w:tr>
        <w:trPr>
          <w:trHeight w:val="201"/>
        </w:trPr>
        <w:tc>
          <w:tcPr>
            <w:tcW w:w="4260" w:type="dxa"/>
            <w:vAlign w:val="bottom"/>
            <w:gridSpan w:val="2"/>
          </w:tcPr>
          <w:p>
            <w:pPr>
              <w:ind w:left="20"/>
              <w:spacing w:after="0"/>
              <w:rPr>
                <w:sz w:val="20"/>
                <w:szCs w:val="20"/>
                <w:color w:val="auto"/>
              </w:rPr>
            </w:pPr>
            <w:r>
              <w:rPr>
                <w:rFonts w:ascii="Arial" w:cs="Arial" w:eastAsia="Arial" w:hAnsi="Arial"/>
                <w:sz w:val="15"/>
                <w:szCs w:val="15"/>
                <w:color w:val="auto"/>
              </w:rPr>
              <w:t>Total Secured Debt to EBITDA Ratio</w:t>
            </w:r>
          </w:p>
        </w:tc>
        <w:tc>
          <w:tcPr>
            <w:tcW w:w="3440" w:type="dxa"/>
            <w:vAlign w:val="bottom"/>
            <w:gridSpan w:val="2"/>
          </w:tcPr>
          <w:p>
            <w:pPr>
              <w:ind w:left="20"/>
              <w:spacing w:after="0"/>
              <w:rPr>
                <w:sz w:val="20"/>
                <w:szCs w:val="20"/>
                <w:color w:val="auto"/>
              </w:rPr>
            </w:pPr>
            <w:r>
              <w:rPr>
                <w:rFonts w:ascii="Arial" w:cs="Arial" w:eastAsia="Arial" w:hAnsi="Arial"/>
                <w:sz w:val="15"/>
                <w:szCs w:val="15"/>
                <w:color w:val="auto"/>
              </w:rPr>
              <w:t>Less than or equal to 3.50: 1.00</w:t>
            </w:r>
          </w:p>
        </w:tc>
        <w:tc>
          <w:tcPr>
            <w:tcW w:w="1220" w:type="dxa"/>
            <w:vAlign w:val="bottom"/>
          </w:tcPr>
          <w:p>
            <w:pPr>
              <w:jc w:val="center"/>
              <w:spacing w:after="0"/>
              <w:rPr>
                <w:sz w:val="20"/>
                <w:szCs w:val="20"/>
                <w:color w:val="auto"/>
              </w:rPr>
            </w:pPr>
            <w:r>
              <w:rPr>
                <w:rFonts w:ascii="Arial" w:cs="Arial" w:eastAsia="Arial" w:hAnsi="Arial"/>
                <w:sz w:val="15"/>
                <w:szCs w:val="15"/>
                <w:color w:val="auto"/>
              </w:rPr>
              <w:t>0.92:1:00</w:t>
            </w:r>
          </w:p>
        </w:tc>
      </w:tr>
      <w:tr>
        <w:trPr>
          <w:trHeight w:val="204"/>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Debt to EBITDA Ratio</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than or equal to 5.00: 1.00</w:t>
            </w: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3.58:1:00</w:t>
            </w: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exercised an option under our 2022 Credit Facility to increase our Consolidated Total Leverage Ratio to 5.75:1.00 as of December 31, 2022. This ratio declined to 5.50:1.00 on June 30, 2023, and to 5.00:1.00 on December 31, 2023.</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breach of any of these covenants will be an event of default under the 2022 Credit Facility. Upon the occurrence of an event of default under the 2022 Credit Facility, the 2022 Revolving Credit Facility may be terminated, and all outstanding loans and other obligations under the 2022 Credit Facility may become immediately due and payable and any letters of credit then outstanding may be required to be cash collateralized, and the Agent and the Lenders may exercise any rights or remedies available to them under the 2022 Credit Facility. Any such event would materially impair the Company’s ability to conduct its business. As of December 31, 2024, the Company was in compliance with all covenants as defined in the 2022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Letters of credit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2022 Credit Facility allows for letters of credit in an aggregate face amount of up to $100 million. Letters of credit outstanding at December 31, 2024 and December 31, 2023 totaled $3.5 million and $2.2 million,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components of interest expense in each of the years ended December 31, 2024, 2023 and 2022:</w:t>
      </w:r>
    </w:p>
    <w:p>
      <w:pPr>
        <w:spacing w:after="0" w:line="251" w:lineRule="exact"/>
        <w:rPr>
          <w:sz w:val="20"/>
          <w:szCs w:val="20"/>
          <w:color w:val="auto"/>
        </w:rPr>
      </w:pPr>
    </w:p>
    <w:tbl>
      <w:tblPr>
        <w:tblLayout w:type="fixed"/>
        <w:tblInd w:w="620" w:type="dxa"/>
        <w:tblCellMar>
          <w:top w:w="0" w:type="dxa"/>
          <w:left w:w="0" w:type="dxa"/>
          <w:bottom w:w="0" w:type="dxa"/>
          <w:right w:w="0" w:type="dxa"/>
        </w:tblCellMar>
      </w:tblPr>
      <w:tr>
        <w:trPr>
          <w:trHeight w:val="208"/>
        </w:trPr>
        <w:tc>
          <w:tcPr>
            <w:tcW w:w="5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224"/>
              <w:spacing w:after="0"/>
              <w:rPr>
                <w:sz w:val="20"/>
                <w:szCs w:val="20"/>
                <w:color w:val="auto"/>
              </w:rPr>
            </w:pPr>
            <w:r>
              <w:rPr>
                <w:rFonts w:ascii="Arial" w:cs="Arial" w:eastAsia="Arial" w:hAnsi="Arial"/>
                <w:sz w:val="15"/>
                <w:szCs w:val="15"/>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2022</w:t>
            </w:r>
          </w:p>
        </w:tc>
      </w:tr>
      <w:tr>
        <w:trPr>
          <w:trHeight w:val="3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on credit facilities</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38,985</w:t>
            </w:r>
          </w:p>
        </w:tc>
        <w:tc>
          <w:tcPr>
            <w:tcW w:w="520" w:type="dxa"/>
            <w:vAlign w:val="bottom"/>
            <w:gridSpan w:val="3"/>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37,269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13,842</w:t>
            </w:r>
          </w:p>
        </w:tc>
      </w:tr>
      <w:tr>
        <w:trPr>
          <w:trHeight w:val="201"/>
        </w:trPr>
        <w:tc>
          <w:tcPr>
            <w:tcW w:w="5200" w:type="dxa"/>
            <w:vAlign w:val="bottom"/>
          </w:tcPr>
          <w:p>
            <w:pPr>
              <w:ind w:left="20"/>
              <w:spacing w:after="0"/>
              <w:rPr>
                <w:sz w:val="20"/>
                <w:szCs w:val="20"/>
                <w:color w:val="auto"/>
              </w:rPr>
            </w:pPr>
            <w:r>
              <w:rPr>
                <w:rFonts w:ascii="Arial" w:cs="Arial" w:eastAsia="Arial" w:hAnsi="Arial"/>
                <w:sz w:val="15"/>
                <w:szCs w:val="15"/>
                <w:color w:val="auto"/>
              </w:rPr>
              <w:t>Interest on Senior Notes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67,500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67,500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67,500</w:t>
            </w:r>
          </w:p>
        </w:tc>
      </w:tr>
      <w:tr>
        <w:trPr>
          <w:trHeight w:val="204"/>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Unused fee on Revolving Credit Facility</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1,998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1,913</w:t>
            </w:r>
          </w:p>
        </w:tc>
      </w:tr>
      <w:tr>
        <w:trPr>
          <w:trHeight w:val="201"/>
        </w:trPr>
        <w:tc>
          <w:tcPr>
            <w:tcW w:w="5200" w:type="dxa"/>
            <w:vAlign w:val="bottom"/>
          </w:tcPr>
          <w:p>
            <w:pPr>
              <w:ind w:left="20"/>
              <w:spacing w:after="0"/>
              <w:rPr>
                <w:sz w:val="20"/>
                <w:szCs w:val="20"/>
                <w:color w:val="auto"/>
              </w:rPr>
            </w:pPr>
            <w:r>
              <w:rPr>
                <w:rFonts w:ascii="Arial" w:cs="Arial" w:eastAsia="Arial" w:hAnsi="Arial"/>
                <w:sz w:val="15"/>
                <w:szCs w:val="15"/>
                <w:color w:val="auto"/>
              </w:rPr>
              <w:t>Other interest expense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363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276</w:t>
            </w:r>
          </w:p>
        </w:tc>
      </w:tr>
      <w:tr>
        <w:trPr>
          <w:trHeight w:val="204"/>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(2,045)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w:t>
            </w:r>
          </w:p>
        </w:tc>
      </w:tr>
      <w:tr>
        <w:trPr>
          <w:trHeight w:val="196"/>
        </w:trPr>
        <w:tc>
          <w:tcPr>
            <w:tcW w:w="5200" w:type="dxa"/>
            <w:vAlign w:val="bottom"/>
          </w:tcPr>
          <w:p>
            <w:pPr>
              <w:ind w:left="340"/>
              <w:spacing w:after="0"/>
              <w:rPr>
                <w:sz w:val="20"/>
                <w:szCs w:val="20"/>
                <w:color w:val="auto"/>
              </w:rPr>
            </w:pPr>
            <w:r>
              <w:rPr>
                <w:rFonts w:ascii="Arial" w:cs="Arial" w:eastAsia="Arial" w:hAnsi="Arial"/>
                <w:sz w:val="15"/>
                <w:szCs w:val="15"/>
                <w:color w:val="auto"/>
              </w:rPr>
              <w:t>Interest expense, net</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106,683</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105,179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83,482</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Defined Benefit Plan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plan’s funded status and amounts recognized in the Company’s consolidated balance sheets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2023:</w:t>
      </w:r>
    </w:p>
    <w:p>
      <w:pPr>
        <w:spacing w:after="0" w:line="125" w:lineRule="exact"/>
        <w:rPr>
          <w:sz w:val="20"/>
          <w:szCs w:val="20"/>
          <w:color w:val="auto"/>
        </w:rPr>
      </w:pPr>
    </w:p>
    <w:p>
      <w:pPr>
        <w:ind w:left="912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22860</wp:posOffset>
            </wp:positionV>
            <wp:extent cx="20059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r>
      <w:tr>
        <w:trPr>
          <w:trHeight w:val="181"/>
        </w:trPr>
        <w:tc>
          <w:tcPr>
            <w:tcW w:w="8040" w:type="dxa"/>
            <w:vAlign w:val="bottom"/>
          </w:tcPr>
          <w:p>
            <w:pPr>
              <w:ind w:left="20"/>
              <w:spacing w:after="0"/>
              <w:rPr>
                <w:sz w:val="20"/>
                <w:szCs w:val="20"/>
                <w:color w:val="auto"/>
              </w:rPr>
            </w:pPr>
            <w:r>
              <w:rPr>
                <w:rFonts w:ascii="Arial" w:cs="Arial" w:eastAsia="Arial" w:hAnsi="Arial"/>
                <w:sz w:val="15"/>
                <w:szCs w:val="15"/>
                <w:color w:val="auto"/>
              </w:rPr>
              <w:t>Change in benefit obligation:</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4"/>
        </w:trPr>
        <w:tc>
          <w:tcPr>
            <w:tcW w:w="8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Benefit obligation, beginning of year</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13,847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10,649</w:t>
            </w:r>
          </w:p>
        </w:tc>
      </w:tr>
      <w:tr>
        <w:trPr>
          <w:trHeight w:val="201"/>
        </w:trPr>
        <w:tc>
          <w:tcPr>
            <w:tcW w:w="8040" w:type="dxa"/>
            <w:vAlign w:val="bottom"/>
          </w:tcPr>
          <w:p>
            <w:pPr>
              <w:ind w:left="360"/>
              <w:spacing w:after="0"/>
              <w:rPr>
                <w:sz w:val="20"/>
                <w:szCs w:val="20"/>
                <w:color w:val="auto"/>
              </w:rPr>
            </w:pPr>
            <w:r>
              <w:rPr>
                <w:rFonts w:ascii="Arial" w:cs="Arial" w:eastAsia="Arial" w:hAnsi="Arial"/>
                <w:sz w:val="15"/>
                <w:szCs w:val="15"/>
                <w:color w:val="auto"/>
              </w:rPr>
              <w:t>Service cost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369</w:t>
            </w:r>
          </w:p>
        </w:tc>
      </w:tr>
      <w:tr>
        <w:trPr>
          <w:trHeight w:val="204"/>
        </w:trPr>
        <w:tc>
          <w:tcPr>
            <w:tcW w:w="8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 cost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w:t>
            </w:r>
          </w:p>
        </w:tc>
      </w:tr>
      <w:tr>
        <w:trPr>
          <w:trHeight w:val="201"/>
        </w:trPr>
        <w:tc>
          <w:tcPr>
            <w:tcW w:w="8040" w:type="dxa"/>
            <w:vAlign w:val="bottom"/>
          </w:tcPr>
          <w:p>
            <w:pPr>
              <w:ind w:left="360"/>
              <w:spacing w:after="0"/>
              <w:rPr>
                <w:sz w:val="20"/>
                <w:szCs w:val="20"/>
                <w:color w:val="auto"/>
              </w:rPr>
            </w:pPr>
            <w:r>
              <w:rPr>
                <w:rFonts w:ascii="Arial" w:cs="Arial" w:eastAsia="Arial" w:hAnsi="Arial"/>
                <w:sz w:val="15"/>
                <w:szCs w:val="15"/>
                <w:color w:val="auto"/>
              </w:rPr>
              <w:t>Actuarial (gain)/loss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1,090</w:t>
            </w:r>
          </w:p>
        </w:tc>
      </w:tr>
      <w:tr>
        <w:trPr>
          <w:trHeight w:val="204"/>
        </w:trPr>
        <w:tc>
          <w:tcPr>
            <w:tcW w:w="8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Plan amendment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01"/>
        </w:trPr>
        <w:tc>
          <w:tcPr>
            <w:tcW w:w="8040" w:type="dxa"/>
            <w:vAlign w:val="bottom"/>
          </w:tcPr>
          <w:p>
            <w:pPr>
              <w:ind w:left="360"/>
              <w:spacing w:after="0"/>
              <w:rPr>
                <w:sz w:val="20"/>
                <w:szCs w:val="20"/>
                <w:color w:val="auto"/>
              </w:rPr>
            </w:pPr>
            <w:r>
              <w:rPr>
                <w:rFonts w:ascii="Arial" w:cs="Arial" w:eastAsia="Arial" w:hAnsi="Arial"/>
                <w:sz w:val="15"/>
                <w:szCs w:val="15"/>
                <w:color w:val="auto"/>
              </w:rPr>
              <w:t>Employee contributions and transfer</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444</w:t>
            </w:r>
          </w:p>
        </w:tc>
      </w:tr>
      <w:tr>
        <w:trPr>
          <w:trHeight w:val="204"/>
        </w:trPr>
        <w:tc>
          <w:tcPr>
            <w:tcW w:w="8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Benefits paid</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w:t>
            </w:r>
          </w:p>
        </w:tc>
      </w:tr>
      <w:tr>
        <w:trPr>
          <w:trHeight w:val="201"/>
        </w:trPr>
        <w:tc>
          <w:tcPr>
            <w:tcW w:w="8040" w:type="dxa"/>
            <w:vAlign w:val="bottom"/>
          </w:tcPr>
          <w:p>
            <w:pPr>
              <w:ind w:left="360"/>
              <w:spacing w:after="0"/>
              <w:rPr>
                <w:sz w:val="20"/>
                <w:szCs w:val="20"/>
                <w:color w:val="auto"/>
              </w:rPr>
            </w:pPr>
            <w:r>
              <w:rPr>
                <w:rFonts w:ascii="Arial" w:cs="Arial" w:eastAsia="Arial" w:hAnsi="Arial"/>
                <w:sz w:val="15"/>
                <w:szCs w:val="15"/>
                <w:color w:val="auto"/>
              </w:rPr>
              <w:t>Settlement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(1,139)</w:t>
            </w:r>
          </w:p>
        </w:tc>
      </w:tr>
      <w:tr>
        <w:trPr>
          <w:trHeight w:val="204"/>
        </w:trPr>
        <w:tc>
          <w:tcPr>
            <w:tcW w:w="8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Foreign currency translation</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1,207</w:t>
            </w:r>
          </w:p>
        </w:tc>
      </w:tr>
      <w:tr>
        <w:trPr>
          <w:trHeight w:val="195"/>
        </w:trPr>
        <w:tc>
          <w:tcPr>
            <w:tcW w:w="8040" w:type="dxa"/>
            <w:vAlign w:val="bottom"/>
          </w:tcPr>
          <w:p>
            <w:pPr>
              <w:ind w:left="680"/>
              <w:spacing w:after="0"/>
              <w:rPr>
                <w:sz w:val="20"/>
                <w:szCs w:val="20"/>
                <w:color w:val="auto"/>
              </w:rPr>
            </w:pPr>
            <w:r>
              <w:rPr>
                <w:rFonts w:ascii="Arial" w:cs="Arial" w:eastAsia="Arial" w:hAnsi="Arial"/>
                <w:sz w:val="15"/>
                <w:szCs w:val="15"/>
                <w:color w:val="auto"/>
              </w:rPr>
              <w:t>Benefit obligation</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14,885</w:t>
            </w:r>
          </w:p>
        </w:tc>
        <w:tc>
          <w:tcPr>
            <w:tcW w:w="120" w:type="dxa"/>
            <w:vAlign w:val="bottom"/>
          </w:tcPr>
          <w:p>
            <w:pPr>
              <w:spacing w:after="0"/>
              <w:rPr>
                <w:sz w:val="16"/>
                <w:szCs w:val="16"/>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13,847</w:t>
            </w:r>
          </w:p>
        </w:tc>
      </w:tr>
      <w:tr>
        <w:trPr>
          <w:trHeight w:val="204"/>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plan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1"/>
        </w:trPr>
        <w:tc>
          <w:tcPr>
            <w:tcW w:w="8040" w:type="dxa"/>
            <w:vAlign w:val="bottom"/>
          </w:tcPr>
          <w:p>
            <w:pPr>
              <w:ind w:left="360"/>
              <w:spacing w:after="0"/>
              <w:rPr>
                <w:sz w:val="20"/>
                <w:szCs w:val="20"/>
                <w:color w:val="auto"/>
              </w:rPr>
            </w:pPr>
            <w:r>
              <w:rPr>
                <w:rFonts w:ascii="Arial" w:cs="Arial" w:eastAsia="Arial" w:hAnsi="Arial"/>
                <w:sz w:val="15"/>
                <w:szCs w:val="15"/>
                <w:color w:val="auto"/>
              </w:rPr>
              <w:t>Fair value of assets, beginning of period</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11,426</w:t>
            </w:r>
          </w:p>
        </w:tc>
        <w:tc>
          <w:tcPr>
            <w:tcW w:w="12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9,521</w:t>
            </w:r>
          </w:p>
        </w:tc>
      </w:tr>
      <w:tr>
        <w:trPr>
          <w:trHeight w:val="204"/>
        </w:trPr>
        <w:tc>
          <w:tcPr>
            <w:tcW w:w="8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Actual return on plan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r>
      <w:tr>
        <w:trPr>
          <w:trHeight w:val="201"/>
        </w:trPr>
        <w:tc>
          <w:tcPr>
            <w:tcW w:w="8040" w:type="dxa"/>
            <w:vAlign w:val="bottom"/>
          </w:tcPr>
          <w:p>
            <w:pPr>
              <w:ind w:left="360"/>
              <w:spacing w:after="0"/>
              <w:rPr>
                <w:sz w:val="20"/>
                <w:szCs w:val="20"/>
                <w:color w:val="auto"/>
              </w:rPr>
            </w:pPr>
            <w:r>
              <w:rPr>
                <w:rFonts w:ascii="Arial" w:cs="Arial" w:eastAsia="Arial" w:hAnsi="Arial"/>
                <w:sz w:val="15"/>
                <w:szCs w:val="15"/>
                <w:color w:val="auto"/>
              </w:rPr>
              <w:t>Company contribution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599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465</w:t>
            </w:r>
          </w:p>
        </w:tc>
      </w:tr>
      <w:tr>
        <w:trPr>
          <w:trHeight w:val="204"/>
        </w:trPr>
        <w:tc>
          <w:tcPr>
            <w:tcW w:w="8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Employee contributions and transfer</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w:t>
            </w:r>
          </w:p>
        </w:tc>
      </w:tr>
      <w:tr>
        <w:trPr>
          <w:trHeight w:val="201"/>
        </w:trPr>
        <w:tc>
          <w:tcPr>
            <w:tcW w:w="8040" w:type="dxa"/>
            <w:vAlign w:val="bottom"/>
          </w:tcPr>
          <w:p>
            <w:pPr>
              <w:ind w:left="360"/>
              <w:spacing w:after="0"/>
              <w:rPr>
                <w:sz w:val="20"/>
                <w:szCs w:val="20"/>
                <w:color w:val="auto"/>
              </w:rPr>
            </w:pPr>
            <w:r>
              <w:rPr>
                <w:rFonts w:ascii="Arial" w:cs="Arial" w:eastAsia="Arial" w:hAnsi="Arial"/>
                <w:sz w:val="15"/>
                <w:szCs w:val="15"/>
                <w:color w:val="auto"/>
              </w:rPr>
              <w:t>Benefits paid</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1,037</w:t>
            </w:r>
          </w:p>
        </w:tc>
      </w:tr>
      <w:tr>
        <w:trPr>
          <w:trHeight w:val="204"/>
        </w:trPr>
        <w:tc>
          <w:tcPr>
            <w:tcW w:w="8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Settlement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(1,139)</w:t>
            </w:r>
          </w:p>
        </w:tc>
      </w:tr>
      <w:tr>
        <w:trPr>
          <w:trHeight w:val="201"/>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Foreign currency translation</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1,008</w:t>
            </w:r>
          </w:p>
        </w:tc>
      </w:tr>
      <w:tr>
        <w:trPr>
          <w:trHeight w:val="196"/>
        </w:trPr>
        <w:tc>
          <w:tcPr>
            <w:tcW w:w="80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Fair value of assets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10,738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11,426</w:t>
            </w:r>
          </w:p>
        </w:tc>
      </w:tr>
      <w:tr>
        <w:trPr>
          <w:trHeight w:val="197"/>
        </w:trPr>
        <w:tc>
          <w:tcPr>
            <w:tcW w:w="8040" w:type="dxa"/>
            <w:vAlign w:val="bottom"/>
          </w:tcPr>
          <w:p>
            <w:pPr>
              <w:ind w:left="680"/>
              <w:spacing w:after="0"/>
              <w:rPr>
                <w:sz w:val="20"/>
                <w:szCs w:val="20"/>
                <w:color w:val="auto"/>
              </w:rPr>
            </w:pPr>
            <w:r>
              <w:rPr>
                <w:rFonts w:ascii="Arial" w:cs="Arial" w:eastAsia="Arial" w:hAnsi="Arial"/>
                <w:sz w:val="15"/>
                <w:szCs w:val="15"/>
                <w:color w:val="auto"/>
              </w:rPr>
              <w:t>Funded status</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(4,147)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(2,421)</w:t>
            </w: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unfunded liability of $4.1 million and $2.4 million at December 31, 2024 and 2023, respectively, is recognized in the consolidated balance sheet within other non-current liabilities. Net periodic benefit cost consists of the following:</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208"/>
        </w:trPr>
        <w:tc>
          <w:tcPr>
            <w:tcW w:w="4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385"/>
        </w:trPr>
        <w:tc>
          <w:tcPr>
            <w:tcW w:w="44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2022</w:t>
            </w:r>
          </w:p>
        </w:tc>
      </w:tr>
      <w:tr>
        <w:trPr>
          <w:trHeight w:val="34"/>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cost</w:t>
            </w: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538</w:t>
            </w:r>
          </w:p>
        </w:tc>
        <w:tc>
          <w:tcPr>
            <w:tcW w:w="500" w:type="dxa"/>
            <w:vAlign w:val="bottom"/>
            <w:gridSpan w:val="2"/>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w:t>
            </w:r>
          </w:p>
        </w:tc>
      </w:tr>
      <w:tr>
        <w:trPr>
          <w:trHeight w:val="201"/>
        </w:trPr>
        <w:tc>
          <w:tcPr>
            <w:tcW w:w="4480" w:type="dxa"/>
            <w:vAlign w:val="bottom"/>
          </w:tcPr>
          <w:p>
            <w:pPr>
              <w:ind w:left="20"/>
              <w:spacing w:after="0"/>
              <w:rPr>
                <w:sz w:val="20"/>
                <w:szCs w:val="20"/>
                <w:color w:val="auto"/>
              </w:rPr>
            </w:pPr>
            <w:r>
              <w:rPr>
                <w:rFonts w:ascii="Arial" w:cs="Arial" w:eastAsia="Arial" w:hAnsi="Arial"/>
                <w:sz w:val="15"/>
                <w:szCs w:val="15"/>
                <w:color w:val="auto"/>
              </w:rPr>
              <w:t>Interest cost</w:t>
            </w:r>
          </w:p>
        </w:tc>
        <w:tc>
          <w:tcPr>
            <w:tcW w:w="40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243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257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04"/>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return on plan assets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r>
      <w:tr>
        <w:trPr>
          <w:trHeight w:val="201"/>
        </w:trPr>
        <w:tc>
          <w:tcPr>
            <w:tcW w:w="4480" w:type="dxa"/>
            <w:vAlign w:val="bottom"/>
          </w:tcPr>
          <w:p>
            <w:pPr>
              <w:ind w:left="20"/>
              <w:spacing w:after="0"/>
              <w:rPr>
                <w:sz w:val="20"/>
                <w:szCs w:val="20"/>
                <w:color w:val="auto"/>
              </w:rPr>
            </w:pPr>
            <w:r>
              <w:rPr>
                <w:rFonts w:ascii="Arial" w:cs="Arial" w:eastAsia="Arial" w:hAnsi="Arial"/>
                <w:sz w:val="15"/>
                <w:szCs w:val="15"/>
                <w:color w:val="auto"/>
              </w:rPr>
              <w:t>Amortization of unrecognized gain (loss)</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04"/>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settlement</w:t>
            </w: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196"/>
        </w:trPr>
        <w:tc>
          <w:tcPr>
            <w:tcW w:w="4480" w:type="dxa"/>
            <w:vAlign w:val="bottom"/>
          </w:tcPr>
          <w:p>
            <w:pPr>
              <w:ind w:left="20"/>
              <w:spacing w:after="0"/>
              <w:rPr>
                <w:sz w:val="20"/>
                <w:szCs w:val="20"/>
                <w:color w:val="auto"/>
              </w:rPr>
            </w:pPr>
            <w:r>
              <w:rPr>
                <w:rFonts w:ascii="Arial" w:cs="Arial" w:eastAsia="Arial" w:hAnsi="Arial"/>
                <w:sz w:val="15"/>
                <w:szCs w:val="15"/>
                <w:color w:val="auto"/>
              </w:rPr>
              <w:t>Net periodic benefit cost</w:t>
            </w: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582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404</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w:t>
            </w:r>
          </w:p>
        </w:tc>
      </w:tr>
      <w:tr>
        <w:trPr>
          <w:trHeight w:val="21"/>
        </w:trPr>
        <w:tc>
          <w:tcPr>
            <w:tcW w:w="4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to determine the benefit obligations and components of the net periodic benefit cost at December 31, 2024 and 2023:</w:t>
      </w:r>
    </w:p>
    <w:p>
      <w:pPr>
        <w:spacing w:after="0" w:line="143" w:lineRule="exact"/>
        <w:rPr>
          <w:sz w:val="20"/>
          <w:szCs w:val="20"/>
          <w:color w:val="auto"/>
        </w:rPr>
      </w:pPr>
    </w:p>
    <w:p>
      <w:pPr>
        <w:ind w:left="8180"/>
        <w:spacing w:after="0"/>
        <w:rPr>
          <w:sz w:val="20"/>
          <w:szCs w:val="20"/>
          <w:color w:val="auto"/>
        </w:rPr>
      </w:pPr>
      <w:r>
        <w:rPr>
          <w:rFonts w:ascii="Arial" w:cs="Arial" w:eastAsia="Arial" w:hAnsi="Arial"/>
          <w:sz w:val="15"/>
          <w:szCs w:val="15"/>
          <w:b w:val="1"/>
          <w:bCs w:val="1"/>
          <w:color w:val="auto"/>
        </w:rPr>
        <w:t>December 31,</w:t>
      </w:r>
    </w:p>
    <w:p>
      <w:pPr>
        <w:spacing w:after="0" w:line="36"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2023</w:t>
            </w:r>
          </w:p>
        </w:tc>
      </w:tr>
      <w:tr>
        <w:trPr>
          <w:trHeight w:val="34"/>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3"/>
        </w:trPr>
        <w:tc>
          <w:tcPr>
            <w:tcW w:w="7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Discount rate</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1.85 %</w:t>
            </w:r>
          </w:p>
        </w:tc>
      </w:tr>
      <w:tr>
        <w:trPr>
          <w:trHeight w:val="201"/>
        </w:trPr>
        <w:tc>
          <w:tcPr>
            <w:tcW w:w="7120" w:type="dxa"/>
            <w:vAlign w:val="bottom"/>
            <w:gridSpan w:val="2"/>
          </w:tcPr>
          <w:p>
            <w:pPr>
              <w:spacing w:after="0"/>
              <w:rPr>
                <w:sz w:val="20"/>
                <w:szCs w:val="20"/>
                <w:color w:val="auto"/>
              </w:rPr>
            </w:pPr>
            <w:r>
              <w:rPr>
                <w:rFonts w:ascii="Arial" w:cs="Arial" w:eastAsia="Arial" w:hAnsi="Arial"/>
                <w:sz w:val="15"/>
                <w:szCs w:val="15"/>
                <w:color w:val="auto"/>
              </w:rPr>
              <w:t>Expected return on plan assets</w:t>
            </w:r>
          </w:p>
        </w:tc>
        <w:tc>
          <w:tcPr>
            <w:tcW w:w="580" w:type="dxa"/>
            <w:vAlign w:val="bottom"/>
          </w:tcPr>
          <w:p>
            <w:pPr>
              <w:jc w:val="right"/>
              <w:spacing w:after="0"/>
              <w:rPr>
                <w:sz w:val="20"/>
                <w:szCs w:val="20"/>
                <w:color w:val="auto"/>
              </w:rPr>
            </w:pPr>
            <w:r>
              <w:rPr>
                <w:rFonts w:ascii="Arial" w:cs="Arial" w:eastAsia="Arial" w:hAnsi="Arial"/>
                <w:sz w:val="15"/>
                <w:szCs w:val="15"/>
                <w:color w:val="auto"/>
              </w:rPr>
              <w:t>1.05 %</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1.85 %</w:t>
            </w:r>
          </w:p>
        </w:tc>
      </w:tr>
      <w:tr>
        <w:trPr>
          <w:trHeight w:val="204"/>
        </w:trPr>
        <w:tc>
          <w:tcPr>
            <w:tcW w:w="7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Rate of compensation increase</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3.00 %</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4.00 %</w:t>
            </w: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considers the historical level of long-term returns and the current level of expected long-term returns for the plan assets, as well as the current and expected allocation of assets when developing its expected long-term rate of return on assets assumption. The assumptions used for the plan are based upon customary rates and practices for the location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Arnold expects to contribute approximately $0.6 million to the defined benefit plan in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benefit payments which are expected to be paid for the plan in each year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2840" w:type="dxa"/>
        <w:tblCellMar>
          <w:top w:w="0" w:type="dxa"/>
          <w:left w:w="0" w:type="dxa"/>
          <w:bottom w:w="0" w:type="dxa"/>
          <w:right w:w="0" w:type="dxa"/>
        </w:tblCellMar>
      </w:tblP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60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640</w:t>
            </w:r>
          </w:p>
        </w:tc>
      </w:tr>
      <w:tr>
        <w:trPr>
          <w:trHeight w:val="201"/>
        </w:trPr>
        <w:tc>
          <w:tcPr>
            <w:tcW w:w="4000" w:type="dxa"/>
            <w:vAlign w:val="bottom"/>
          </w:tcPr>
          <w:p>
            <w:pPr>
              <w:ind w:left="20"/>
              <w:spacing w:after="0"/>
              <w:rPr>
                <w:sz w:val="20"/>
                <w:szCs w:val="20"/>
                <w:color w:val="auto"/>
              </w:rPr>
            </w:pPr>
            <w:r>
              <w:rPr>
                <w:rFonts w:ascii="Arial" w:cs="Arial" w:eastAsia="Arial" w:hAnsi="Arial"/>
                <w:sz w:val="15"/>
                <w:szCs w:val="15"/>
                <w:color w:val="auto"/>
              </w:rPr>
              <w:t>2026</w:t>
            </w:r>
          </w:p>
        </w:tc>
        <w:tc>
          <w:tcPr>
            <w:tcW w:w="6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793</w:t>
            </w:r>
          </w:p>
        </w:tc>
      </w:tr>
      <w:tr>
        <w:trPr>
          <w:trHeight w:val="204"/>
        </w:trPr>
        <w:tc>
          <w:tcPr>
            <w:tcW w:w="4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850</w:t>
            </w:r>
          </w:p>
        </w:tc>
      </w:tr>
      <w:tr>
        <w:trPr>
          <w:trHeight w:val="201"/>
        </w:trPr>
        <w:tc>
          <w:tcPr>
            <w:tcW w:w="4000" w:type="dxa"/>
            <w:vAlign w:val="bottom"/>
          </w:tcPr>
          <w:p>
            <w:pPr>
              <w:ind w:left="20"/>
              <w:spacing w:after="0"/>
              <w:rPr>
                <w:sz w:val="20"/>
                <w:szCs w:val="20"/>
                <w:color w:val="auto"/>
              </w:rPr>
            </w:pPr>
            <w:r>
              <w:rPr>
                <w:rFonts w:ascii="Arial" w:cs="Arial" w:eastAsia="Arial" w:hAnsi="Arial"/>
                <w:sz w:val="15"/>
                <w:szCs w:val="15"/>
                <w:color w:val="auto"/>
              </w:rPr>
              <w:t>2028</w:t>
            </w:r>
          </w:p>
        </w:tc>
        <w:tc>
          <w:tcPr>
            <w:tcW w:w="6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964</w:t>
            </w:r>
          </w:p>
        </w:tc>
      </w:tr>
      <w:tr>
        <w:trPr>
          <w:trHeight w:val="204"/>
        </w:trPr>
        <w:tc>
          <w:tcPr>
            <w:tcW w:w="4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2029</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607</w:t>
            </w:r>
          </w:p>
        </w:tc>
      </w:tr>
      <w:tr>
        <w:trPr>
          <w:trHeight w:val="201"/>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4,363</w:t>
            </w:r>
          </w:p>
        </w:tc>
      </w:tr>
      <w:tr>
        <w:trPr>
          <w:trHeight w:val="221"/>
        </w:trPr>
        <w:tc>
          <w:tcPr>
            <w:tcW w:w="40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8,217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Asset management objectives include maintaining an adequate level of diversification to reduce interest rate and market risk and providing adequate liquidity to meet immediate and future benefit payment requirements.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assets of the plan are reinsured in their entirety with Swiss Life Ltd. (“Swiss Life”) within the framework of the corresponding contracts with Swiss Life Collective BVG Foundation and Swiss Life Complementary Foundation. The assets are guaranteed by the insurance company and pooled with the assets of other participating employers.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pension plan assets by category in Swiss Life’s group life portfolio is as follows at December 31, 2024:</w:t>
      </w:r>
    </w:p>
    <w:p>
      <w:pPr>
        <w:spacing w:after="0" w:line="257" w:lineRule="exact"/>
        <w:rPr>
          <w:sz w:val="20"/>
          <w:szCs w:val="20"/>
          <w:color w:val="auto"/>
        </w:rPr>
      </w:pPr>
    </w:p>
    <w:tbl>
      <w:tblPr>
        <w:tblLayout w:type="fixed"/>
        <w:tblInd w:w="2240" w:type="dxa"/>
        <w:tblCellMar>
          <w:top w:w="0" w:type="dxa"/>
          <w:left w:w="0" w:type="dxa"/>
          <w:bottom w:w="0" w:type="dxa"/>
          <w:right w:w="0" w:type="dxa"/>
        </w:tblCellMar>
      </w:tblPr>
      <w:tr>
        <w:trPr>
          <w:trHeight w:val="203"/>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Fixed income bonds and securities</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59 %</w:t>
            </w:r>
          </w:p>
        </w:tc>
      </w:tr>
      <w:tr>
        <w:trPr>
          <w:trHeight w:val="201"/>
        </w:trPr>
        <w:tc>
          <w:tcPr>
            <w:tcW w:w="5120" w:type="dxa"/>
            <w:vAlign w:val="bottom"/>
          </w:tcPr>
          <w:p>
            <w:pPr>
              <w:ind w:left="20"/>
              <w:spacing w:after="0"/>
              <w:rPr>
                <w:sz w:val="20"/>
                <w:szCs w:val="20"/>
                <w:color w:val="auto"/>
              </w:rPr>
            </w:pPr>
            <w:r>
              <w:rPr>
                <w:rFonts w:ascii="Arial" w:cs="Arial" w:eastAsia="Arial" w:hAnsi="Arial"/>
                <w:sz w:val="15"/>
                <w:szCs w:val="15"/>
                <w:color w:val="auto"/>
              </w:rPr>
              <w:t>Real estate</w:t>
            </w:r>
          </w:p>
        </w:tc>
        <w:tc>
          <w:tcPr>
            <w:tcW w:w="1660" w:type="dxa"/>
            <w:vAlign w:val="bottom"/>
          </w:tcPr>
          <w:p>
            <w:pPr>
              <w:jc w:val="right"/>
              <w:spacing w:after="0"/>
              <w:rPr>
                <w:sz w:val="20"/>
                <w:szCs w:val="20"/>
                <w:color w:val="auto"/>
              </w:rPr>
            </w:pPr>
            <w:r>
              <w:rPr>
                <w:rFonts w:ascii="Arial" w:cs="Arial" w:eastAsia="Arial" w:hAnsi="Arial"/>
                <w:sz w:val="15"/>
                <w:szCs w:val="15"/>
                <w:color w:val="auto"/>
              </w:rPr>
              <w:t>25 %</w:t>
            </w:r>
          </w:p>
        </w:tc>
      </w:tr>
      <w:tr>
        <w:trPr>
          <w:trHeight w:val="204"/>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Equities and investment funds</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15 %</w:t>
            </w:r>
          </w:p>
        </w:tc>
      </w:tr>
      <w:tr>
        <w:trPr>
          <w:trHeight w:val="201"/>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investments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1 %</w:t>
            </w:r>
          </w:p>
        </w:tc>
      </w:tr>
      <w:tr>
        <w:trPr>
          <w:trHeight w:val="221"/>
        </w:trPr>
        <w:tc>
          <w:tcPr>
            <w:tcW w:w="51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December 31, 2024 and 2023 were considered Level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Trust is authorized to issue 500,000,000 Trust common shares and the LLC is authorized to issue a corresponding number of LLC interests. The Company will, at all times, have the identical number of LLC interests outstanding as Trust shares. Each Trust share represents an undivided beneficial interest in the Trust, and each Trust share is entitled to one vote per share on any matter with respect to which members of the LLC are entitled to vote.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December 15, 2023, the Company completed the sale of 3,550,000 common shares in a private placement to</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Allspring Special Small Cap Value Fund for consideration per share equal to $21.18 per share, or an aggregate sale price of approximately $75.2 million. In connection with the issuance of the shares, we paid a commission equal to 1% of the aggregate sales price, or approximately $0.8 million. The sale of the common shares was made pursuant to a subscription agreement pursuant to which the buyer agreed not to dispose of the common shares for a period of six months following the date of the private placement.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 - common shares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5, 2024, the Company refreshed its at-the-market program for the common shares of the Trust, which was initially established on September 7, 2021, by filing a prospectus supplement pursuant to which the Company may, but has no obligation to, issue and sell up to $500 million common shares of the Trust in amounts and at times to be determined by the Company. Actual sales will depend on a variety of factors to be determined by us from time to time, including, market conditions, the trading price of Trust common shares and determinations by us regarding appropriate sources of funding.</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refreshing the program, the Company entered into an Amended and Restated At Market Issuance Sales Agreement (the “Amended Common Sales Agreement”) with B. Riley Securities, Inc. ("B. Riley Securities"), Goldman Sachs &amp; Co. LLC ("Goldman") and TD Securities (USA) LLC (each a “Common Sales Agent” and, collectively, the “Common Sales Agents”). The Amended Common Sales Agreement provides that the Company may offer and sell Trust common shares from time to time through or to the Common Sales Agents, as sales agent or principal, up to $500 million, in amounts and at times to be determined by the Company. Pursuant to the Amended Common Sales Agreement, the shares may be offered and sold through each Common Sales Agent, acting separately,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The Amended Common Sales Agreement amended and restated in its entirety the At Market Issuance Sales Agreement (collectively with the Amended Common Sales Agreement, the “Common Sales Agreement”), dated September 7, 2021, between the Company, B. Riley Securities and Goldman, which provided for the offer and sale of Trust common shares up to $500 million under the terms substantially same as those under the Amended Common Sales Agreement.</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2024, the Company sold 381,957 Trust common shares under the Sales Agreement. For the same period, the Company received total net proceeds of approximately $8.4 million from these sales, and incurred approximately $0.1 million in commissions payable to the Sales Agents.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year ended December 31, 2023, there were no sales of Trust common shares under the Sales Agreement as the at-the-market program is not active when the share repurchase program is active.</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2022, the Company sold 3,464,844 Trust common shares under the Sales Agreement. For the same period, the Company received total net proceeds of approximately $84.0 million from these sales, and incurred approximately $1.5 million in commissions payable to the Sales Agents.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incurred $0.6 million in total expenses related to the ATM program during the year ended December 31, 2024 and $0.2 million during both the years ended December 31, 2023 and 2022,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15, 2024, the Board approved a share repurchase program authorizing the Company to repurchase, through December 31, 2024, subject to extension by the Board, up to $100 million of its outstanding common shares. The Company repurchased 416,320 shares for approximately $9.7 million during the year ended December 31, 2024. The share repurchase program expired on December 31, 2024.</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January 2023, the Board approved a share repurchase program authorizing the Company to repurchase, through December 31, 2023, up to $50 million of its outstanding common shares. The Company repurchased 482,400 shares for approximately $9.2 million during the year ended December 31, 2023. The share repurchase program expired on December 31,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Interests.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 - preferred shares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5, 2024, the Company refreshed its at-the-market program for certain preferred shares of the Trust, which was initially established in the first quarter of 2024, by filing a prospectus supplement pursuant to which the Company may, but has no obligation to, issue and sell up to $200 million of the Trust’s 7.250% Series A Preferred Shares (the “Series A Preferred Shares”), 7.875% Series B Preferred Shares (the “Series B Preferred Shares”), and 7.875% Series C Preferred Shares (the “Series C Preferred Shares” and together with the Series A Preferred Shares, the Series B Preferred Shares, and the Series C Preferred Shares, the “Preferred Shares”), each representing beneficial interests in the Trust. The at-the-market program for preferred shares of the Trust was initially established on March 20, 2024 and allowed for the issuance and sale of up to $100 million of the Trust’s preferred shares.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refreshing the program, the Company entered into an Amended and Restated At Market Issuance Sales Agreement (the “Amended Preferred Sales Agreement”) with B. Riley Securities, Inc. (the “Preferred Sales Agent”). The Amended Preferred Sales Agreement provides that the Company may offer and sell Trust preferred shares from time to time through or to the Preferred Sales Agent, as sales agent or principal, up to $200 million, in amounts and at times to be determined by the Company. Pursuant to the Amended Preferred Sales Agreement, the shares may be offered and sold through the Preferred Sales Agent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The Amended Preferred Sales Agreement amended and restated in its entirety the At Market Issuance Sales Agreement (collectively with the Amended Preferred Sales Agreement, the “Preferred Sales Agreement”), dated March 20, 2024, between the Company and B. Riley Securities, which provided for the offer and sale of Trust preferred shares up to $100 million under the terms substantially same as those under the Amended Preferred Sales Agreement.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table reflects the activity in the preferred share ATM program during the year ended December 31, 2024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share data)</w:t>
      </w:r>
      <w:r>
        <w:rPr>
          <w:rFonts w:ascii="Arial" w:cs="Arial" w:eastAsia="Arial" w:hAnsi="Arial"/>
          <w:sz w:val="18"/>
          <w:szCs w:val="18"/>
          <w:color w:val="auto"/>
        </w:rPr>
        <w:t>:</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208"/>
        </w:trPr>
        <w:tc>
          <w:tcPr>
            <w:tcW w:w="5780" w:type="dxa"/>
            <w:vAlign w:val="bottom"/>
          </w:tcPr>
          <w:p>
            <w:pPr>
              <w:spacing w:after="0"/>
              <w:rPr>
                <w:sz w:val="18"/>
                <w:szCs w:val="18"/>
                <w:color w:val="auto"/>
              </w:rPr>
            </w:pPr>
          </w:p>
        </w:tc>
        <w:tc>
          <w:tcPr>
            <w:tcW w:w="4180" w:type="dxa"/>
            <w:vAlign w:val="bottom"/>
            <w:tcBorders>
              <w:bottom w:val="single" w:sz="8" w:color="auto"/>
            </w:tcBorders>
            <w:gridSpan w:val="6"/>
          </w:tcPr>
          <w:p>
            <w:pPr>
              <w:jc w:val="center"/>
              <w:ind w:left="604"/>
              <w:spacing w:after="0"/>
              <w:rPr>
                <w:sz w:val="20"/>
                <w:szCs w:val="20"/>
                <w:color w:val="auto"/>
              </w:rPr>
            </w:pPr>
            <w:r>
              <w:rPr>
                <w:rFonts w:ascii="Arial" w:cs="Arial" w:eastAsia="Arial" w:hAnsi="Arial"/>
                <w:sz w:val="15"/>
                <w:szCs w:val="15"/>
                <w:b w:val="1"/>
                <w:bCs w:val="1"/>
                <w:color w:val="auto"/>
              </w:rPr>
              <w:t>Twelve Months Ended December 31, 2024</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640" w:type="dxa"/>
            <w:vAlign w:val="bottom"/>
            <w:gridSpan w:val="2"/>
          </w:tcPr>
          <w:p>
            <w:pPr>
              <w:jc w:val="center"/>
              <w:ind w:right="80"/>
              <w:spacing w:after="0" w:line="142" w:lineRule="exact"/>
              <w:rPr>
                <w:sz w:val="20"/>
                <w:szCs w:val="20"/>
                <w:color w:val="auto"/>
              </w:rPr>
            </w:pPr>
            <w:r>
              <w:rPr>
                <w:rFonts w:ascii="Arial" w:cs="Arial" w:eastAsia="Arial" w:hAnsi="Arial"/>
                <w:sz w:val="15"/>
                <w:szCs w:val="15"/>
                <w:b w:val="1"/>
                <w:bCs w:val="1"/>
                <w:color w:val="auto"/>
              </w:rPr>
              <w:t>Number of Shares</w:t>
            </w:r>
          </w:p>
        </w:tc>
        <w:tc>
          <w:tcPr>
            <w:tcW w:w="200" w:type="dxa"/>
            <w:vAlign w:val="bottom"/>
          </w:tcPr>
          <w:p>
            <w:pPr>
              <w:spacing w:after="0"/>
              <w:rPr>
                <w:sz w:val="12"/>
                <w:szCs w:val="12"/>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rPr>
              <w:t>Net Proceeds</w:t>
            </w:r>
          </w:p>
        </w:tc>
        <w:tc>
          <w:tcPr>
            <w:tcW w:w="156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Commissions Paid</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Sold</w:t>
            </w:r>
          </w:p>
        </w:tc>
        <w:tc>
          <w:tcPr>
            <w:tcW w:w="2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Series A Preferred Shares</w:t>
            </w: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550,736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12,832</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264</w:t>
            </w:r>
          </w:p>
        </w:tc>
        <w:tc>
          <w:tcPr>
            <w:tcW w:w="0" w:type="dxa"/>
            <w:vAlign w:val="bottom"/>
          </w:tcPr>
          <w:p>
            <w:pPr>
              <w:spacing w:after="0"/>
              <w:rPr>
                <w:sz w:val="1"/>
                <w:szCs w:val="1"/>
                <w:color w:val="auto"/>
              </w:rPr>
            </w:pPr>
          </w:p>
        </w:tc>
      </w:tr>
      <w:tr>
        <w:trPr>
          <w:trHeight w:val="201"/>
        </w:trPr>
        <w:tc>
          <w:tcPr>
            <w:tcW w:w="5780" w:type="dxa"/>
            <w:vAlign w:val="bottom"/>
          </w:tcPr>
          <w:p>
            <w:pPr>
              <w:ind w:left="20"/>
              <w:spacing w:after="0"/>
              <w:rPr>
                <w:sz w:val="20"/>
                <w:szCs w:val="20"/>
                <w:color w:val="auto"/>
              </w:rPr>
            </w:pPr>
            <w:r>
              <w:rPr>
                <w:rFonts w:ascii="Arial" w:cs="Arial" w:eastAsia="Arial" w:hAnsi="Arial"/>
                <w:sz w:val="15"/>
                <w:szCs w:val="15"/>
                <w:color w:val="auto"/>
              </w:rPr>
              <w:t>Series B Preferred Shares</w:t>
            </w:r>
          </w:p>
        </w:tc>
        <w:tc>
          <w:tcPr>
            <w:tcW w:w="1560" w:type="dxa"/>
            <w:vAlign w:val="bottom"/>
          </w:tcPr>
          <w:p>
            <w:pPr>
              <w:jc w:val="right"/>
              <w:ind w:right="4"/>
              <w:spacing w:after="0"/>
              <w:rPr>
                <w:sz w:val="20"/>
                <w:szCs w:val="20"/>
                <w:color w:val="auto"/>
              </w:rPr>
            </w:pPr>
            <w:r>
              <w:rPr>
                <w:rFonts w:ascii="Arial" w:cs="Arial" w:eastAsia="Arial" w:hAnsi="Arial"/>
                <w:sz w:val="15"/>
                <w:szCs w:val="15"/>
                <w:color w:val="auto"/>
              </w:rPr>
              <w:t>2,192,267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51,481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1,062</w:t>
            </w:r>
          </w:p>
        </w:tc>
        <w:tc>
          <w:tcPr>
            <w:tcW w:w="0" w:type="dxa"/>
            <w:vAlign w:val="bottom"/>
          </w:tcPr>
          <w:p>
            <w:pPr>
              <w:spacing w:after="0"/>
              <w:rPr>
                <w:sz w:val="1"/>
                <w:szCs w:val="1"/>
                <w:color w:val="auto"/>
              </w:rPr>
            </w:pPr>
          </w:p>
        </w:tc>
      </w:tr>
      <w:tr>
        <w:trPr>
          <w:trHeight w:val="204"/>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Shares</w:t>
            </w: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2,154,081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50,821</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1,074</w:t>
            </w:r>
          </w:p>
        </w:tc>
        <w:tc>
          <w:tcPr>
            <w:tcW w:w="0" w:type="dxa"/>
            <w:vAlign w:val="bottom"/>
          </w:tcPr>
          <w:p>
            <w:pPr>
              <w:spacing w:after="0"/>
              <w:rPr>
                <w:sz w:val="1"/>
                <w:szCs w:val="1"/>
                <w:color w:val="auto"/>
              </w:rPr>
            </w:pPr>
          </w:p>
        </w:tc>
      </w:tr>
      <w:tr>
        <w:trPr>
          <w:trHeight w:val="195"/>
        </w:trPr>
        <w:tc>
          <w:tcPr>
            <w:tcW w:w="5780" w:type="dxa"/>
            <w:vAlign w:val="bottom"/>
          </w:tcPr>
          <w:p>
            <w:pPr>
              <w:ind w:left="220"/>
              <w:spacing w:after="0"/>
              <w:rPr>
                <w:sz w:val="20"/>
                <w:szCs w:val="20"/>
                <w:color w:val="auto"/>
              </w:rPr>
            </w:pPr>
            <w:r>
              <w:rPr>
                <w:rFonts w:ascii="Arial" w:cs="Arial" w:eastAsia="Arial" w:hAnsi="Arial"/>
                <w:sz w:val="15"/>
                <w:szCs w:val="15"/>
                <w:color w:val="auto"/>
              </w:rPr>
              <w:t>Total</w:t>
            </w: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4,897,084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115,134</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2,400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incurred approximately $0.3 million in total costs related to the preferred share ATM program during the year ended December 31,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Shares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20, 2019, the Trust issued 4,000,000 7.875% Series C Preferred Shares (the "Series C Preferred Shares") 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 million net of underwriters' discount and issuance costs. Distributions on the Series C Preferred Shares will be payable quarterly in arrears, when and as declared by the Board on January 30, April 30, July 30, and October 30 of each year, beginning on January 30, 2020, at a rate per annum of 7.875%. Distributions on the Series C Preferred Shares are cumulative and at December 31, 2024, $1.5 million of Series C distributions are accumulated and unpaid. Unless full cumulative distributions on the Series C Preferred Shares have been or contemporaneously are declared and set apart for payment of the Series C Preferred Shares for all past distribution periods, no distribution may be declared or paid for payment on the Trust common shares. The Series C Preferred Shares are not convertible into Trust common shares and have no voting rights, except in limited circumstances as provided for in the share designation for the Series C Preferred Shares. The Series C Preferred Shares may be redeemed at the Company's option, in whole or in part, at any time after January 30, 2025, at a price of $ 25.00 per share, plus any accumulated and unpaid distributions (thereon whether authorized or declared) to, but excluding, the redemption date. Holders of Series C Preferred Shares will have no right to require the redemption of the Series C Preferred Shares and there is no maturity date.</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certain tax redemption event occurs prior to January 30, 2025, the Series C Preferred Shares may be redeemed at the Company's option, in whole but not in part, upon at least 30 days’ notice, within 60 days of the occurrence of such tax redemption event, at a price of $25.25 per share, plus accumulated and unpaid distributions to, but excluding, the redemption date. If a certain fundamental change related to the Series C Preferred Shares or the Company occurs (whether before, on or after January 30, 2025), the Company will be required to repurchase the Series C Preferred Shares at a price of $25.25 per share, plus accumulated and unpaid distributions to, but excluding, the date of purchase. If (i) a fundamental change occurs and (ii) the Company does not give notice prior to the 31st day following the fundamental change to repurchase all the outstanding Series C Preferred Shares, the distribution rate per annum on the Series C Preferred Shares will increase by 5.00%, beginning on the 31st day following such fundamental change. Notwithstanding any requirement that the Company repurchase all of the outstanding Series C Preferred Shares, the increase in the distribution rate is the sole remedy to holders in the event the Company fails to do so, and following any such increase, the Company will be under no obligation to repurchase any Series C Preferred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Shares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13, 2018, the Trust issued 4,000,000 7.875% Series B Preferred Shares (the "Series B Preferred Shares") with a liquidation preference of $ 25.00 per share, for gross proceeds of $100.0 million, or $96.5 million net of underwriters' discount and issuance costs. Distributions on the Series B Preferred Shares are payable quarterly in arrears, when and as declared by the Board on January 30, April 30, July 30, and October 30 of each year, beginning on July 30, 2018, at a rate per annum of 7.875%. Holders of the Series B Preferred Shares are entitled to receive cumulative cash distributions (i) from and including the date of issuance to, but excluding, April 30, 2028 at a rate equal to 7.875% per annum and (ii) from and including April 30, 2028, at a floating</w:t>
      </w:r>
    </w:p>
    <w:p>
      <w:pPr>
        <w:spacing w:after="0" w:line="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rate equal to the then applicable three-month LIBOR (or a successor rate) plus a spread of 4.985% per annum. Subsequent to April 30, 2028, the distribution rate will be reset quarterly. At December 31, 2024, $1.3 million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Series B distributions are accumulated and unpaid.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Series B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certain tax redemption event occurs prior to April 30, 2028, the Series B Preferred Shares may be redeemed at the Company's option, in whole but not in part, upon at least 30 days’ notice, within 60 days of the occurrence of such tax redemption event, at a price of $25.25 per share, plus accumulated and unpaid distributions to, but excluding, the redemption date. If a certain fundamental change related to the Series B Preferred Shares or the Company occurs (whether before, on or after April 30, 2028), the Company will be required to repurchase the Series B Preferred Shares at a price of $25.25 per share, plus accumulated and unpaid distributions to, but excluding, the date of purchase. If (i) a fundamental change occurs and (ii) the Company does not give notice prior to the 31st day following the fundamental change to repurchase all the outstanding Series B Preferred Shares, the distribution rate per annum on the Series B Preferred Shares will increase by 5.00%, beginning on the 31st day following such fundamental change. Notwithstanding any requirement that the Company repurchase all of the outstanding Series B Preferred Shares, the increase in the distribution rate is the sole remedy to holders in the event the Company fails to do so, and following any such increase, the Company will be under no obligation to repurchase any Series B Preferred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28, 2017, the Trust issued 4,000,000 7.250% Series A Preferred Shares (the "Series A Preferred Shares") with a liquidation preference of $25.00 per share, for gross proceeds of $100.0 million, or $96.4 million net of underwriters' discount and issuance costs. When, and if declared by the Board,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does not declare the distribution before the scheduled record of date for the period, whether or not distributions are paid for any subsequent distribution periods with respect to the Series A Preferred Shares, or the Trust common shares. If the Board does not declare a distribution for the Series A Preferred Shares for a quarterly distribution period, during the remainder of that quarterly distribution period the Company cannot declare or pay distributions on the Trust common shares. The Series A Preferred Shares are not convertible into Trust common shares and have no voting rights, except in limited circumstances as provided for in the share designation for the Series A Preferred Shares.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Series A Preferred Shares may be redeemed at the Company's option, in whole or in part, at any time after July 30, 2022, at a price of $25.00 per share, plus declared and unpaid distribution to, but excluding, the redemption date, without payment of any undeclared distributions. Holders of Series A Preferred Shares will have no right to require the redemption of the Series A Preferred Shares and there is no maturity date.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certain tax redemption event occurs prior to July 30, 2022, the Series A Preferred Shares may be redeemed at the Company's option, in whole but not in part, upon at least 30 days’ notice, within 60 days of the occurrence of such tax redemption event, at a price of $25.25 per share, plus declared and unpaid distributions to, but excluding, the redemption date, without payment of any undeclared distributions. If a certain fundamental change related to the Series A Preferred Shares or the Company occurs (whether before, on or after July 30, 2022), the Company will be required to repurchase the Series A Preferred Shares at a price of $25.25 per share, plus declared and unpaid distributions to, but excluding, the date of purchase, without payment of any undeclared distributions. If (i) a fundamental change occurs and (ii) the Company does not give notice prior to the 31st day following the fundamental change to repurchase all the outstanding Series A Preferred Shares, the distribution rate per annum on the Series A Preferred Shares will increase by 5.00%, beginning on the 31st day following such fundamental change. Notwithstanding any requirement that the Company repurchase all of the outstanding Series A Preferred Shares, the increase in the distribution rate is the sole remedy to holders in the event the Company fails to do so, and following any such increase, the Company will be under no obligation to repurchase any Series A Preferred Shares.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Interests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the Allocation Interests (“Holders”), through Sostratus LLC, are entitled to receive distributions pursuant to a profit allocation formula upon the occurrence of certain events. The distributions of the profit allocation is paid upon the occurrence of the sale of a material amount of capital stock or assets of one of the Company’s businesses (“Sale Event”) or, at the option of the Holders, at each five year anniversary date of the acquisition of one of the Company’s businesses (“Holding Event”). The Company records distributions of the profit allocation to the Holders upon occurrence of a Sale Event or Holding Event as dividends declared on Allocation Interests to stockholders’ equity when they are approved by the Board.</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is a summary of the profit allocation payments made to the Holders of the Allocation Interest for Sale Events and Holding Events during the years ended December 31, 2024 and 2023. There were no profit allocation payments during the year ended December 31,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2024</w:t>
      </w:r>
    </w:p>
    <w:p>
      <w:pPr>
        <w:spacing w:after="0" w:line="117" w:lineRule="exact"/>
        <w:rPr>
          <w:sz w:val="20"/>
          <w:szCs w:val="20"/>
          <w:color w:val="auto"/>
        </w:rPr>
      </w:pPr>
    </w:p>
    <w:p>
      <w:pPr>
        <w:jc w:val="both"/>
        <w:ind w:left="660" w:hanging="328"/>
        <w:spacing w:after="0" w:line="268"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sale of Ergobaby in December 2024 represented a Sale Event, however the calculation of the profit allocation payment resulted in a negative amount therefore no profit allocation payment was due to the Holders. The negative amount will offset future profit allocation payments due to the Holders.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sale of Marucci in November 2023 represented a Sale Event and the Board approved a distribution of $48.9 million in the first quarter of 2024 (refer to </w:t>
      </w:r>
      <w:r>
        <w:rPr>
          <w:rFonts w:ascii="Arial" w:cs="Arial" w:eastAsia="Arial" w:hAnsi="Arial"/>
          <w:sz w:val="18"/>
          <w:szCs w:val="18"/>
          <w:u w:val="single" w:color="auto"/>
          <w:color w:val="0000FF"/>
        </w:rPr>
        <w:t>Note D - "Dispositions"</w:t>
      </w:r>
      <w:r>
        <w:rPr>
          <w:rFonts w:ascii="Arial" w:cs="Arial" w:eastAsia="Arial" w:hAnsi="Arial"/>
          <w:sz w:val="18"/>
          <w:szCs w:val="18"/>
          <w:color w:val="auto"/>
        </w:rPr>
        <w:t>). This distribution was paid to the Holders of the Allocation Interests in the first quarter of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2023</w:t>
      </w:r>
    </w:p>
    <w:p>
      <w:pPr>
        <w:spacing w:after="0" w:line="117" w:lineRule="exact"/>
        <w:rPr>
          <w:sz w:val="20"/>
          <w:szCs w:val="20"/>
          <w:color w:val="auto"/>
        </w:rPr>
      </w:pPr>
    </w:p>
    <w:p>
      <w:pPr>
        <w:ind w:left="660" w:hanging="328"/>
        <w:spacing w:after="0" w:line="28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sale of Advanced Circuits in February 2023 represented a Sale Event and the Board approved a distribution of $24.4 million paid to the Holders of the Allocation Interests in the second quarter of 2023 (refer to </w:t>
      </w:r>
      <w:r>
        <w:rPr>
          <w:rFonts w:ascii="Arial" w:cs="Arial" w:eastAsia="Arial" w:hAnsi="Arial"/>
          <w:sz w:val="18"/>
          <w:szCs w:val="18"/>
          <w:u w:val="single" w:color="auto"/>
          <w:color w:val="0000FF"/>
        </w:rPr>
        <w:t>Note D - "Dispositions"</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Board approved a distribution of $2.1 million paid to the Holders of the Allocation Interests related to various sale proceeds received related to previous Sale Events. These distributions were in the second quarter of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reconciles net income from continuing operations attributable to Holdings to net income (loss) from continuing operations attributable to the common shares of Holdings:</w:t>
      </w:r>
    </w:p>
    <w:p>
      <w:pPr>
        <w:spacing w:after="0" w:line="85" w:lineRule="exact"/>
        <w:rPr>
          <w:sz w:val="20"/>
          <w:szCs w:val="20"/>
          <w:color w:val="auto"/>
        </w:rPr>
      </w:pPr>
    </w:p>
    <w:tbl>
      <w:tblPr>
        <w:tblLayout w:type="fixed"/>
        <w:tblInd w:w="500" w:type="dxa"/>
        <w:tblCellMar>
          <w:top w:w="0" w:type="dxa"/>
          <w:left w:w="0" w:type="dxa"/>
          <w:bottom w:w="0" w:type="dxa"/>
          <w:right w:w="0" w:type="dxa"/>
        </w:tblCellMar>
      </w:tblPr>
      <w:tr>
        <w:trPr>
          <w:trHeight w:val="208"/>
        </w:trPr>
        <w:tc>
          <w:tcPr>
            <w:tcW w:w="5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64"/>
              <w:spacing w:after="0"/>
              <w:rPr>
                <w:sz w:val="20"/>
                <w:szCs w:val="20"/>
                <w:color w:val="auto"/>
              </w:rPr>
            </w:pPr>
            <w:r>
              <w:rPr>
                <w:rFonts w:ascii="Arial" w:cs="Arial" w:eastAsia="Arial" w:hAnsi="Arial"/>
                <w:sz w:val="15"/>
                <w:szCs w:val="15"/>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77"/>
        </w:trPr>
        <w:tc>
          <w:tcPr>
            <w:tcW w:w="578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w:t>
            </w:r>
            <w:r>
              <w:rPr>
                <w:rFonts w:ascii="Arial" w:cs="Arial" w:eastAsia="Arial" w:hAnsi="Arial"/>
                <w:sz w:val="13"/>
                <w:szCs w:val="13"/>
                <w:color w:val="auto"/>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2023</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2022</w:t>
            </w:r>
          </w:p>
        </w:tc>
      </w:tr>
      <w:tr>
        <w:trPr>
          <w:trHeight w:val="34"/>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from continuing operations attributable to Holdings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(61,251)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2,421</w:t>
            </w:r>
          </w:p>
        </w:tc>
      </w:tr>
      <w:tr>
        <w:trPr>
          <w:trHeight w:val="201"/>
        </w:trPr>
        <w:tc>
          <w:tcPr>
            <w:tcW w:w="5780" w:type="dxa"/>
            <w:vAlign w:val="bottom"/>
          </w:tcPr>
          <w:p>
            <w:pPr>
              <w:ind w:left="20"/>
              <w:spacing w:after="0"/>
              <w:rPr>
                <w:sz w:val="20"/>
                <w:szCs w:val="20"/>
                <w:color w:val="auto"/>
              </w:rPr>
            </w:pPr>
            <w:r>
              <w:rPr>
                <w:rFonts w:ascii="Arial" w:cs="Arial" w:eastAsia="Arial" w:hAnsi="Arial"/>
                <w:sz w:val="15"/>
                <w:szCs w:val="15"/>
                <w:color w:val="auto"/>
              </w:rPr>
              <w:t>Less: Distributions paid - Allocation Interests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48,941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26,475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4"/>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Distributions paid - Preferred Shares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25,458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24,181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24,181</w:t>
            </w:r>
          </w:p>
        </w:tc>
      </w:tr>
      <w:tr>
        <w:trPr>
          <w:trHeight w:val="201"/>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Accrued distributions - Preferred Shares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r>
      <w:tr>
        <w:trPr>
          <w:trHeight w:val="22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 attributable to common shares of Holdings</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(73,846)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(114,776)</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(24,629)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fiscal year ended December 31, 2024, 2023 and 2022 is calculated as follows:</w:t>
      </w:r>
    </w:p>
    <w:p>
      <w:pPr>
        <w:spacing w:after="0" w:line="157" w:lineRule="exact"/>
        <w:rPr>
          <w:sz w:val="20"/>
          <w:szCs w:val="20"/>
          <w:color w:val="auto"/>
        </w:rPr>
      </w:pPr>
    </w:p>
    <w:tbl>
      <w:tblPr>
        <w:tblLayout w:type="fixed"/>
        <w:tblInd w:w="260" w:type="dxa"/>
        <w:tblCellMar>
          <w:top w:w="0" w:type="dxa"/>
          <w:left w:w="0" w:type="dxa"/>
          <w:bottom w:w="0" w:type="dxa"/>
          <w:right w:w="0" w:type="dxa"/>
        </w:tblCellMar>
      </w:tblPr>
      <w:tr>
        <w:trPr>
          <w:trHeight w:val="208"/>
        </w:trPr>
        <w:tc>
          <w:tcPr>
            <w:tcW w:w="6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ind w:right="164"/>
              <w:spacing w:after="0"/>
              <w:rPr>
                <w:sz w:val="20"/>
                <w:szCs w:val="20"/>
                <w:color w:val="auto"/>
              </w:rPr>
            </w:pPr>
            <w:r>
              <w:rPr>
                <w:rFonts w:ascii="Arial" w:cs="Arial" w:eastAsia="Arial" w:hAnsi="Arial"/>
                <w:sz w:val="15"/>
                <w:szCs w:val="15"/>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196"/>
        </w:trPr>
        <w:tc>
          <w:tcPr>
            <w:tcW w:w="61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2022</w:t>
            </w:r>
          </w:p>
        </w:tc>
      </w:tr>
      <w:tr>
        <w:trPr>
          <w:trHeight w:val="196"/>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Net loss from continuing operations attributable to common shares of Holdings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rPr>
              <w:t>(73,846)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(114,776)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rPr>
              <w:t>(24,629)</w:t>
            </w:r>
          </w:p>
        </w:tc>
      </w:tr>
      <w:tr>
        <w:trPr>
          <w:trHeight w:val="201"/>
        </w:trPr>
        <w:tc>
          <w:tcPr>
            <w:tcW w:w="61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Effect of contribution based profit—Holding Event</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444"/>
              <w:spacing w:after="0"/>
              <w:rPr>
                <w:sz w:val="20"/>
                <w:szCs w:val="20"/>
                <w:color w:val="auto"/>
              </w:rPr>
            </w:pPr>
            <w:r>
              <w:rPr>
                <w:rFonts w:ascii="Arial" w:cs="Arial" w:eastAsia="Arial" w:hAnsi="Arial"/>
                <w:sz w:val="15"/>
                <w:szCs w:val="15"/>
                <w:color w:val="auto"/>
              </w:rPr>
              <w:t>20,821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15,424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444"/>
              <w:spacing w:after="0"/>
              <w:rPr>
                <w:sz w:val="20"/>
                <w:szCs w:val="20"/>
                <w:color w:val="auto"/>
              </w:rPr>
            </w:pPr>
            <w:r>
              <w:rPr>
                <w:rFonts w:ascii="Arial" w:cs="Arial" w:eastAsia="Arial" w:hAnsi="Arial"/>
                <w:sz w:val="15"/>
                <w:szCs w:val="15"/>
                <w:color w:val="auto"/>
              </w:rPr>
              <w:t>13,032</w:t>
            </w:r>
          </w:p>
        </w:tc>
      </w:tr>
      <w:tr>
        <w:trPr>
          <w:trHeight w:val="197"/>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Loss from continuing operations attributable to common shares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rPr>
              <w:t>(94,667)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(130,200)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rPr>
              <w:t>(37,661)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Income from discontinued operations attributable to Holdings</w:t>
            </w: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7,936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307,537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33,966</w:t>
            </w:r>
          </w:p>
        </w:tc>
      </w:tr>
      <w:tr>
        <w:trPr>
          <w:trHeight w:val="201"/>
        </w:trPr>
        <w:tc>
          <w:tcPr>
            <w:tcW w:w="6120" w:type="dxa"/>
            <w:vAlign w:val="bottom"/>
          </w:tcPr>
          <w:p>
            <w:pPr>
              <w:spacing w:after="0"/>
              <w:rPr>
                <w:sz w:val="20"/>
                <w:szCs w:val="20"/>
                <w:color w:val="auto"/>
              </w:rPr>
            </w:pPr>
            <w:r>
              <w:rPr>
                <w:rFonts w:ascii="Arial" w:cs="Arial" w:eastAsia="Arial" w:hAnsi="Arial"/>
                <w:sz w:val="15"/>
                <w:szCs w:val="15"/>
                <w:color w:val="auto"/>
              </w:rPr>
              <w:t>Less: Effect of contribution based profit</w:t>
            </w:r>
          </w:p>
        </w:tc>
        <w:tc>
          <w:tcPr>
            <w:tcW w:w="5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3,105</w:t>
            </w:r>
          </w:p>
        </w:tc>
      </w:tr>
      <w:tr>
        <w:trPr>
          <w:trHeight w:val="197"/>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from discontinued operations of Holdings attributable to common shares</w:t>
            </w: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7,936</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307,537</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30,861</w:t>
            </w:r>
          </w:p>
        </w:tc>
      </w:tr>
      <w:tr>
        <w:trPr>
          <w:trHeight w:val="270"/>
        </w:trPr>
        <w:tc>
          <w:tcPr>
            <w:tcW w:w="6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weighted average common shares of Holdings outstanding</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75,454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72,105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70,715</w:t>
            </w:r>
          </w:p>
        </w:tc>
      </w:tr>
      <w:tr>
        <w:trPr>
          <w:trHeight w:val="270"/>
        </w:trPr>
        <w:tc>
          <w:tcPr>
            <w:tcW w:w="6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2"/>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Basic and fully diluted income (loss) per common share attributable to Holdings</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62"/>
        </w:trPr>
        <w:tc>
          <w:tcPr>
            <w:tcW w:w="6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Continuing operations</w:t>
            </w: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(0.53)</w:t>
            </w:r>
          </w:p>
        </w:tc>
      </w:tr>
      <w:tr>
        <w:trPr>
          <w:trHeight w:val="201"/>
        </w:trPr>
        <w:tc>
          <w:tcPr>
            <w:tcW w:w="61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Discontinued operations</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0.11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0.43</w:t>
            </w:r>
          </w:p>
        </w:tc>
      </w:tr>
      <w:tr>
        <w:trPr>
          <w:trHeight w:val="221"/>
        </w:trPr>
        <w:tc>
          <w:tcPr>
            <w:tcW w:w="6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2.46</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(0.10)</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w:t>
      </w:r>
    </w:p>
    <w:p>
      <w:pPr>
        <w:sectPr>
          <w:pgSz w:w="11900" w:h="16838" w:orient="portrait"/>
          <w:cols w:equalWidth="0" w:num="1">
            <w:col w:w="11220"/>
          </w:cols>
          <w:pgMar w:left="320" w:top="337" w:right="359" w:bottom="1440" w:gutter="0" w:footer="0" w:header="0"/>
        </w:sectPr>
      </w:pP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6"/>
                <w:szCs w:val="16"/>
                <w:color w:val="auto"/>
              </w:rPr>
            </w:pPr>
          </w:p>
        </w:tc>
        <w:tc>
          <w:tcPr>
            <w:tcW w:w="17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Cash Distribution per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Share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3900" w:type="dxa"/>
            <w:vAlign w:val="bottom"/>
            <w:gridSpan w:val="2"/>
          </w:tcPr>
          <w:p>
            <w:pPr>
              <w:ind w:left="20"/>
              <w:spacing w:after="0"/>
              <w:rPr>
                <w:sz w:val="20"/>
                <w:szCs w:val="20"/>
                <w:color w:val="auto"/>
              </w:rPr>
            </w:pPr>
            <w:r>
              <w:rPr>
                <w:rFonts w:ascii="Arial" w:cs="Arial" w:eastAsia="Arial" w:hAnsi="Arial"/>
                <w:sz w:val="16"/>
                <w:szCs w:val="16"/>
                <w:b w:val="1"/>
                <w:bCs w:val="1"/>
                <w:color w:val="auto"/>
              </w:rPr>
              <w:t>Trust Common Shares: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October 1, 2024 - December 31, 2024 </w:t>
            </w:r>
            <w:r>
              <w:rPr>
                <w:rFonts w:ascii="Arial" w:cs="Arial" w:eastAsia="Arial" w:hAnsi="Arial"/>
                <w:sz w:val="20"/>
                <w:szCs w:val="20"/>
                <w:b w:val="1"/>
                <w:bCs w:val="1"/>
                <w:color w:val="auto"/>
                <w:vertAlign w:val="superscript"/>
              </w:rPr>
              <w:t>(1)</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July 1, 2024 - September 30, 2024</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April 1, 2024 - June 30, 2024</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January 1, 2024 - March 31, 2024</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October 1, 2023 - December 31, 2023</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July 1, 2023 - September 30, 2023</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April 1, 2023 - June 30, 2023</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January 1, 2023 - March 31, 2023</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October 1, 2022 - December 31, 2022</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July 1, 2022 - September 30, 2022</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April 1, 2022 - June 30, 2022</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January 1, 2022 - March 31, 2022</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94"/>
        </w:trPr>
        <w:tc>
          <w:tcPr>
            <w:tcW w:w="39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A Preferred Shares: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October 30, 2024 - January 29, 2025 </w:t>
            </w:r>
            <w:r>
              <w:rPr>
                <w:rFonts w:ascii="Arial" w:cs="Arial" w:eastAsia="Arial" w:hAnsi="Arial"/>
                <w:sz w:val="20"/>
                <w:szCs w:val="20"/>
                <w:b w:val="1"/>
                <w:bCs w:val="1"/>
                <w:color w:val="auto"/>
                <w:vertAlign w:val="superscript"/>
              </w:rPr>
              <w:t>(1)</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July 30, 2024 - October 29, 2024</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April 30, 2024 - July 29, 2024</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January 30, 2024 - April 29, 2024</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October 30, 2023 - January 29, 2024</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July 30, 2023 - October 29, 2023</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April 30, 2023 - July 29, 2023</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January 30, 2023 - April 29, 2023</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October 30, 2022 - January 29, 2023</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July 30, 2022 - October 29, 2022</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April 30, 2022 - July 29, 2022</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January 30, 2022 - April 29, 2022</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-3597275</wp:posOffset>
            </wp:positionV>
            <wp:extent cx="711517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-3322955</wp:posOffset>
            </wp:positionV>
            <wp:extent cx="711517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-3048635</wp:posOffset>
            </wp:positionV>
            <wp:extent cx="7115175"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-2774315</wp:posOffset>
            </wp:positionV>
            <wp:extent cx="711517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-2499995</wp:posOffset>
            </wp:positionV>
            <wp:extent cx="711517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-2225675</wp:posOffset>
            </wp:positionV>
            <wp:extent cx="711517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-1951355</wp:posOffset>
            </wp:positionV>
            <wp:extent cx="711517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-1642745</wp:posOffset>
            </wp:positionV>
            <wp:extent cx="711517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-1368425</wp:posOffset>
            </wp:positionV>
            <wp:extent cx="7115175"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-1094105</wp:posOffset>
            </wp:positionV>
            <wp:extent cx="711517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15175"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-545465</wp:posOffset>
            </wp:positionV>
            <wp:extent cx="711517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1517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-3879850</wp:posOffset>
            </wp:positionV>
            <wp:extent cx="7115175"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jc w:val="center"/>
              <w:ind w:right="401"/>
              <w:spacing w:after="0"/>
              <w:rPr>
                <w:sz w:val="20"/>
                <w:szCs w:val="20"/>
                <w:color w:val="auto"/>
              </w:rPr>
            </w:pPr>
            <w:r>
              <w:rPr>
                <w:rFonts w:ascii="Arial" w:cs="Arial" w:eastAsia="Arial" w:hAnsi="Arial"/>
                <w:sz w:val="16"/>
                <w:szCs w:val="16"/>
                <w:b w:val="1"/>
                <w:bCs w:val="1"/>
                <w:color w:val="auto"/>
                <w:w w:val="97"/>
              </w:rPr>
              <w:t>Total Cash</w:t>
            </w:r>
          </w:p>
        </w:tc>
        <w:tc>
          <w:tcPr>
            <w:tcW w:w="186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Record Date</w:t>
            </w:r>
          </w:p>
        </w:tc>
        <w:tc>
          <w:tcPr>
            <w:tcW w:w="1740" w:type="dxa"/>
            <w:vAlign w:val="bottom"/>
            <w:vMerge w:val="restart"/>
          </w:tcPr>
          <w:p>
            <w:pPr>
              <w:jc w:val="right"/>
              <w:ind w:right="281"/>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03"/>
        </w:trPr>
        <w:tc>
          <w:tcPr>
            <w:tcW w:w="1480" w:type="dxa"/>
            <w:vAlign w:val="bottom"/>
          </w:tcPr>
          <w:p>
            <w:pPr>
              <w:jc w:val="center"/>
              <w:ind w:right="401"/>
              <w:spacing w:after="0"/>
              <w:rPr>
                <w:sz w:val="20"/>
                <w:szCs w:val="20"/>
                <w:color w:val="auto"/>
              </w:rPr>
            </w:pPr>
            <w:r>
              <w:rPr>
                <w:rFonts w:ascii="Arial" w:cs="Arial" w:eastAsia="Arial" w:hAnsi="Arial"/>
                <w:sz w:val="16"/>
                <w:szCs w:val="16"/>
                <w:b w:val="1"/>
                <w:bCs w:val="1"/>
                <w:color w:val="auto"/>
                <w:w w:val="97"/>
              </w:rPr>
              <w:t>Distributions</w:t>
            </w:r>
          </w:p>
        </w:tc>
        <w:tc>
          <w:tcPr>
            <w:tcW w:w="1860" w:type="dxa"/>
            <w:vAlign w:val="bottom"/>
            <w:gridSpan w:val="2"/>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80" w:type="dxa"/>
            <w:vAlign w:val="bottom"/>
          </w:tcPr>
          <w:p>
            <w:pPr>
              <w:jc w:val="center"/>
              <w:ind w:right="401"/>
              <w:spacing w:after="0"/>
              <w:rPr>
                <w:sz w:val="20"/>
                <w:szCs w:val="20"/>
                <w:color w:val="auto"/>
              </w:rPr>
            </w:pPr>
            <w:r>
              <w:rPr>
                <w:rFonts w:ascii="Arial" w:cs="Arial" w:eastAsia="Arial" w:hAnsi="Arial"/>
                <w:sz w:val="16"/>
                <w:szCs w:val="16"/>
                <w:i w:val="1"/>
                <w:iCs w:val="1"/>
                <w:color w:val="auto"/>
                <w:w w:val="98"/>
              </w:rPr>
              <w:t>(in thousands)</w:t>
            </w:r>
          </w:p>
        </w:tc>
        <w:tc>
          <w:tcPr>
            <w:tcW w:w="1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18,809</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16, 2025</w:t>
            </w:r>
          </w:p>
        </w:tc>
        <w:tc>
          <w:tcPr>
            <w:tcW w:w="1740" w:type="dxa"/>
            <w:vAlign w:val="bottom"/>
          </w:tcPr>
          <w:p>
            <w:pPr>
              <w:jc w:val="right"/>
              <w:spacing w:after="0"/>
              <w:rPr>
                <w:sz w:val="20"/>
                <w:szCs w:val="20"/>
                <w:color w:val="auto"/>
              </w:rPr>
            </w:pPr>
            <w:r>
              <w:rPr>
                <w:rFonts w:ascii="Arial" w:cs="Arial" w:eastAsia="Arial" w:hAnsi="Arial"/>
                <w:sz w:val="16"/>
                <w:szCs w:val="16"/>
                <w:color w:val="auto"/>
              </w:rPr>
              <w:t>January 23, 2025</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18,913</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17, 2024</w:t>
            </w:r>
          </w:p>
        </w:tc>
        <w:tc>
          <w:tcPr>
            <w:tcW w:w="1740" w:type="dxa"/>
            <w:vAlign w:val="bottom"/>
          </w:tcPr>
          <w:p>
            <w:pPr>
              <w:jc w:val="right"/>
              <w:spacing w:after="0"/>
              <w:rPr>
                <w:sz w:val="20"/>
                <w:szCs w:val="20"/>
                <w:color w:val="auto"/>
              </w:rPr>
            </w:pPr>
            <w:r>
              <w:rPr>
                <w:rFonts w:ascii="Arial" w:cs="Arial" w:eastAsia="Arial" w:hAnsi="Arial"/>
                <w:sz w:val="16"/>
                <w:szCs w:val="16"/>
                <w:color w:val="auto"/>
              </w:rPr>
              <w:t>October 24, 2024</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18,913</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July 18, 2024</w:t>
            </w:r>
          </w:p>
        </w:tc>
        <w:tc>
          <w:tcPr>
            <w:tcW w:w="1740" w:type="dxa"/>
            <w:vAlign w:val="bottom"/>
          </w:tcPr>
          <w:p>
            <w:pPr>
              <w:jc w:val="right"/>
              <w:spacing w:after="0"/>
              <w:rPr>
                <w:sz w:val="20"/>
                <w:szCs w:val="20"/>
                <w:color w:val="auto"/>
              </w:rPr>
            </w:pPr>
            <w:r>
              <w:rPr>
                <w:rFonts w:ascii="Arial" w:cs="Arial" w:eastAsia="Arial" w:hAnsi="Arial"/>
                <w:sz w:val="16"/>
                <w:szCs w:val="16"/>
                <w:color w:val="auto"/>
              </w:rPr>
              <w:t>July 25, 2024</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18,846</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April 18, 2024</w:t>
            </w:r>
          </w:p>
        </w:tc>
        <w:tc>
          <w:tcPr>
            <w:tcW w:w="1740" w:type="dxa"/>
            <w:vAlign w:val="bottom"/>
          </w:tcPr>
          <w:p>
            <w:pPr>
              <w:jc w:val="right"/>
              <w:spacing w:after="0"/>
              <w:rPr>
                <w:sz w:val="20"/>
                <w:szCs w:val="20"/>
                <w:color w:val="auto"/>
              </w:rPr>
            </w:pPr>
            <w:r>
              <w:rPr>
                <w:rFonts w:ascii="Arial" w:cs="Arial" w:eastAsia="Arial" w:hAnsi="Arial"/>
                <w:sz w:val="16"/>
                <w:szCs w:val="16"/>
                <w:color w:val="auto"/>
              </w:rPr>
              <w:t>April 25, 2024</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18,818</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18, 2024</w:t>
            </w:r>
          </w:p>
        </w:tc>
        <w:tc>
          <w:tcPr>
            <w:tcW w:w="1740" w:type="dxa"/>
            <w:vAlign w:val="bottom"/>
          </w:tcPr>
          <w:p>
            <w:pPr>
              <w:jc w:val="right"/>
              <w:spacing w:after="0"/>
              <w:rPr>
                <w:sz w:val="20"/>
                <w:szCs w:val="20"/>
                <w:color w:val="auto"/>
              </w:rPr>
            </w:pPr>
            <w:r>
              <w:rPr>
                <w:rFonts w:ascii="Arial" w:cs="Arial" w:eastAsia="Arial" w:hAnsi="Arial"/>
                <w:sz w:val="16"/>
                <w:szCs w:val="16"/>
                <w:color w:val="auto"/>
              </w:rPr>
              <w:t>January 25, 2024</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17,955</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19, 2023</w:t>
            </w:r>
          </w:p>
        </w:tc>
        <w:tc>
          <w:tcPr>
            <w:tcW w:w="1740" w:type="dxa"/>
            <w:vAlign w:val="bottom"/>
          </w:tcPr>
          <w:p>
            <w:pPr>
              <w:jc w:val="right"/>
              <w:spacing w:after="0"/>
              <w:rPr>
                <w:sz w:val="20"/>
                <w:szCs w:val="20"/>
                <w:color w:val="auto"/>
              </w:rPr>
            </w:pPr>
            <w:r>
              <w:rPr>
                <w:rFonts w:ascii="Arial" w:cs="Arial" w:eastAsia="Arial" w:hAnsi="Arial"/>
                <w:sz w:val="16"/>
                <w:szCs w:val="16"/>
                <w:color w:val="auto"/>
              </w:rPr>
              <w:t>October 26, 2023</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17,974</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July 20, 2023</w:t>
            </w:r>
          </w:p>
        </w:tc>
        <w:tc>
          <w:tcPr>
            <w:tcW w:w="1740" w:type="dxa"/>
            <w:vAlign w:val="bottom"/>
          </w:tcPr>
          <w:p>
            <w:pPr>
              <w:jc w:val="right"/>
              <w:spacing w:after="0"/>
              <w:rPr>
                <w:sz w:val="20"/>
                <w:szCs w:val="20"/>
                <w:color w:val="auto"/>
              </w:rPr>
            </w:pPr>
            <w:r>
              <w:rPr>
                <w:rFonts w:ascii="Arial" w:cs="Arial" w:eastAsia="Arial" w:hAnsi="Arial"/>
                <w:sz w:val="16"/>
                <w:szCs w:val="16"/>
                <w:color w:val="auto"/>
              </w:rPr>
              <w:t>July 27, 2023</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17,987</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 2023</w:t>
            </w:r>
          </w:p>
        </w:tc>
        <w:tc>
          <w:tcPr>
            <w:tcW w:w="1740" w:type="dxa"/>
            <w:vAlign w:val="bottom"/>
          </w:tcPr>
          <w:p>
            <w:pPr>
              <w:jc w:val="right"/>
              <w:spacing w:after="0"/>
              <w:rPr>
                <w:sz w:val="20"/>
                <w:szCs w:val="20"/>
                <w:color w:val="auto"/>
              </w:rPr>
            </w:pPr>
            <w:r>
              <w:rPr>
                <w:rFonts w:ascii="Arial" w:cs="Arial" w:eastAsia="Arial" w:hAnsi="Arial"/>
                <w:sz w:val="16"/>
                <w:szCs w:val="16"/>
                <w:color w:val="auto"/>
              </w:rPr>
              <w:t>April 27, 2023</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18,051</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2023</w:t>
            </w:r>
          </w:p>
        </w:tc>
        <w:tc>
          <w:tcPr>
            <w:tcW w:w="1740" w:type="dxa"/>
            <w:vAlign w:val="bottom"/>
          </w:tcPr>
          <w:p>
            <w:pPr>
              <w:jc w:val="right"/>
              <w:spacing w:after="0"/>
              <w:rPr>
                <w:sz w:val="20"/>
                <w:szCs w:val="20"/>
                <w:color w:val="auto"/>
              </w:rPr>
            </w:pPr>
            <w:r>
              <w:rPr>
                <w:rFonts w:ascii="Arial" w:cs="Arial" w:eastAsia="Arial" w:hAnsi="Arial"/>
                <w:sz w:val="16"/>
                <w:szCs w:val="16"/>
                <w:color w:val="auto"/>
              </w:rPr>
              <w:t>January 26, 2023</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18,051</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20, 2022</w:t>
            </w:r>
          </w:p>
        </w:tc>
        <w:tc>
          <w:tcPr>
            <w:tcW w:w="1740" w:type="dxa"/>
            <w:vAlign w:val="bottom"/>
          </w:tcPr>
          <w:p>
            <w:pPr>
              <w:jc w:val="right"/>
              <w:spacing w:after="0"/>
              <w:rPr>
                <w:sz w:val="20"/>
                <w:szCs w:val="20"/>
                <w:color w:val="auto"/>
              </w:rPr>
            </w:pPr>
            <w:r>
              <w:rPr>
                <w:rFonts w:ascii="Arial" w:cs="Arial" w:eastAsia="Arial" w:hAnsi="Arial"/>
                <w:sz w:val="16"/>
                <w:szCs w:val="16"/>
                <w:color w:val="auto"/>
              </w:rPr>
              <w:t>October 27, 2022</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17,931</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July 21, 2022</w:t>
            </w:r>
          </w:p>
        </w:tc>
        <w:tc>
          <w:tcPr>
            <w:tcW w:w="1740" w:type="dxa"/>
            <w:vAlign w:val="bottom"/>
          </w:tcPr>
          <w:p>
            <w:pPr>
              <w:jc w:val="right"/>
              <w:spacing w:after="0"/>
              <w:rPr>
                <w:sz w:val="20"/>
                <w:szCs w:val="20"/>
                <w:color w:val="auto"/>
              </w:rPr>
            </w:pPr>
            <w:r>
              <w:rPr>
                <w:rFonts w:ascii="Arial" w:cs="Arial" w:eastAsia="Arial" w:hAnsi="Arial"/>
                <w:sz w:val="16"/>
                <w:szCs w:val="16"/>
                <w:color w:val="auto"/>
              </w:rPr>
              <w:t>July 28, 2022</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17,510</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21, 2022</w:t>
            </w:r>
          </w:p>
        </w:tc>
        <w:tc>
          <w:tcPr>
            <w:tcW w:w="1740" w:type="dxa"/>
            <w:vAlign w:val="bottom"/>
          </w:tcPr>
          <w:p>
            <w:pPr>
              <w:jc w:val="right"/>
              <w:spacing w:after="0"/>
              <w:rPr>
                <w:sz w:val="20"/>
                <w:szCs w:val="20"/>
                <w:color w:val="auto"/>
              </w:rPr>
            </w:pPr>
            <w:r>
              <w:rPr>
                <w:rFonts w:ascii="Arial" w:cs="Arial" w:eastAsia="Arial" w:hAnsi="Arial"/>
                <w:sz w:val="16"/>
                <w:szCs w:val="16"/>
                <w:color w:val="auto"/>
              </w:rPr>
              <w:t>April 28, 2022</w:t>
            </w:r>
          </w:p>
        </w:tc>
        <w:tc>
          <w:tcPr>
            <w:tcW w:w="0" w:type="dxa"/>
            <w:vAlign w:val="bottom"/>
          </w:tcPr>
          <w:p>
            <w:pPr>
              <w:spacing w:after="0"/>
              <w:rPr>
                <w:sz w:val="1"/>
                <w:szCs w:val="1"/>
                <w:color w:val="auto"/>
              </w:rPr>
            </w:pPr>
          </w:p>
        </w:tc>
      </w:tr>
      <w:tr>
        <w:trPr>
          <w:trHeight w:val="702"/>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2,062</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15, 2025</w:t>
            </w:r>
          </w:p>
        </w:tc>
        <w:tc>
          <w:tcPr>
            <w:tcW w:w="1740" w:type="dxa"/>
            <w:vAlign w:val="bottom"/>
          </w:tcPr>
          <w:p>
            <w:pPr>
              <w:jc w:val="right"/>
              <w:spacing w:after="0"/>
              <w:rPr>
                <w:sz w:val="20"/>
                <w:szCs w:val="20"/>
                <w:color w:val="auto"/>
              </w:rPr>
            </w:pPr>
            <w:r>
              <w:rPr>
                <w:rFonts w:ascii="Arial" w:cs="Arial" w:eastAsia="Arial" w:hAnsi="Arial"/>
                <w:sz w:val="16"/>
                <w:szCs w:val="16"/>
                <w:color w:val="auto"/>
              </w:rPr>
              <w:t>January 30, 2025</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1,930</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15, 2024</w:t>
            </w:r>
          </w:p>
        </w:tc>
        <w:tc>
          <w:tcPr>
            <w:tcW w:w="1740" w:type="dxa"/>
            <w:vAlign w:val="bottom"/>
          </w:tcPr>
          <w:p>
            <w:pPr>
              <w:jc w:val="right"/>
              <w:spacing w:after="0"/>
              <w:rPr>
                <w:sz w:val="20"/>
                <w:szCs w:val="20"/>
                <w:color w:val="auto"/>
              </w:rPr>
            </w:pPr>
            <w:r>
              <w:rPr>
                <w:rFonts w:ascii="Arial" w:cs="Arial" w:eastAsia="Arial" w:hAnsi="Arial"/>
                <w:sz w:val="16"/>
                <w:szCs w:val="16"/>
                <w:color w:val="auto"/>
              </w:rPr>
              <w:t>October 30, 2024</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1,852</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July 15, 2024</w:t>
            </w:r>
          </w:p>
        </w:tc>
        <w:tc>
          <w:tcPr>
            <w:tcW w:w="1740" w:type="dxa"/>
            <w:vAlign w:val="bottom"/>
          </w:tcPr>
          <w:p>
            <w:pPr>
              <w:jc w:val="right"/>
              <w:spacing w:after="0"/>
              <w:rPr>
                <w:sz w:val="20"/>
                <w:szCs w:val="20"/>
                <w:color w:val="auto"/>
              </w:rPr>
            </w:pPr>
            <w:r>
              <w:rPr>
                <w:rFonts w:ascii="Arial" w:cs="Arial" w:eastAsia="Arial" w:hAnsi="Arial"/>
                <w:sz w:val="16"/>
                <w:szCs w:val="16"/>
                <w:color w:val="auto"/>
              </w:rPr>
              <w:t>July 30, 2024</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1,822</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April 15, 2024</w:t>
            </w:r>
          </w:p>
        </w:tc>
        <w:tc>
          <w:tcPr>
            <w:tcW w:w="1740" w:type="dxa"/>
            <w:vAlign w:val="bottom"/>
          </w:tcPr>
          <w:p>
            <w:pPr>
              <w:jc w:val="right"/>
              <w:spacing w:after="0"/>
              <w:rPr>
                <w:sz w:val="20"/>
                <w:szCs w:val="20"/>
                <w:color w:val="auto"/>
              </w:rPr>
            </w:pPr>
            <w:r>
              <w:rPr>
                <w:rFonts w:ascii="Arial" w:cs="Arial" w:eastAsia="Arial" w:hAnsi="Arial"/>
                <w:sz w:val="16"/>
                <w:szCs w:val="16"/>
                <w:color w:val="auto"/>
              </w:rPr>
              <w:t>April 30, 2024</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15, 2024</w:t>
            </w:r>
          </w:p>
        </w:tc>
        <w:tc>
          <w:tcPr>
            <w:tcW w:w="1740" w:type="dxa"/>
            <w:vAlign w:val="bottom"/>
          </w:tcPr>
          <w:p>
            <w:pPr>
              <w:jc w:val="right"/>
              <w:spacing w:after="0"/>
              <w:rPr>
                <w:sz w:val="20"/>
                <w:szCs w:val="20"/>
                <w:color w:val="auto"/>
              </w:rPr>
            </w:pPr>
            <w:r>
              <w:rPr>
                <w:rFonts w:ascii="Arial" w:cs="Arial" w:eastAsia="Arial" w:hAnsi="Arial"/>
                <w:sz w:val="16"/>
                <w:szCs w:val="16"/>
                <w:color w:val="auto"/>
              </w:rPr>
              <w:t>January 30, 2024</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15, 2023</w:t>
            </w:r>
          </w:p>
        </w:tc>
        <w:tc>
          <w:tcPr>
            <w:tcW w:w="1740" w:type="dxa"/>
            <w:vAlign w:val="bottom"/>
          </w:tcPr>
          <w:p>
            <w:pPr>
              <w:jc w:val="right"/>
              <w:spacing w:after="0"/>
              <w:rPr>
                <w:sz w:val="20"/>
                <w:szCs w:val="20"/>
                <w:color w:val="auto"/>
              </w:rPr>
            </w:pPr>
            <w:r>
              <w:rPr>
                <w:rFonts w:ascii="Arial" w:cs="Arial" w:eastAsia="Arial" w:hAnsi="Arial"/>
                <w:sz w:val="16"/>
                <w:szCs w:val="16"/>
                <w:color w:val="auto"/>
              </w:rPr>
              <w:t>October 30, 2023</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July 15, 2023</w:t>
            </w:r>
          </w:p>
        </w:tc>
        <w:tc>
          <w:tcPr>
            <w:tcW w:w="1740" w:type="dxa"/>
            <w:vAlign w:val="bottom"/>
          </w:tcPr>
          <w:p>
            <w:pPr>
              <w:jc w:val="right"/>
              <w:spacing w:after="0"/>
              <w:rPr>
                <w:sz w:val="20"/>
                <w:szCs w:val="20"/>
                <w:color w:val="auto"/>
              </w:rPr>
            </w:pPr>
            <w:r>
              <w:rPr>
                <w:rFonts w:ascii="Arial" w:cs="Arial" w:eastAsia="Arial" w:hAnsi="Arial"/>
                <w:sz w:val="16"/>
                <w:szCs w:val="16"/>
                <w:color w:val="auto"/>
              </w:rPr>
              <w:t>July 30, 2023</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April 15, 2023</w:t>
            </w:r>
          </w:p>
        </w:tc>
        <w:tc>
          <w:tcPr>
            <w:tcW w:w="1740" w:type="dxa"/>
            <w:vAlign w:val="bottom"/>
          </w:tcPr>
          <w:p>
            <w:pPr>
              <w:jc w:val="right"/>
              <w:spacing w:after="0"/>
              <w:rPr>
                <w:sz w:val="20"/>
                <w:szCs w:val="20"/>
                <w:color w:val="auto"/>
              </w:rPr>
            </w:pPr>
            <w:r>
              <w:rPr>
                <w:rFonts w:ascii="Arial" w:cs="Arial" w:eastAsia="Arial" w:hAnsi="Arial"/>
                <w:sz w:val="16"/>
                <w:szCs w:val="16"/>
                <w:color w:val="auto"/>
              </w:rPr>
              <w:t>April 30, 2023</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15, 2023</w:t>
            </w:r>
          </w:p>
        </w:tc>
        <w:tc>
          <w:tcPr>
            <w:tcW w:w="1740" w:type="dxa"/>
            <w:vAlign w:val="bottom"/>
          </w:tcPr>
          <w:p>
            <w:pPr>
              <w:jc w:val="right"/>
              <w:spacing w:after="0"/>
              <w:rPr>
                <w:sz w:val="20"/>
                <w:szCs w:val="20"/>
                <w:color w:val="auto"/>
              </w:rPr>
            </w:pPr>
            <w:r>
              <w:rPr>
                <w:rFonts w:ascii="Arial" w:cs="Arial" w:eastAsia="Arial" w:hAnsi="Arial"/>
                <w:sz w:val="16"/>
                <w:szCs w:val="16"/>
                <w:color w:val="auto"/>
              </w:rPr>
              <w:t>January 30, 2023</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15, 2022</w:t>
            </w:r>
          </w:p>
        </w:tc>
        <w:tc>
          <w:tcPr>
            <w:tcW w:w="1740" w:type="dxa"/>
            <w:vAlign w:val="bottom"/>
          </w:tcPr>
          <w:p>
            <w:pPr>
              <w:jc w:val="right"/>
              <w:spacing w:after="0"/>
              <w:rPr>
                <w:sz w:val="20"/>
                <w:szCs w:val="20"/>
                <w:color w:val="auto"/>
              </w:rPr>
            </w:pPr>
            <w:r>
              <w:rPr>
                <w:rFonts w:ascii="Arial" w:cs="Arial" w:eastAsia="Arial" w:hAnsi="Arial"/>
                <w:sz w:val="16"/>
                <w:szCs w:val="16"/>
                <w:color w:val="auto"/>
              </w:rPr>
              <w:t>October 30, 2022</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July 15, 2022</w:t>
            </w:r>
          </w:p>
        </w:tc>
        <w:tc>
          <w:tcPr>
            <w:tcW w:w="1740" w:type="dxa"/>
            <w:vAlign w:val="bottom"/>
          </w:tcPr>
          <w:p>
            <w:pPr>
              <w:jc w:val="right"/>
              <w:spacing w:after="0"/>
              <w:rPr>
                <w:sz w:val="20"/>
                <w:szCs w:val="20"/>
                <w:color w:val="auto"/>
              </w:rPr>
            </w:pPr>
            <w:r>
              <w:rPr>
                <w:rFonts w:ascii="Arial" w:cs="Arial" w:eastAsia="Arial" w:hAnsi="Arial"/>
                <w:sz w:val="16"/>
                <w:szCs w:val="16"/>
                <w:color w:val="auto"/>
              </w:rPr>
              <w:t>July 30, 2022</w:t>
            </w:r>
          </w:p>
        </w:tc>
        <w:tc>
          <w:tcPr>
            <w:tcW w:w="0" w:type="dxa"/>
            <w:vAlign w:val="bottom"/>
          </w:tcPr>
          <w:p>
            <w:pPr>
              <w:spacing w:after="0"/>
              <w:rPr>
                <w:sz w:val="1"/>
                <w:szCs w:val="1"/>
                <w:color w:val="auto"/>
              </w:rPr>
            </w:pPr>
          </w:p>
        </w:tc>
      </w:tr>
      <w:tr>
        <w:trPr>
          <w:trHeight w:val="216"/>
        </w:trPr>
        <w:tc>
          <w:tcPr>
            <w:tcW w:w="148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April 15, 2022</w:t>
            </w:r>
          </w:p>
        </w:tc>
        <w:tc>
          <w:tcPr>
            <w:tcW w:w="1740" w:type="dxa"/>
            <w:vAlign w:val="bottom"/>
          </w:tcPr>
          <w:p>
            <w:pPr>
              <w:jc w:val="right"/>
              <w:spacing w:after="0"/>
              <w:rPr>
                <w:sz w:val="20"/>
                <w:szCs w:val="20"/>
                <w:color w:val="auto"/>
              </w:rPr>
            </w:pPr>
            <w:r>
              <w:rPr>
                <w:rFonts w:ascii="Arial" w:cs="Arial" w:eastAsia="Arial" w:hAnsi="Arial"/>
                <w:sz w:val="16"/>
                <w:szCs w:val="16"/>
                <w:color w:val="auto"/>
              </w:rPr>
              <w:t>April 30,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60" w:space="280"/>
            <w:col w:w="5080"/>
          </w:cols>
          <w:pgMar w:left="320" w:top="337" w:right="35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Series B Preferred Shares:</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3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October 30, 2024 - January 29, 2025 </w:t>
            </w:r>
            <w:r>
              <w:rPr>
                <w:rFonts w:ascii="Arial" w:cs="Arial" w:eastAsia="Arial" w:hAnsi="Arial"/>
                <w:sz w:val="20"/>
                <w:szCs w:val="20"/>
                <w:b w:val="1"/>
                <w:bCs w:val="1"/>
                <w:color w:val="auto"/>
                <w:vertAlign w:val="superscript"/>
              </w:rPr>
              <w:t>(1)</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3,048</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2025</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2025</w:t>
            </w: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July 30, 2024 - October 29, 2024</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2,347</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October 15, 2024</w:t>
            </w:r>
          </w:p>
        </w:tc>
        <w:tc>
          <w:tcPr>
            <w:tcW w:w="1560" w:type="dxa"/>
            <w:vAlign w:val="bottom"/>
          </w:tcPr>
          <w:p>
            <w:pPr>
              <w:jc w:val="right"/>
              <w:spacing w:after="0"/>
              <w:rPr>
                <w:sz w:val="20"/>
                <w:szCs w:val="20"/>
                <w:color w:val="auto"/>
              </w:rPr>
            </w:pPr>
            <w:r>
              <w:rPr>
                <w:rFonts w:ascii="Arial" w:cs="Arial" w:eastAsia="Arial" w:hAnsi="Arial"/>
                <w:sz w:val="16"/>
                <w:szCs w:val="16"/>
                <w:color w:val="auto"/>
              </w:rPr>
              <w:t>October 30, 2024</w:t>
            </w: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2024 - July 29, 2024</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2,064</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2024</w:t>
            </w: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January 30, 2024 - April 29, 2024</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1,983</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April 15, 2024</w:t>
            </w:r>
          </w:p>
        </w:tc>
        <w:tc>
          <w:tcPr>
            <w:tcW w:w="1560" w:type="dxa"/>
            <w:vAlign w:val="bottom"/>
          </w:tcPr>
          <w:p>
            <w:pPr>
              <w:jc w:val="right"/>
              <w:spacing w:after="0"/>
              <w:rPr>
                <w:sz w:val="20"/>
                <w:szCs w:val="20"/>
                <w:color w:val="auto"/>
              </w:rPr>
            </w:pPr>
            <w:r>
              <w:rPr>
                <w:rFonts w:ascii="Arial" w:cs="Arial" w:eastAsia="Arial" w:hAnsi="Arial"/>
                <w:sz w:val="16"/>
                <w:szCs w:val="16"/>
                <w:color w:val="auto"/>
              </w:rPr>
              <w:t>April 30, 2024</w:t>
            </w: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2023 - January 29, 2024</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1,969</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2024</w:t>
            </w: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July 30, 2023 - October 29, 2023</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1,969</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October 15, 2023</w:t>
            </w:r>
          </w:p>
        </w:tc>
        <w:tc>
          <w:tcPr>
            <w:tcW w:w="1560" w:type="dxa"/>
            <w:vAlign w:val="bottom"/>
          </w:tcPr>
          <w:p>
            <w:pPr>
              <w:jc w:val="right"/>
              <w:spacing w:after="0"/>
              <w:rPr>
                <w:sz w:val="20"/>
                <w:szCs w:val="20"/>
                <w:color w:val="auto"/>
              </w:rPr>
            </w:pPr>
            <w:r>
              <w:rPr>
                <w:rFonts w:ascii="Arial" w:cs="Arial" w:eastAsia="Arial" w:hAnsi="Arial"/>
                <w:sz w:val="16"/>
                <w:szCs w:val="16"/>
                <w:color w:val="auto"/>
              </w:rPr>
              <w:t>October 30, 2023</w:t>
            </w: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2023 - July 29, 2023</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1,969</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2023</w:t>
            </w: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January 30, 2023 - April 29, 2023</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1,969</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April 15, 2023</w:t>
            </w:r>
          </w:p>
        </w:tc>
        <w:tc>
          <w:tcPr>
            <w:tcW w:w="1560" w:type="dxa"/>
            <w:vAlign w:val="bottom"/>
          </w:tcPr>
          <w:p>
            <w:pPr>
              <w:jc w:val="right"/>
              <w:spacing w:after="0"/>
              <w:rPr>
                <w:sz w:val="20"/>
                <w:szCs w:val="20"/>
                <w:color w:val="auto"/>
              </w:rPr>
            </w:pPr>
            <w:r>
              <w:rPr>
                <w:rFonts w:ascii="Arial" w:cs="Arial" w:eastAsia="Arial" w:hAnsi="Arial"/>
                <w:sz w:val="16"/>
                <w:szCs w:val="16"/>
                <w:color w:val="auto"/>
              </w:rPr>
              <w:t>April 30, 2023</w:t>
            </w: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2022 - January 29, 2023</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1,969</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2023</w:t>
            </w: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July 30, 2022 - October 29, 2022</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1,969</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October 15, 2022</w:t>
            </w:r>
          </w:p>
        </w:tc>
        <w:tc>
          <w:tcPr>
            <w:tcW w:w="1560" w:type="dxa"/>
            <w:vAlign w:val="bottom"/>
          </w:tcPr>
          <w:p>
            <w:pPr>
              <w:jc w:val="right"/>
              <w:spacing w:after="0"/>
              <w:rPr>
                <w:sz w:val="20"/>
                <w:szCs w:val="20"/>
                <w:color w:val="auto"/>
              </w:rPr>
            </w:pPr>
            <w:r>
              <w:rPr>
                <w:rFonts w:ascii="Arial" w:cs="Arial" w:eastAsia="Arial" w:hAnsi="Arial"/>
                <w:sz w:val="16"/>
                <w:szCs w:val="16"/>
                <w:color w:val="auto"/>
              </w:rPr>
              <w:t>October 30, 2022</w:t>
            </w: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2022 - July 29, 2022</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1,969</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2022</w:t>
            </w: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January 30, 2022 - April 29, 2022</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1,969</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April 15, 2022</w:t>
            </w:r>
          </w:p>
        </w:tc>
        <w:tc>
          <w:tcPr>
            <w:tcW w:w="1560" w:type="dxa"/>
            <w:vAlign w:val="bottom"/>
          </w:tcPr>
          <w:p>
            <w:pPr>
              <w:jc w:val="right"/>
              <w:spacing w:after="0"/>
              <w:rPr>
                <w:sz w:val="20"/>
                <w:szCs w:val="20"/>
                <w:color w:val="auto"/>
              </w:rPr>
            </w:pPr>
            <w:r>
              <w:rPr>
                <w:rFonts w:ascii="Arial" w:cs="Arial" w:eastAsia="Arial" w:hAnsi="Arial"/>
                <w:sz w:val="16"/>
                <w:szCs w:val="16"/>
                <w:color w:val="auto"/>
              </w:rPr>
              <w:t>April 30, 2022</w:t>
            </w:r>
          </w:p>
        </w:tc>
      </w:tr>
      <w:tr>
        <w:trPr>
          <w:trHeight w:val="272"/>
        </w:trPr>
        <w:tc>
          <w:tcPr>
            <w:tcW w:w="3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Series C Preferred Shares:</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3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October 30, 2024 - January 29, 2025 </w:t>
            </w:r>
            <w:r>
              <w:rPr>
                <w:rFonts w:ascii="Arial" w:cs="Arial" w:eastAsia="Arial" w:hAnsi="Arial"/>
                <w:sz w:val="20"/>
                <w:szCs w:val="20"/>
                <w:b w:val="1"/>
                <w:bCs w:val="1"/>
                <w:color w:val="auto"/>
                <w:vertAlign w:val="superscript"/>
              </w:rPr>
              <w:t>(1)</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3,324</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2025</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2025</w:t>
            </w: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July 30, 2024 - October 29, 2024</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2,690</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October 15, 2024</w:t>
            </w:r>
          </w:p>
        </w:tc>
        <w:tc>
          <w:tcPr>
            <w:tcW w:w="1560" w:type="dxa"/>
            <w:vAlign w:val="bottom"/>
          </w:tcPr>
          <w:p>
            <w:pPr>
              <w:jc w:val="right"/>
              <w:spacing w:after="0"/>
              <w:rPr>
                <w:sz w:val="20"/>
                <w:szCs w:val="20"/>
                <w:color w:val="auto"/>
              </w:rPr>
            </w:pPr>
            <w:r>
              <w:rPr>
                <w:rFonts w:ascii="Arial" w:cs="Arial" w:eastAsia="Arial" w:hAnsi="Arial"/>
                <w:sz w:val="16"/>
                <w:szCs w:val="16"/>
                <w:color w:val="auto"/>
              </w:rPr>
              <w:t>October 30, 2024</w:t>
            </w: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2024 - July 29, 2024</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2,430</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2024</w:t>
            </w: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January 30, 2024 - April 29, 2024</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2,295</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April 15, 2024</w:t>
            </w:r>
          </w:p>
        </w:tc>
        <w:tc>
          <w:tcPr>
            <w:tcW w:w="1560" w:type="dxa"/>
            <w:vAlign w:val="bottom"/>
          </w:tcPr>
          <w:p>
            <w:pPr>
              <w:jc w:val="right"/>
              <w:spacing w:after="0"/>
              <w:rPr>
                <w:sz w:val="20"/>
                <w:szCs w:val="20"/>
                <w:color w:val="auto"/>
              </w:rPr>
            </w:pPr>
            <w:r>
              <w:rPr>
                <w:rFonts w:ascii="Arial" w:cs="Arial" w:eastAsia="Arial" w:hAnsi="Arial"/>
                <w:sz w:val="16"/>
                <w:szCs w:val="16"/>
                <w:color w:val="auto"/>
              </w:rPr>
              <w:t>April 30, 2024</w:t>
            </w: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2023 - January 29, 2024</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2,264</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2024</w:t>
            </w: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July 30, 2023 - October 29, 2023</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2,264</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October 15, 2023</w:t>
            </w:r>
          </w:p>
        </w:tc>
        <w:tc>
          <w:tcPr>
            <w:tcW w:w="1560" w:type="dxa"/>
            <w:vAlign w:val="bottom"/>
          </w:tcPr>
          <w:p>
            <w:pPr>
              <w:jc w:val="right"/>
              <w:spacing w:after="0"/>
              <w:rPr>
                <w:sz w:val="20"/>
                <w:szCs w:val="20"/>
                <w:color w:val="auto"/>
              </w:rPr>
            </w:pPr>
            <w:r>
              <w:rPr>
                <w:rFonts w:ascii="Arial" w:cs="Arial" w:eastAsia="Arial" w:hAnsi="Arial"/>
                <w:sz w:val="16"/>
                <w:szCs w:val="16"/>
                <w:color w:val="auto"/>
              </w:rPr>
              <w:t>October 30, 2023</w:t>
            </w: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2023 - July 29, 2023</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2,264</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2023</w:t>
            </w: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January 30, 2023 - April 29, 2023</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2,264</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April 15, 2023</w:t>
            </w:r>
          </w:p>
        </w:tc>
        <w:tc>
          <w:tcPr>
            <w:tcW w:w="1560" w:type="dxa"/>
            <w:vAlign w:val="bottom"/>
          </w:tcPr>
          <w:p>
            <w:pPr>
              <w:jc w:val="right"/>
              <w:spacing w:after="0"/>
              <w:rPr>
                <w:sz w:val="20"/>
                <w:szCs w:val="20"/>
                <w:color w:val="auto"/>
              </w:rPr>
            </w:pPr>
            <w:r>
              <w:rPr>
                <w:rFonts w:ascii="Arial" w:cs="Arial" w:eastAsia="Arial" w:hAnsi="Arial"/>
                <w:sz w:val="16"/>
                <w:szCs w:val="16"/>
                <w:color w:val="auto"/>
              </w:rPr>
              <w:t>April 30, 2023</w:t>
            </w: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2022 - January 29, 2023</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2,264</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2023</w:t>
            </w: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July 30, 2022 - October 29, 2022</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2,264</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October 15, 2022</w:t>
            </w:r>
          </w:p>
        </w:tc>
        <w:tc>
          <w:tcPr>
            <w:tcW w:w="1560" w:type="dxa"/>
            <w:vAlign w:val="bottom"/>
          </w:tcPr>
          <w:p>
            <w:pPr>
              <w:jc w:val="right"/>
              <w:spacing w:after="0"/>
              <w:rPr>
                <w:sz w:val="20"/>
                <w:szCs w:val="20"/>
                <w:color w:val="auto"/>
              </w:rPr>
            </w:pPr>
            <w:r>
              <w:rPr>
                <w:rFonts w:ascii="Arial" w:cs="Arial" w:eastAsia="Arial" w:hAnsi="Arial"/>
                <w:sz w:val="16"/>
                <w:szCs w:val="16"/>
                <w:color w:val="auto"/>
              </w:rPr>
              <w:t>October 30, 2022</w:t>
            </w: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2022 - July 29, 2022</w:t>
            </w: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2,264</w:t>
            </w:r>
          </w:p>
        </w:tc>
        <w:tc>
          <w:tcPr>
            <w:tcW w:w="18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2022</w:t>
            </w:r>
          </w:p>
        </w:tc>
      </w:tr>
      <w:tr>
        <w:trPr>
          <w:trHeight w:val="212"/>
        </w:trPr>
        <w:tc>
          <w:tcPr>
            <w:tcW w:w="3360" w:type="dxa"/>
            <w:vAlign w:val="bottom"/>
          </w:tcPr>
          <w:p>
            <w:pPr>
              <w:ind w:left="20"/>
              <w:spacing w:after="0"/>
              <w:rPr>
                <w:sz w:val="20"/>
                <w:szCs w:val="20"/>
                <w:color w:val="auto"/>
              </w:rPr>
            </w:pPr>
            <w:r>
              <w:rPr>
                <w:rFonts w:ascii="Arial" w:cs="Arial" w:eastAsia="Arial" w:hAnsi="Arial"/>
                <w:sz w:val="16"/>
                <w:szCs w:val="16"/>
                <w:color w:val="auto"/>
              </w:rPr>
              <w:t>January 30, 2022 - April 29, 2022</w:t>
            </w:r>
          </w:p>
        </w:tc>
        <w:tc>
          <w:tcPr>
            <w:tcW w:w="10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760" w:type="dxa"/>
            <w:vAlign w:val="bottom"/>
          </w:tcPr>
          <w:p>
            <w:pPr>
              <w:jc w:val="right"/>
              <w:ind w:right="5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2,264</w:t>
            </w:r>
          </w:p>
        </w:tc>
        <w:tc>
          <w:tcPr>
            <w:tcW w:w="1880" w:type="dxa"/>
            <w:vAlign w:val="bottom"/>
          </w:tcPr>
          <w:p>
            <w:pPr>
              <w:jc w:val="right"/>
              <w:ind w:right="241"/>
              <w:spacing w:after="0"/>
              <w:rPr>
                <w:sz w:val="20"/>
                <w:szCs w:val="20"/>
                <w:color w:val="auto"/>
              </w:rPr>
            </w:pPr>
            <w:r>
              <w:rPr>
                <w:rFonts w:ascii="Arial" w:cs="Arial" w:eastAsia="Arial" w:hAnsi="Arial"/>
                <w:sz w:val="16"/>
                <w:szCs w:val="16"/>
                <w:color w:val="auto"/>
              </w:rPr>
              <w:t>April 15, 2022</w:t>
            </w:r>
          </w:p>
        </w:tc>
        <w:tc>
          <w:tcPr>
            <w:tcW w:w="1560" w:type="dxa"/>
            <w:vAlign w:val="bottom"/>
          </w:tcPr>
          <w:p>
            <w:pPr>
              <w:jc w:val="right"/>
              <w:spacing w:after="0"/>
              <w:rPr>
                <w:sz w:val="20"/>
                <w:szCs w:val="20"/>
                <w:color w:val="auto"/>
              </w:rPr>
            </w:pPr>
            <w:r>
              <w:rPr>
                <w:rFonts w:ascii="Arial" w:cs="Arial" w:eastAsia="Arial" w:hAnsi="Arial"/>
                <w:sz w:val="16"/>
                <w:szCs w:val="16"/>
                <w:color w:val="auto"/>
              </w:rPr>
              <w:t>April 30, 2022</w:t>
            </w:r>
          </w:p>
        </w:tc>
      </w:tr>
    </w:tbl>
    <w:p>
      <w:pPr>
        <w:spacing w:after="0" w:line="146" w:lineRule="exact"/>
        <w:rPr>
          <w:sz w:val="20"/>
          <w:szCs w:val="20"/>
          <w:color w:val="auto"/>
        </w:rPr>
      </w:pPr>
    </w:p>
    <w:p>
      <w:pPr>
        <w:spacing w:after="0"/>
        <w:tabs>
          <w:tab w:leader="none" w:pos="206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January 3, 2025.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Company's income (loss) before taxes are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4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684"/>
              <w:spacing w:after="0"/>
              <w:rPr>
                <w:sz w:val="20"/>
                <w:szCs w:val="20"/>
                <w:color w:val="auto"/>
              </w:rPr>
            </w:pPr>
            <w:r>
              <w:rPr>
                <w:rFonts w:ascii="Arial" w:cs="Arial" w:eastAsia="Arial" w:hAnsi="Arial"/>
                <w:sz w:val="15"/>
                <w:szCs w:val="15"/>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77"/>
        </w:trPr>
        <w:tc>
          <w:tcPr>
            <w:tcW w:w="482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2022</w:t>
            </w:r>
          </w:p>
        </w:tc>
      </w:tr>
      <w:tr>
        <w:trPr>
          <w:trHeight w:val="34"/>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Domestic (including U.S. exports)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41,665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center"/>
              <w:ind w:left="404"/>
              <w:spacing w:after="0"/>
              <w:rPr>
                <w:sz w:val="20"/>
                <w:szCs w:val="20"/>
                <w:color w:val="auto"/>
              </w:rPr>
            </w:pPr>
            <w:r>
              <w:rPr>
                <w:rFonts w:ascii="Arial" w:cs="Arial" w:eastAsia="Arial" w:hAnsi="Arial"/>
                <w:sz w:val="15"/>
                <w:szCs w:val="15"/>
                <w:color w:val="auto"/>
              </w:rPr>
              <w:t>(59,397)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20,495</w:t>
            </w:r>
          </w:p>
        </w:tc>
      </w:tr>
      <w:tr>
        <w:trPr>
          <w:trHeight w:val="201"/>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Foreign subsidiaries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49,645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424"/>
              <w:spacing w:after="0"/>
              <w:rPr>
                <w:sz w:val="20"/>
                <w:szCs w:val="20"/>
                <w:color w:val="auto"/>
              </w:rPr>
            </w:pPr>
            <w:r>
              <w:rPr>
                <w:rFonts w:ascii="Arial" w:cs="Arial" w:eastAsia="Arial" w:hAnsi="Arial"/>
                <w:sz w:val="15"/>
                <w:szCs w:val="15"/>
                <w:color w:val="auto"/>
              </w:rPr>
              <w:t>37,208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37,086</w:t>
            </w:r>
          </w:p>
        </w:tc>
      </w:tr>
      <w:tr>
        <w:trPr>
          <w:trHeight w:val="221"/>
        </w:trPr>
        <w:tc>
          <w:tcPr>
            <w:tcW w:w="48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91,310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center"/>
              <w:ind w:left="404"/>
              <w:spacing w:after="0"/>
              <w:rPr>
                <w:sz w:val="20"/>
                <w:szCs w:val="20"/>
                <w:color w:val="auto"/>
              </w:rPr>
            </w:pPr>
            <w:r>
              <w:rPr>
                <w:rFonts w:ascii="Arial" w:cs="Arial" w:eastAsia="Arial" w:hAnsi="Arial"/>
                <w:sz w:val="15"/>
                <w:szCs w:val="15"/>
                <w:color w:val="auto"/>
              </w:rPr>
              <w:t>(22,189)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57,581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Company’s income tax provision are as follows:</w:t>
      </w:r>
    </w:p>
    <w:p>
      <w:pPr>
        <w:spacing w:after="0" w:line="143"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4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5"/>
                <w:szCs w:val="15"/>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2022</w:t>
            </w:r>
          </w:p>
        </w:tc>
      </w:tr>
      <w:tr>
        <w:trPr>
          <w:trHeight w:val="34"/>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Current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1"/>
        </w:trPr>
        <w:tc>
          <w:tcPr>
            <w:tcW w:w="4800" w:type="dxa"/>
            <w:vAlign w:val="bottom"/>
          </w:tcPr>
          <w:p>
            <w:pPr>
              <w:ind w:left="320"/>
              <w:spacing w:after="0"/>
              <w:rPr>
                <w:sz w:val="20"/>
                <w:szCs w:val="20"/>
                <w:color w:val="auto"/>
              </w:rPr>
            </w:pPr>
            <w:r>
              <w:rPr>
                <w:rFonts w:ascii="Arial" w:cs="Arial" w:eastAsia="Arial" w:hAnsi="Arial"/>
                <w:sz w:val="15"/>
                <w:szCs w:val="15"/>
                <w:color w:val="auto"/>
              </w:rPr>
              <w:t>Federal</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43,115</w:t>
            </w:r>
          </w:p>
        </w:tc>
        <w:tc>
          <w:tcPr>
            <w:tcW w:w="12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25,713</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21,744</w:t>
            </w:r>
          </w:p>
        </w:tc>
      </w:tr>
      <w:tr>
        <w:trPr>
          <w:trHeight w:val="204"/>
        </w:trPr>
        <w:tc>
          <w:tcPr>
            <w:tcW w:w="4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State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9,402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5,639</w:t>
            </w:r>
          </w:p>
        </w:tc>
      </w:tr>
      <w:tr>
        <w:trPr>
          <w:trHeight w:val="201"/>
        </w:trPr>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Foreign</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14,374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11,318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10,961</w:t>
            </w:r>
          </w:p>
        </w:tc>
      </w:tr>
      <w:tr>
        <w:trPr>
          <w:trHeight w:val="197"/>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Total current taxes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66,891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42,438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38,344</w:t>
            </w:r>
          </w:p>
        </w:tc>
      </w:tr>
      <w:tr>
        <w:trPr>
          <w:trHeight w:val="181"/>
        </w:trPr>
        <w:tc>
          <w:tcPr>
            <w:tcW w:w="4800" w:type="dxa"/>
            <w:vAlign w:val="bottom"/>
          </w:tcPr>
          <w:p>
            <w:pPr>
              <w:spacing w:after="0"/>
              <w:rPr>
                <w:sz w:val="20"/>
                <w:szCs w:val="20"/>
                <w:color w:val="auto"/>
              </w:rPr>
            </w:pPr>
            <w:r>
              <w:rPr>
                <w:rFonts w:ascii="Arial" w:cs="Arial" w:eastAsia="Arial" w:hAnsi="Arial"/>
                <w:sz w:val="15"/>
                <w:szCs w:val="15"/>
                <w:color w:val="auto"/>
              </w:rPr>
              <w:t>Deferred taxes: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4"/>
        </w:trPr>
        <w:tc>
          <w:tcPr>
            <w:tcW w:w="4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Federal</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1,841</w:t>
            </w:r>
          </w:p>
        </w:tc>
      </w:tr>
      <w:tr>
        <w:trPr>
          <w:trHeight w:val="201"/>
        </w:trPr>
        <w:tc>
          <w:tcPr>
            <w:tcW w:w="4800" w:type="dxa"/>
            <w:vAlign w:val="bottom"/>
          </w:tcPr>
          <w:p>
            <w:pPr>
              <w:ind w:left="320"/>
              <w:spacing w:after="0"/>
              <w:rPr>
                <w:sz w:val="20"/>
                <w:szCs w:val="20"/>
                <w:color w:val="auto"/>
              </w:rPr>
            </w:pPr>
            <w:r>
              <w:rPr>
                <w:rFonts w:ascii="Arial" w:cs="Arial" w:eastAsia="Arial" w:hAnsi="Arial"/>
                <w:sz w:val="15"/>
                <w:szCs w:val="15"/>
                <w:color w:val="auto"/>
              </w:rPr>
              <w:t>State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2,834</w:t>
            </w:r>
          </w:p>
        </w:tc>
      </w:tr>
      <w:tr>
        <w:trPr>
          <w:trHeight w:val="204"/>
        </w:trPr>
        <w:tc>
          <w:tcPr>
            <w:tcW w:w="4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Foreign</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(1,652)</w:t>
            </w:r>
          </w:p>
        </w:tc>
      </w:tr>
      <w:tr>
        <w:trPr>
          <w:trHeight w:val="195"/>
        </w:trPr>
        <w:tc>
          <w:tcPr>
            <w:tcW w:w="48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deferred taxes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(17,879)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(19,799)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3,023</w:t>
            </w:r>
          </w:p>
        </w:tc>
      </w:tr>
      <w:tr>
        <w:trPr>
          <w:trHeight w:val="222"/>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tax provision</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49,012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22,639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41,367</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tax effects of temporary differences that have resulted in the creation of deferred tax assets and deferred tax liabilities at December 31, 2024 and 2023 are as follows:</w:t>
      </w:r>
    </w:p>
    <w:p>
      <w:pPr>
        <w:spacing w:after="0" w:line="125" w:lineRule="exact"/>
        <w:rPr>
          <w:sz w:val="20"/>
          <w:szCs w:val="20"/>
          <w:color w:val="auto"/>
        </w:rPr>
      </w:pPr>
    </w:p>
    <w:tbl>
      <w:tblPr>
        <w:tblLayout w:type="fixed"/>
        <w:tblInd w:w="1240" w:type="dxa"/>
        <w:tblCellMar>
          <w:top w:w="0" w:type="dxa"/>
          <w:left w:w="0" w:type="dxa"/>
          <w:bottom w:w="0" w:type="dxa"/>
          <w:right w:w="0" w:type="dxa"/>
        </w:tblCellMar>
      </w:tblPr>
      <w:tr>
        <w:trPr>
          <w:trHeight w:val="208"/>
        </w:trPr>
        <w:tc>
          <w:tcPr>
            <w:tcW w:w="5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558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34"/>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80" w:type="dxa"/>
            <w:vAlign w:val="bottom"/>
          </w:tcPr>
          <w:p>
            <w:pPr>
              <w:spacing w:after="0"/>
              <w:rPr>
                <w:sz w:val="20"/>
                <w:szCs w:val="20"/>
                <w:color w:val="auto"/>
              </w:rPr>
            </w:pPr>
            <w:r>
              <w:rPr>
                <w:rFonts w:ascii="Arial" w:cs="Arial" w:eastAsia="Arial" w:hAnsi="Arial"/>
                <w:sz w:val="15"/>
                <w:szCs w:val="15"/>
                <w:color w:val="auto"/>
              </w:rPr>
              <w:t>Tax credits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3,411</w:t>
            </w:r>
          </w:p>
        </w:tc>
        <w:tc>
          <w:tcPr>
            <w:tcW w:w="120" w:type="dxa"/>
            <w:vAlign w:val="bottom"/>
          </w:tcPr>
          <w:p>
            <w:pPr>
              <w:spacing w:after="0"/>
              <w:rPr>
                <w:sz w:val="17"/>
                <w:szCs w:val="17"/>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5,023</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Accounts receivable and allowances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1,063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1,093</w:t>
            </w:r>
          </w:p>
        </w:tc>
        <w:tc>
          <w:tcPr>
            <w:tcW w:w="0" w:type="dxa"/>
            <w:vAlign w:val="bottom"/>
          </w:tcPr>
          <w:p>
            <w:pPr>
              <w:spacing w:after="0"/>
              <w:rPr>
                <w:sz w:val="1"/>
                <w:szCs w:val="1"/>
                <w:color w:val="auto"/>
              </w:rPr>
            </w:pPr>
          </w:p>
        </w:tc>
      </w:tr>
      <w:tr>
        <w:trPr>
          <w:trHeight w:val="201"/>
        </w:trPr>
        <w:tc>
          <w:tcPr>
            <w:tcW w:w="5580" w:type="dxa"/>
            <w:vAlign w:val="bottom"/>
          </w:tcPr>
          <w:p>
            <w:pPr>
              <w:spacing w:after="0"/>
              <w:rPr>
                <w:sz w:val="20"/>
                <w:szCs w:val="20"/>
                <w:color w:val="auto"/>
              </w:rPr>
            </w:pPr>
            <w:r>
              <w:rPr>
                <w:rFonts w:ascii="Arial" w:cs="Arial" w:eastAsia="Arial" w:hAnsi="Arial"/>
                <w:sz w:val="15"/>
                <w:szCs w:val="15"/>
                <w:color w:val="auto"/>
              </w:rPr>
              <w:t>Net operating loss carryforwards</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14,662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9,803</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Accrued expenses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8,133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6,420</w:t>
            </w:r>
          </w:p>
        </w:tc>
        <w:tc>
          <w:tcPr>
            <w:tcW w:w="0" w:type="dxa"/>
            <w:vAlign w:val="bottom"/>
          </w:tcPr>
          <w:p>
            <w:pPr>
              <w:spacing w:after="0"/>
              <w:rPr>
                <w:sz w:val="1"/>
                <w:szCs w:val="1"/>
                <w:color w:val="auto"/>
              </w:rPr>
            </w:pPr>
          </w:p>
        </w:tc>
      </w:tr>
      <w:tr>
        <w:trPr>
          <w:trHeight w:val="201"/>
        </w:trPr>
        <w:tc>
          <w:tcPr>
            <w:tcW w:w="5580" w:type="dxa"/>
            <w:vAlign w:val="bottom"/>
          </w:tcPr>
          <w:p>
            <w:pPr>
              <w:spacing w:after="0"/>
              <w:rPr>
                <w:sz w:val="20"/>
                <w:szCs w:val="20"/>
                <w:color w:val="auto"/>
              </w:rPr>
            </w:pPr>
            <w:r>
              <w:rPr>
                <w:rFonts w:ascii="Arial" w:cs="Arial" w:eastAsia="Arial" w:hAnsi="Arial"/>
                <w:sz w:val="15"/>
                <w:szCs w:val="15"/>
                <w:color w:val="auto"/>
              </w:rPr>
              <w:t>Interest expense limitation carryforwards</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27,095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16,776</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Lease liabilities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49,988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46,167</w:t>
            </w:r>
          </w:p>
        </w:tc>
        <w:tc>
          <w:tcPr>
            <w:tcW w:w="0" w:type="dxa"/>
            <w:vAlign w:val="bottom"/>
          </w:tcPr>
          <w:p>
            <w:pPr>
              <w:spacing w:after="0"/>
              <w:rPr>
                <w:sz w:val="1"/>
                <w:szCs w:val="1"/>
                <w:color w:val="auto"/>
              </w:rPr>
            </w:pPr>
          </w:p>
        </w:tc>
      </w:tr>
      <w:tr>
        <w:trPr>
          <w:trHeight w:val="201"/>
        </w:trPr>
        <w:tc>
          <w:tcPr>
            <w:tcW w:w="5580" w:type="dxa"/>
            <w:vAlign w:val="bottom"/>
          </w:tcPr>
          <w:p>
            <w:pPr>
              <w:spacing w:after="0"/>
              <w:rPr>
                <w:sz w:val="20"/>
                <w:szCs w:val="20"/>
                <w:color w:val="auto"/>
              </w:rPr>
            </w:pPr>
            <w:r>
              <w:rPr>
                <w:rFonts w:ascii="Arial" w:cs="Arial" w:eastAsia="Arial" w:hAnsi="Arial"/>
                <w:sz w:val="15"/>
                <w:szCs w:val="15"/>
                <w:color w:val="auto"/>
              </w:rPr>
              <w:t>Inventory</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10,911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8,818</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Stock based compensation</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6,050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4,380</w:t>
            </w:r>
          </w:p>
        </w:tc>
        <w:tc>
          <w:tcPr>
            <w:tcW w:w="0" w:type="dxa"/>
            <w:vAlign w:val="bottom"/>
          </w:tcPr>
          <w:p>
            <w:pPr>
              <w:spacing w:after="0"/>
              <w:rPr>
                <w:sz w:val="1"/>
                <w:szCs w:val="1"/>
                <w:color w:val="auto"/>
              </w:rPr>
            </w:pPr>
          </w:p>
        </w:tc>
      </w:tr>
      <w:tr>
        <w:trPr>
          <w:trHeight w:val="201"/>
        </w:trPr>
        <w:tc>
          <w:tcPr>
            <w:tcW w:w="5580" w:type="dxa"/>
            <w:vAlign w:val="bottom"/>
          </w:tcPr>
          <w:p>
            <w:pPr>
              <w:spacing w:after="0"/>
              <w:rPr>
                <w:sz w:val="20"/>
                <w:szCs w:val="20"/>
                <w:color w:val="auto"/>
              </w:rPr>
            </w:pPr>
            <w:r>
              <w:rPr>
                <w:rFonts w:ascii="Arial" w:cs="Arial" w:eastAsia="Arial" w:hAnsi="Arial"/>
                <w:sz w:val="15"/>
                <w:szCs w:val="15"/>
                <w:color w:val="auto"/>
              </w:rPr>
              <w:t>Capitalized research &amp; development expenses</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9,474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4,245</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Capital loss on sale of Crosman</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11,260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55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1,866</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3,568</w:t>
            </w: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tax assets</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143,913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106,293</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5"/>
                <w:szCs w:val="15"/>
                <w:color w:val="auto"/>
              </w:rPr>
              <w:t xml:space="preserve">Valuation allowance </w:t>
            </w:r>
            <w:r>
              <w:rPr>
                <w:rFonts w:ascii="Arial" w:cs="Arial" w:eastAsia="Arial" w:hAnsi="Arial"/>
                <w:sz w:val="19"/>
                <w:szCs w:val="19"/>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(36,599)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(6,816)</w:t>
            </w:r>
          </w:p>
        </w:tc>
        <w:tc>
          <w:tcPr>
            <w:tcW w:w="0" w:type="dxa"/>
            <w:vAlign w:val="bottom"/>
          </w:tcPr>
          <w:p>
            <w:pPr>
              <w:spacing w:after="0"/>
              <w:rPr>
                <w:sz w:val="1"/>
                <w:szCs w:val="1"/>
                <w:color w:val="auto"/>
              </w:rPr>
            </w:pPr>
          </w:p>
        </w:tc>
      </w:tr>
      <w:tr>
        <w:trPr>
          <w:trHeight w:val="221"/>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deferred tax assets</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107,314</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99,477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Deferred tax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(159,174)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(154,025)</w:t>
            </w:r>
          </w:p>
        </w:tc>
        <w:tc>
          <w:tcPr>
            <w:tcW w:w="0" w:type="dxa"/>
            <w:vAlign w:val="bottom"/>
          </w:tcPr>
          <w:p>
            <w:pPr>
              <w:spacing w:after="0"/>
              <w:rPr>
                <w:sz w:val="1"/>
                <w:szCs w:val="1"/>
                <w:color w:val="auto"/>
              </w:rPr>
            </w:pPr>
          </w:p>
        </w:tc>
      </w:tr>
      <w:tr>
        <w:trPr>
          <w:trHeight w:val="201"/>
        </w:trPr>
        <w:tc>
          <w:tcPr>
            <w:tcW w:w="5580" w:type="dxa"/>
            <w:vAlign w:val="bottom"/>
          </w:tcPr>
          <w:p>
            <w:pPr>
              <w:spacing w:after="0"/>
              <w:rPr>
                <w:sz w:val="20"/>
                <w:szCs w:val="20"/>
                <w:color w:val="auto"/>
              </w:rPr>
            </w:pPr>
            <w:r>
              <w:rPr>
                <w:rFonts w:ascii="Arial" w:cs="Arial" w:eastAsia="Arial" w:hAnsi="Arial"/>
                <w:sz w:val="15"/>
                <w:szCs w:val="15"/>
                <w:color w:val="auto"/>
              </w:rPr>
              <w:t>Property and equipment</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(22,672)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(23,276)</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Repatriation of foreign earnings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1"/>
        </w:trPr>
        <w:tc>
          <w:tcPr>
            <w:tcW w:w="5580" w:type="dxa"/>
            <w:vAlign w:val="bottom"/>
          </w:tcPr>
          <w:p>
            <w:pPr>
              <w:spacing w:after="0"/>
              <w:rPr>
                <w:sz w:val="20"/>
                <w:szCs w:val="20"/>
                <w:color w:val="auto"/>
              </w:rPr>
            </w:pPr>
            <w:r>
              <w:rPr>
                <w:rFonts w:ascii="Arial" w:cs="Arial" w:eastAsia="Arial" w:hAnsi="Arial"/>
                <w:sz w:val="15"/>
                <w:szCs w:val="15"/>
                <w:color w:val="auto"/>
              </w:rPr>
              <w:t>Prepaid and other expenses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(1,256)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(842)</w:t>
            </w:r>
          </w:p>
        </w:tc>
        <w:tc>
          <w:tcPr>
            <w:tcW w:w="0" w:type="dxa"/>
            <w:vAlign w:val="bottom"/>
          </w:tcPr>
          <w:p>
            <w:pPr>
              <w:spacing w:after="0"/>
              <w:rPr>
                <w:sz w:val="1"/>
                <w:szCs w:val="1"/>
                <w:color w:val="auto"/>
              </w:rPr>
            </w:pPr>
          </w:p>
        </w:tc>
      </w:tr>
      <w:tr>
        <w:trPr>
          <w:trHeight w:val="204"/>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Right of use assets</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(44,122)</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(40,178)</w:t>
            </w:r>
          </w:p>
        </w:tc>
        <w:tc>
          <w:tcPr>
            <w:tcW w:w="0" w:type="dxa"/>
            <w:vAlign w:val="bottom"/>
          </w:tcPr>
          <w:p>
            <w:pPr>
              <w:spacing w:after="0"/>
              <w:rPr>
                <w:sz w:val="1"/>
                <w:szCs w:val="1"/>
                <w:color w:val="auto"/>
              </w:rPr>
            </w:pPr>
          </w:p>
        </w:tc>
      </w:tr>
      <w:tr>
        <w:trPr>
          <w:trHeight w:val="195"/>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deferred tax liabilities</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(227,262)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(218,359)</w:t>
            </w:r>
          </w:p>
        </w:tc>
        <w:tc>
          <w:tcPr>
            <w:tcW w:w="0" w:type="dxa"/>
            <w:vAlign w:val="bottom"/>
          </w:tcPr>
          <w:p>
            <w:pPr>
              <w:spacing w:after="0"/>
              <w:rPr>
                <w:sz w:val="1"/>
                <w:szCs w:val="1"/>
                <w:color w:val="auto"/>
              </w:rPr>
            </w:pPr>
          </w:p>
        </w:tc>
      </w:tr>
      <w:tr>
        <w:trPr>
          <w:trHeight w:val="222"/>
        </w:trPr>
        <w:tc>
          <w:tcPr>
            <w:tcW w:w="5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Total net deferred tax liability</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(119,948)</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(118,882)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23"/>
          <w:szCs w:val="23"/>
          <w:b w:val="1"/>
          <w:bCs w:val="1"/>
          <w:color w:val="auto"/>
          <w:vertAlign w:val="superscript"/>
        </w:rPr>
      </w:pPr>
      <w:r>
        <w:rPr>
          <w:rFonts w:ascii="Arial" w:cs="Arial" w:eastAsia="Arial" w:hAnsi="Arial"/>
          <w:sz w:val="17"/>
          <w:szCs w:val="17"/>
          <w:color w:val="auto"/>
        </w:rPr>
        <w:t>Primarily relates to the Trust and 5.11, Arnold and Velocity operating segments.</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December 31, 2024 and 2023, the Company had approximately $227.3 million and $218.4 million, respectively in deferred tax liabilities. A significant portion of the balance in deferred tax liabilities reflects temporary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differences in the basis of property and equipment and intangible assets related to the Company’s purchase accounting adjustments in connection with the acquisition of certain of its businesses. For financial accounting purposes the Company has recognized a significant increase in the fair values of the intangible assets and property and equipment in certain of the businesses it acquired. For income tax purposes the existing, pre-acquisition tax basis of the intangible assets and property and equipment is utilized. In order to reflect the increase in the financial accounting basis over the existing tax basis, a deferred tax liability was recorded. This liability will decrease in future periods as these temporary differences reverse but may be replaced by deferred tax liabilities generated as a result of future acquisitions.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2024 and 2023, the Company had U.S. Federal net operating loss carryforwards of approximately $40.6 million and $19.2 million, respectively. Approximately $10.6 million of these carryforwards will expire, if not utilized, beginning in 2036. The remaining balance of the Company's U.S. Federal net operating loss carryforwards do not expire and are subject to utilization limitations based on a percentage of taxable income in a given year. As of December 31, 2024 and 2023, the Company had net operating loss carryforwards for state income tax purposes of $50.6 million and $46.1 million, respectively. The Company’s state net operating loss carryforwards will expire, if not utilized, beginning in 2026. As of December 31, 2024 and 2023, the Company had foreign net operating loss carryforwards of $11.0 million and $10.2 million, respectively. The foreign net operating loss carryforwards will expire, if not utilized, beginning in 2024. As of December 31, 2024, the Company had Federal capital loss carryforwards of $47.5 million. The Federal capital loss carryforwards will expire in 2029 if not utilized. As of December 31, 2024, the Company had State capital loss carryforwards of $0.5 million. The State capital loss carryforwards will expire in 2044 if not utilized.</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2024 and 2023, the Company had federal research and development tax credit carryforwards of $ 0.2 million and $1.7 million, respectively. The research and development tax credit carryforwards will expire beginning in 2044 if not utilized. As of December 31, 2024 and 2023, the Company had foreign tax credit carryforwards of $2.0 million and $2.8 million, respectively. The foreign tax credit carryforwards will expire beginning in 2031 if not utilized. As of December 31, 2024 and 2023, the Company had state tax credit carryforwards, consisting mostly of California business tax credits of $0.8 million and $1.1 million, respectively. The California business tax credit carryforwards will expire, if not utilized, beginning in 2025.</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and 2023, the Company had a valuation allowance related to the realization of domestic and foreign net operating losses, domestic and foreign tax credits and the limitation on the deduction of interest expense of $36.6 million and $6.8 million, respectively. A valuation allowance is provided whenever it is more likely than not that some or all of deferred assets recorded may not be realized.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between the Federal Statutory Rate and the effective income tax rate for 2024, 2023 and 2022 are as follows:</w:t>
      </w:r>
    </w:p>
    <w:p>
      <w:pPr>
        <w:spacing w:after="0" w:line="143" w:lineRule="exact"/>
        <w:rPr>
          <w:sz w:val="20"/>
          <w:szCs w:val="20"/>
          <w:color w:val="auto"/>
        </w:rPr>
      </w:pPr>
    </w:p>
    <w:p>
      <w:pPr>
        <w:ind w:left="7780"/>
        <w:spacing w:after="0"/>
        <w:rPr>
          <w:sz w:val="20"/>
          <w:szCs w:val="20"/>
          <w:color w:val="auto"/>
        </w:rPr>
      </w:pPr>
      <w:r>
        <w:rPr>
          <w:rFonts w:ascii="Arial" w:cs="Arial" w:eastAsia="Arial" w:hAnsi="Arial"/>
          <w:sz w:val="15"/>
          <w:szCs w:val="15"/>
          <w:b w:val="1"/>
          <w:bCs w:val="1"/>
          <w:color w:val="auto"/>
        </w:rPr>
        <w:t>Year ended December 31,</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1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2022</w:t>
            </w:r>
          </w:p>
        </w:tc>
      </w:tr>
      <w:tr>
        <w:trPr>
          <w:trHeight w:val="196"/>
        </w:trPr>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United States Federal Statutory Rate</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r>
      <w:tr>
        <w:trPr>
          <w:trHeight w:val="201"/>
        </w:trPr>
        <w:tc>
          <w:tcPr>
            <w:tcW w:w="7180" w:type="dxa"/>
            <w:vAlign w:val="bottom"/>
            <w:gridSpan w:val="2"/>
          </w:tcPr>
          <w:p>
            <w:pPr>
              <w:spacing w:after="0"/>
              <w:rPr>
                <w:sz w:val="20"/>
                <w:szCs w:val="20"/>
                <w:color w:val="auto"/>
              </w:rPr>
            </w:pPr>
            <w:r>
              <w:rPr>
                <w:rFonts w:ascii="Arial" w:cs="Arial" w:eastAsia="Arial" w:hAnsi="Arial"/>
                <w:sz w:val="15"/>
                <w:szCs w:val="15"/>
                <w:color w:val="auto"/>
              </w:rPr>
              <w:t>State income taxes (net of Federal benefits)</w:t>
            </w:r>
          </w:p>
        </w:tc>
        <w:tc>
          <w:tcPr>
            <w:tcW w:w="580" w:type="dxa"/>
            <w:vAlign w:val="bottom"/>
          </w:tcPr>
          <w:p>
            <w:pPr>
              <w:jc w:val="right"/>
              <w:ind w:right="144"/>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7"/>
                <w:szCs w:val="17"/>
                <w:color w:val="auto"/>
              </w:rPr>
            </w:pPr>
          </w:p>
        </w:tc>
        <w:tc>
          <w:tcPr>
            <w:tcW w:w="1620" w:type="dxa"/>
            <w:vAlign w:val="bottom"/>
          </w:tcPr>
          <w:p>
            <w:pPr>
              <w:jc w:val="right"/>
              <w:ind w:right="104"/>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7.7</w:t>
            </w:r>
          </w:p>
        </w:tc>
      </w:tr>
      <w:tr>
        <w:trPr>
          <w:trHeight w:val="204"/>
        </w:trPr>
        <w:tc>
          <w:tcPr>
            <w:tcW w:w="7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income taxes</w:t>
            </w:r>
          </w:p>
        </w:tc>
        <w:tc>
          <w:tcPr>
            <w:tcW w:w="5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3.8</w:t>
            </w:r>
          </w:p>
        </w:tc>
      </w:tr>
      <w:tr>
        <w:trPr>
          <w:trHeight w:val="201"/>
        </w:trPr>
        <w:tc>
          <w:tcPr>
            <w:tcW w:w="7180" w:type="dxa"/>
            <w:vAlign w:val="bottom"/>
            <w:gridSpan w:val="2"/>
          </w:tcPr>
          <w:p>
            <w:pPr>
              <w:spacing w:after="0"/>
              <w:rPr>
                <w:sz w:val="20"/>
                <w:szCs w:val="20"/>
                <w:color w:val="auto"/>
              </w:rPr>
            </w:pPr>
            <w:r>
              <w:rPr>
                <w:rFonts w:ascii="Arial" w:cs="Arial" w:eastAsia="Arial" w:hAnsi="Arial"/>
                <w:sz w:val="15"/>
                <w:szCs w:val="15"/>
                <w:color w:val="auto"/>
              </w:rPr>
              <w:t>Impact of subsidiary employee stock options</w:t>
            </w:r>
          </w:p>
        </w:tc>
        <w:tc>
          <w:tcPr>
            <w:tcW w:w="580" w:type="dxa"/>
            <w:vAlign w:val="bottom"/>
          </w:tcPr>
          <w:p>
            <w:pPr>
              <w:jc w:val="right"/>
              <w:ind w:right="144"/>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1620" w:type="dxa"/>
            <w:vAlign w:val="bottom"/>
          </w:tcPr>
          <w:p>
            <w:pPr>
              <w:jc w:val="right"/>
              <w:ind w:right="144"/>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0.2</w:t>
            </w:r>
          </w:p>
        </w:tc>
      </w:tr>
      <w:tr>
        <w:trPr>
          <w:trHeight w:val="204"/>
        </w:trPr>
        <w:tc>
          <w:tcPr>
            <w:tcW w:w="7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Non-deductible acquisition costs</w:t>
            </w:r>
          </w:p>
        </w:tc>
        <w:tc>
          <w:tcPr>
            <w:tcW w:w="5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0.9</w:t>
            </w:r>
          </w:p>
        </w:tc>
      </w:tr>
      <w:tr>
        <w:trPr>
          <w:trHeight w:val="201"/>
        </w:trPr>
        <w:tc>
          <w:tcPr>
            <w:tcW w:w="7180" w:type="dxa"/>
            <w:vAlign w:val="bottom"/>
            <w:gridSpan w:val="2"/>
          </w:tcPr>
          <w:p>
            <w:pPr>
              <w:spacing w:after="0"/>
              <w:rPr>
                <w:sz w:val="20"/>
                <w:szCs w:val="20"/>
                <w:color w:val="auto"/>
              </w:rPr>
            </w:pPr>
            <w:r>
              <w:rPr>
                <w:rFonts w:ascii="Arial" w:cs="Arial" w:eastAsia="Arial" w:hAnsi="Arial"/>
                <w:sz w:val="15"/>
                <w:szCs w:val="15"/>
                <w:color w:val="auto"/>
              </w:rPr>
              <w:t>Impairment expense</w:t>
            </w:r>
          </w:p>
        </w:tc>
        <w:tc>
          <w:tcPr>
            <w:tcW w:w="580" w:type="dxa"/>
            <w:vAlign w:val="bottom"/>
          </w:tcPr>
          <w:p>
            <w:pPr>
              <w:jc w:val="right"/>
              <w:ind w:right="144"/>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1620" w:type="dxa"/>
            <w:vAlign w:val="bottom"/>
          </w:tcPr>
          <w:p>
            <w:pPr>
              <w:jc w:val="right"/>
              <w:ind w:right="104"/>
              <w:spacing w:after="0"/>
              <w:rPr>
                <w:sz w:val="20"/>
                <w:szCs w:val="20"/>
                <w:color w:val="auto"/>
              </w:rPr>
            </w:pPr>
            <w:r>
              <w:rPr>
                <w:rFonts w:ascii="Arial" w:cs="Arial" w:eastAsia="Arial" w:hAnsi="Arial"/>
                <w:sz w:val="15"/>
                <w:szCs w:val="15"/>
                <w:color w:val="auto"/>
              </w:rPr>
              <w:t>(70.7)</w:t>
            </w:r>
          </w:p>
        </w:tc>
        <w:tc>
          <w:tcPr>
            <w:tcW w:w="10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w:t>
            </w:r>
          </w:p>
        </w:tc>
      </w:tr>
      <w:tr>
        <w:trPr>
          <w:trHeight w:val="204"/>
        </w:trPr>
        <w:tc>
          <w:tcPr>
            <w:tcW w:w="7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Non-recognition of various carryforwards at subsidiaries</w:t>
            </w:r>
          </w:p>
        </w:tc>
        <w:tc>
          <w:tcPr>
            <w:tcW w:w="5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22.4</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27.6</w:t>
            </w:r>
          </w:p>
        </w:tc>
      </w:tr>
      <w:tr>
        <w:trPr>
          <w:trHeight w:val="201"/>
        </w:trPr>
        <w:tc>
          <w:tcPr>
            <w:tcW w:w="7180" w:type="dxa"/>
            <w:vAlign w:val="bottom"/>
            <w:gridSpan w:val="2"/>
          </w:tcPr>
          <w:p>
            <w:pPr>
              <w:spacing w:after="0"/>
              <w:rPr>
                <w:sz w:val="20"/>
                <w:szCs w:val="20"/>
                <w:color w:val="auto"/>
              </w:rPr>
            </w:pPr>
            <w:r>
              <w:rPr>
                <w:rFonts w:ascii="Arial" w:cs="Arial" w:eastAsia="Arial" w:hAnsi="Arial"/>
                <w:sz w:val="15"/>
                <w:szCs w:val="15"/>
                <w:color w:val="auto"/>
              </w:rPr>
              <w:t>United States tax on foreign income</w:t>
            </w:r>
          </w:p>
        </w:tc>
        <w:tc>
          <w:tcPr>
            <w:tcW w:w="580" w:type="dxa"/>
            <w:vAlign w:val="bottom"/>
          </w:tcPr>
          <w:p>
            <w:pPr>
              <w:jc w:val="right"/>
              <w:ind w:right="10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1620" w:type="dxa"/>
            <w:vAlign w:val="bottom"/>
          </w:tcPr>
          <w:p>
            <w:pPr>
              <w:jc w:val="right"/>
              <w:ind w:right="104"/>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0.6</w:t>
            </w:r>
          </w:p>
        </w:tc>
      </w:tr>
      <w:tr>
        <w:trPr>
          <w:trHeight w:val="204"/>
        </w:trPr>
        <w:tc>
          <w:tcPr>
            <w:tcW w:w="7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Dividend (net of dividend received deduction)</w:t>
            </w:r>
          </w:p>
        </w:tc>
        <w:tc>
          <w:tcPr>
            <w:tcW w:w="5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(42.1)</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5.5</w:t>
            </w:r>
          </w:p>
        </w:tc>
      </w:tr>
      <w:tr>
        <w:trPr>
          <w:trHeight w:val="201"/>
        </w:trPr>
        <w:tc>
          <w:tcPr>
            <w:tcW w:w="7180" w:type="dxa"/>
            <w:vAlign w:val="bottom"/>
            <w:gridSpan w:val="2"/>
          </w:tcPr>
          <w:p>
            <w:pPr>
              <w:spacing w:after="0"/>
              <w:rPr>
                <w:sz w:val="20"/>
                <w:szCs w:val="20"/>
                <w:color w:val="auto"/>
              </w:rPr>
            </w:pPr>
            <w:r>
              <w:rPr>
                <w:rFonts w:ascii="Arial" w:cs="Arial" w:eastAsia="Arial" w:hAnsi="Arial"/>
                <w:sz w:val="15"/>
                <w:szCs w:val="15"/>
                <w:color w:val="auto"/>
              </w:rPr>
              <w:t>Utilization of tax credits</w:t>
            </w:r>
          </w:p>
        </w:tc>
        <w:tc>
          <w:tcPr>
            <w:tcW w:w="580" w:type="dxa"/>
            <w:vAlign w:val="bottom"/>
          </w:tcPr>
          <w:p>
            <w:pPr>
              <w:jc w:val="right"/>
              <w:ind w:right="104"/>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1620" w:type="dxa"/>
            <w:vAlign w:val="bottom"/>
          </w:tcPr>
          <w:p>
            <w:pPr>
              <w:jc w:val="right"/>
              <w:ind w:right="144"/>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7"/>
                <w:szCs w:val="17"/>
                <w:color w:val="auto"/>
              </w:rPr>
            </w:pPr>
          </w:p>
        </w:tc>
        <w:tc>
          <w:tcPr>
            <w:tcW w:w="1600" w:type="dxa"/>
            <w:vAlign w:val="bottom"/>
          </w:tcPr>
          <w:p>
            <w:pPr>
              <w:jc w:val="right"/>
              <w:ind w:right="84"/>
              <w:spacing w:after="0"/>
              <w:rPr>
                <w:sz w:val="20"/>
                <w:szCs w:val="20"/>
                <w:color w:val="auto"/>
              </w:rPr>
            </w:pPr>
            <w:r>
              <w:rPr>
                <w:rFonts w:ascii="Arial" w:cs="Arial" w:eastAsia="Arial" w:hAnsi="Arial"/>
                <w:sz w:val="15"/>
                <w:szCs w:val="15"/>
                <w:color w:val="auto"/>
              </w:rPr>
              <w:t>(13.0)</w:t>
            </w:r>
          </w:p>
        </w:tc>
      </w:tr>
      <w:tr>
        <w:trPr>
          <w:trHeight w:val="204"/>
        </w:trPr>
        <w:tc>
          <w:tcPr>
            <w:tcW w:w="7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Tax effect – loss on sale of Crosman</w:t>
            </w:r>
          </w:p>
        </w:tc>
        <w:tc>
          <w:tcPr>
            <w:tcW w:w="5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r>
      <w:tr>
        <w:trPr>
          <w:trHeight w:val="201"/>
        </w:trPr>
        <w:tc>
          <w:tcPr>
            <w:tcW w:w="7180" w:type="dxa"/>
            <w:vAlign w:val="bottom"/>
            <w:gridSpan w:val="2"/>
          </w:tcPr>
          <w:p>
            <w:pPr>
              <w:spacing w:after="0"/>
              <w:rPr>
                <w:sz w:val="20"/>
                <w:szCs w:val="20"/>
                <w:color w:val="auto"/>
              </w:rPr>
            </w:pPr>
            <w:r>
              <w:rPr>
                <w:rFonts w:ascii="Arial" w:cs="Arial" w:eastAsia="Arial" w:hAnsi="Arial"/>
                <w:sz w:val="15"/>
                <w:szCs w:val="15"/>
                <w:color w:val="auto"/>
              </w:rPr>
              <w:t>Effect of classification of assets held for sale</w:t>
            </w: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14.9</w:t>
            </w: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2.6</w:t>
            </w:r>
          </w:p>
        </w:tc>
      </w:tr>
      <w:tr>
        <w:trPr>
          <w:trHeight w:val="197"/>
        </w:trPr>
        <w:tc>
          <w:tcPr>
            <w:tcW w:w="7180" w:type="dxa"/>
            <w:vAlign w:val="bottom"/>
            <w:gridSpan w:val="2"/>
          </w:tcPr>
          <w:p>
            <w:pPr>
              <w:ind w:left="340"/>
              <w:spacing w:after="0"/>
              <w:rPr>
                <w:sz w:val="20"/>
                <w:szCs w:val="20"/>
                <w:color w:val="auto"/>
              </w:rPr>
            </w:pPr>
            <w:r>
              <w:rPr>
                <w:rFonts w:ascii="Arial" w:cs="Arial" w:eastAsia="Arial" w:hAnsi="Arial"/>
                <w:sz w:val="15"/>
                <w:szCs w:val="15"/>
                <w:color w:val="auto"/>
              </w:rPr>
              <w:t>Effective income tax rate</w:t>
            </w:r>
          </w:p>
        </w:tc>
        <w:tc>
          <w:tcPr>
            <w:tcW w:w="580" w:type="dxa"/>
            <w:vAlign w:val="bottom"/>
          </w:tcPr>
          <w:p>
            <w:pPr>
              <w:jc w:val="right"/>
              <w:spacing w:after="0"/>
              <w:rPr>
                <w:sz w:val="20"/>
                <w:szCs w:val="20"/>
                <w:color w:val="auto"/>
              </w:rPr>
            </w:pPr>
            <w:r>
              <w:rPr>
                <w:rFonts w:ascii="Arial" w:cs="Arial" w:eastAsia="Arial" w:hAnsi="Arial"/>
                <w:sz w:val="15"/>
                <w:szCs w:val="15"/>
                <w:color w:val="auto"/>
              </w:rPr>
              <w:t>53.7 %</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(102.0)%</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71.8 %</w:t>
            </w:r>
          </w:p>
        </w:tc>
      </w:tr>
      <w:tr>
        <w:trPr>
          <w:trHeight w:val="20"/>
        </w:trPr>
        <w:tc>
          <w:tcPr>
            <w:tcW w:w="6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0" w:name="page181"/>
    <w:bookmarkEnd w:id="180"/>
    <w:p>
      <w:pPr>
        <w:jc w:val="center"/>
        <w:ind w:left="2620"/>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ind w:left="26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reconciliation of the amount of unrecognized tax benefits for 2024, 2023 and 2022 are as follows </w:t>
      </w:r>
      <w:r>
        <w:rPr>
          <w:rFonts w:ascii="Arial" w:cs="Arial" w:eastAsia="Arial" w:hAnsi="Arial"/>
          <w:sz w:val="17"/>
          <w:szCs w:val="17"/>
          <w:i w:val="1"/>
          <w:iCs w:val="1"/>
          <w:color w:val="auto"/>
        </w:rPr>
        <w:t>(in thousands)</w:t>
      </w:r>
      <w:r>
        <w:rPr>
          <w:rFonts w:ascii="Times New Roman" w:cs="Times New Roman" w:eastAsia="Times New Roman" w:hAnsi="Times New Roman"/>
          <w:sz w:val="17"/>
          <w:szCs w:val="17"/>
          <w:i w:val="1"/>
          <w:iCs w:val="1"/>
          <w:color w:val="auto"/>
        </w:rPr>
        <w: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at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1517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3">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Additions for current years’ tax positions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Additions for prior years’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15175" cy="1282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4">
                      <a:extLst>
                        <a:ext uri="{28A0092B-C50C-407E-A947-70E740481C1C}"/>
                      </a:extLst>
                    </a:blip>
                    <a:srcRect/>
                    <a:stretch>
                      <a:fillRect/>
                    </a:stretch>
                  </pic:blipFill>
                  <pic:spPr bwMode="auto">
                    <a:xfrm>
                      <a:off x="0" y="0"/>
                      <a:ext cx="7115175" cy="128270"/>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Reductions for prior years’ tax positions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Reductions for expiration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1517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5">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Additions for current years’ tax positions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Additions for prior years’ tax positions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Reductions for prior years'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15175"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Reductions for expiration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at December 31, 2023</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Additions for current years’ tax positions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Additions for prior years’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15175"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9">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Reductions for prior years' tax positions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Reductions for expiration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15175"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0">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00" w:type="dxa"/>
            <w:vAlign w:val="bottom"/>
          </w:tcPr>
          <w:p>
            <w:pPr>
              <w:jc w:val="right"/>
              <w:ind w:right="604"/>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1,254</w:t>
            </w:r>
          </w:p>
        </w:tc>
      </w:tr>
      <w:tr>
        <w:trPr>
          <w:trHeight w:val="203"/>
        </w:trPr>
        <w:tc>
          <w:tcPr>
            <w:tcW w:w="8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91</w:t>
            </w:r>
          </w:p>
        </w:tc>
      </w:tr>
      <w:tr>
        <w:trPr>
          <w:trHeight w:val="203"/>
        </w:trPr>
        <w:tc>
          <w:tcPr>
            <w:tcW w:w="8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15</w:t>
            </w:r>
          </w:p>
        </w:tc>
      </w:tr>
      <w:tr>
        <w:trPr>
          <w:trHeight w:val="203"/>
        </w:trPr>
        <w:tc>
          <w:tcPr>
            <w:tcW w:w="8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05"/>
        </w:trPr>
        <w:tc>
          <w:tcPr>
            <w:tcW w:w="80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r>
      <w:tr>
        <w:trPr>
          <w:trHeight w:val="198"/>
        </w:trPr>
        <w:tc>
          <w:tcPr>
            <w:tcW w:w="80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1,216</w:t>
            </w: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800" w:type="dxa"/>
            <w:vAlign w:val="bottom"/>
          </w:tcPr>
          <w:p>
            <w:pPr>
              <w:spacing w:after="0"/>
              <w:rPr>
                <w:sz w:val="16"/>
                <w:szCs w:val="16"/>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28,325</w:t>
            </w:r>
          </w:p>
        </w:tc>
      </w:tr>
      <w:tr>
        <w:trPr>
          <w:trHeight w:val="200"/>
        </w:trPr>
        <w:tc>
          <w:tcPr>
            <w:tcW w:w="8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33</w:t>
            </w:r>
          </w:p>
        </w:tc>
      </w:tr>
      <w:tr>
        <w:trPr>
          <w:trHeight w:val="203"/>
        </w:trPr>
        <w:tc>
          <w:tcPr>
            <w:tcW w:w="8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(184)</w:t>
            </w:r>
          </w:p>
        </w:tc>
      </w:tr>
      <w:tr>
        <w:trPr>
          <w:trHeight w:val="205"/>
        </w:trPr>
        <w:tc>
          <w:tcPr>
            <w:tcW w:w="8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r>
      <w:tr>
        <w:trPr>
          <w:trHeight w:val="198"/>
        </w:trPr>
        <w:tc>
          <w:tcPr>
            <w:tcW w:w="80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29,322</w:t>
            </w: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800" w:type="dxa"/>
            <w:vAlign w:val="bottom"/>
          </w:tcPr>
          <w:p>
            <w:pPr>
              <w:spacing w:after="0"/>
              <w:rPr>
                <w:sz w:val="16"/>
                <w:szCs w:val="16"/>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7,802</w:t>
            </w:r>
          </w:p>
        </w:tc>
      </w:tr>
      <w:tr>
        <w:trPr>
          <w:trHeight w:val="200"/>
        </w:trPr>
        <w:tc>
          <w:tcPr>
            <w:tcW w:w="8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2"/>
        </w:trPr>
        <w:tc>
          <w:tcPr>
            <w:tcW w:w="8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6"/>
        </w:trPr>
        <w:tc>
          <w:tcPr>
            <w:tcW w:w="8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r>
      <w:tr>
        <w:trPr>
          <w:trHeight w:val="198"/>
        </w:trPr>
        <w:tc>
          <w:tcPr>
            <w:tcW w:w="80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37,026</w:t>
            </w: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40" w:space="540"/>
            <w:col w:w="2060"/>
          </w:cols>
          <w:pgMar w:left="320" w:top="337" w:right="339" w:bottom="1440" w:gutter="0" w:footer="0" w:header="0"/>
        </w:sectPr>
      </w:pP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unrecognized tax benefits are recorded in the consolidated balance sheet in other noncurrent liabilities. Included in the unrecognized tax benefits at December 31, 2024 and 2023 is $1.6 million and $1.3 million, respectively, of tax benefits that, if recognized, would affect the Company’s effective tax rate. Also included in the unrecognized tax benefits at December 31, 2024 and 2023 are $7.4 million and $27.9 million, respectively, of unrecognized tax benefits that, if recognized, would not affect the Company's effective tax rate but would result in an adjustment to discontinued operations in future periods. The $7.4 million in unrecognized tax benefits is recorded as a reduction to the gain on sale related to the sale of our Ergobaby subsidiary in the year ended December 31, 2024. The $27.9 million in unrecognized tax benefits is recorded as a reduction to the gain on sale related to the sale of our ACI and Marucci subsidiaries in the year ended December 31, 2023. If recognized, the tax benefit would result in additional gain on sale of discontinued operations.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accrues interest and penalties related to uncertain tax positions. The amounts accrued at December 31, 2024, 2023 and 2022 are not material to the Company. Such amounts are included in the provision (benefit) for income taxes in the accompanying consolidated statements of operations. It is expected that the amount of unrecognized tax benefits will change in the next twelve months. However, we do not expect the change to have a significant impact on the consolidated results of operations or financial position.</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Each of the Company’s businesses file U.S. Federal, state and foreign income tax returns in multiple jurisdictions with varying statutes of limitations. The 2019 through 2024 tax years generally remain subject to examinations by the taxing authorities.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Fair Value Measurement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assets or liabilities measured on a recurring basis as of December 31, 2024 or December 31,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had no assets or liabilities Level 3 fair value measurements during 2024. A reconciliation of the change in the carrying value of the Company’s Level 3 fair value measurements during the year ended December 31, 2023 is as follows:</w:t>
      </w:r>
    </w:p>
    <w:p>
      <w:pPr>
        <w:spacing w:after="0" w:line="53" w:lineRule="exact"/>
        <w:rPr>
          <w:sz w:val="20"/>
          <w:szCs w:val="20"/>
          <w:color w:val="auto"/>
        </w:rPr>
      </w:pPr>
    </w:p>
    <w:tbl>
      <w:tblPr>
        <w:tblLayout w:type="fixed"/>
        <w:tblInd w:w="184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7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Year ended December</w:t>
            </w:r>
          </w:p>
        </w:tc>
      </w:tr>
      <w:tr>
        <w:trPr>
          <w:trHeight w:val="213"/>
        </w:trPr>
        <w:tc>
          <w:tcPr>
            <w:tcW w:w="58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b w:val="1"/>
                <w:bCs w:val="1"/>
                <w:color w:val="auto"/>
              </w:rPr>
              <w:t>31,</w:t>
            </w:r>
          </w:p>
        </w:tc>
      </w:tr>
      <w:tr>
        <w:trPr>
          <w:trHeight w:val="388"/>
        </w:trPr>
        <w:tc>
          <w:tcPr>
            <w:tcW w:w="580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w:t>
            </w:r>
            <w:r>
              <w:rPr>
                <w:rFonts w:ascii="Arial" w:cs="Arial" w:eastAsia="Arial" w:hAnsi="Arial"/>
                <w:sz w:val="13"/>
                <w:szCs w:val="13"/>
                <w:color w:val="auto"/>
              </w:rPr>
              <w:t>)</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b w:val="1"/>
                <w:bCs w:val="1"/>
                <w:color w:val="auto"/>
              </w:rPr>
              <w:t>2023</w:t>
            </w:r>
          </w:p>
        </w:tc>
      </w:tr>
      <w:tr>
        <w:trPr>
          <w:trHeight w:val="75"/>
        </w:trPr>
        <w:tc>
          <w:tcPr>
            <w:tcW w:w="5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03"/>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January 1st</w:t>
            </w: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(1,442)</w:t>
            </w:r>
          </w:p>
        </w:tc>
      </w:tr>
      <w:tr>
        <w:trPr>
          <w:trHeight w:val="203"/>
        </w:trPr>
        <w:tc>
          <w:tcPr>
            <w:tcW w:w="5800" w:type="dxa"/>
            <w:vAlign w:val="bottom"/>
          </w:tcPr>
          <w:p>
            <w:pPr>
              <w:ind w:left="20"/>
              <w:spacing w:after="0" w:line="203" w:lineRule="exact"/>
              <w:rPr>
                <w:sz w:val="20"/>
                <w:szCs w:val="20"/>
                <w:color w:val="auto"/>
              </w:rPr>
            </w:pPr>
            <w:r>
              <w:rPr>
                <w:rFonts w:ascii="Arial" w:cs="Arial" w:eastAsia="Arial" w:hAnsi="Arial"/>
                <w:sz w:val="15"/>
                <w:szCs w:val="15"/>
                <w:color w:val="auto"/>
              </w:rPr>
              <w:t>Termination of put option of noncontrolling shareholder - 5.11</w:t>
            </w:r>
            <w:r>
              <w:rPr>
                <w:rFonts w:ascii="Arial" w:cs="Arial" w:eastAsia="Arial" w:hAnsi="Arial"/>
                <w:sz w:val="19"/>
                <w:szCs w:val="19"/>
                <w:b w:val="1"/>
                <w:bCs w:val="1"/>
                <w:color w:val="auto"/>
                <w:vertAlign w:val="superscript"/>
              </w:rPr>
              <w:t>(1)</w:t>
            </w:r>
          </w:p>
        </w:tc>
        <w:tc>
          <w:tcPr>
            <w:tcW w:w="42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142</w:t>
            </w:r>
          </w:p>
        </w:tc>
      </w:tr>
      <w:tr>
        <w:trPr>
          <w:trHeight w:val="203"/>
        </w:trPr>
        <w:tc>
          <w:tcPr>
            <w:tcW w:w="580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Adjustment to contingent consideration - King's Camo</w:t>
            </w:r>
            <w:r>
              <w:rPr>
                <w:rFonts w:ascii="Arial" w:cs="Arial" w:eastAsia="Arial" w:hAnsi="Arial"/>
                <w:sz w:val="19"/>
                <w:szCs w:val="19"/>
                <w:b w:val="1"/>
                <w:bCs w:val="1"/>
                <w:color w:val="auto"/>
                <w:vertAlign w:val="superscript"/>
              </w:rPr>
              <w:t>(2)</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w:t>
            </w:r>
          </w:p>
        </w:tc>
      </w:tr>
      <w:tr>
        <w:trPr>
          <w:trHeight w:val="203"/>
        </w:trPr>
        <w:tc>
          <w:tcPr>
            <w:tcW w:w="580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5"/>
                <w:szCs w:val="15"/>
                <w:color w:val="auto"/>
              </w:rPr>
              <w:t>Payment of contingent consideration - Kings's Camo</w:t>
            </w:r>
            <w:r>
              <w:rPr>
                <w:rFonts w:ascii="Arial" w:cs="Arial" w:eastAsia="Arial" w:hAnsi="Arial"/>
                <w:sz w:val="19"/>
                <w:szCs w:val="19"/>
                <w:b w:val="1"/>
                <w:bCs w:val="1"/>
                <w:color w:val="auto"/>
                <w:vertAlign w:val="superscript"/>
              </w:rPr>
              <w:t>(2)</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1,275</w:t>
            </w:r>
          </w:p>
        </w:tc>
      </w:tr>
      <w:tr>
        <w:trPr>
          <w:trHeight w:val="221"/>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December 31st</w:t>
            </w: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20" w:hanging="332"/>
        <w:spacing w:after="0" w:line="235" w:lineRule="auto"/>
        <w:tabs>
          <w:tab w:leader="none" w:pos="333" w:val="left"/>
        </w:tabs>
        <w:numPr>
          <w:ilvl w:val="0"/>
          <w:numId w:val="78"/>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Represented a put option issued to a noncontrolling shareholder in connection with the 5.11 acquisition. The put option was terminated during the period ended March 31, 2023.</w:t>
      </w:r>
    </w:p>
    <w:p>
      <w:pPr>
        <w:spacing w:after="0" w:line="82" w:lineRule="exact"/>
        <w:rPr>
          <w:rFonts w:ascii="Arial" w:cs="Arial" w:eastAsia="Arial" w:hAnsi="Arial"/>
          <w:sz w:val="21"/>
          <w:szCs w:val="21"/>
          <w:b w:val="1"/>
          <w:bCs w:val="1"/>
          <w:color w:val="auto"/>
          <w:vertAlign w:val="superscript"/>
        </w:rPr>
      </w:pPr>
    </w:p>
    <w:p>
      <w:pPr>
        <w:ind w:left="340" w:right="20" w:hanging="332"/>
        <w:spacing w:after="0" w:line="227" w:lineRule="auto"/>
        <w:tabs>
          <w:tab w:leader="none" w:pos="333" w:val="left"/>
        </w:tabs>
        <w:numPr>
          <w:ilvl w:val="0"/>
          <w:numId w:val="78"/>
        </w:numPr>
        <w:rPr>
          <w:rFonts w:ascii="Arial" w:cs="Arial" w:eastAsia="Arial" w:hAnsi="Arial"/>
          <w:sz w:val="21"/>
          <w:szCs w:val="21"/>
          <w:b w:val="1"/>
          <w:bCs w:val="1"/>
          <w:color w:val="auto"/>
          <w:vertAlign w:val="superscript"/>
        </w:rPr>
      </w:pPr>
      <w:r>
        <w:rPr>
          <w:rFonts w:ascii="Arial" w:cs="Arial" w:eastAsia="Arial" w:hAnsi="Arial"/>
          <w:sz w:val="16"/>
          <w:szCs w:val="16"/>
          <w:color w:val="auto"/>
        </w:rPr>
        <w:t>Velocity entered into a contingent consideration in connection with its purchase of King's Camo in July 2022. The purchase price of King's Camo included a potential earn-out if King's Camo achieved certain financial metrics. The payment of the earn-out occurred in April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of noncontrolling shareholders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put option of noncontrolling shareholders was determined based on inputs that were not readily available in public markets or able to be derived from information available in publicly quoted markets. As such, the Company categorized the put option of the noncontrolling shareholders as Level 3. The primary inputs associated with this valuation were earnings before interest, taxes amortization and depreciation times a multiple established in the shareholder put option agreement, which was used to determine a per share equity value for the shares that could be put back to the Company. </w:t>
      </w:r>
      <w:r>
        <w:rPr>
          <w:rFonts w:ascii="Arial" w:cs="Arial" w:eastAsia="Arial" w:hAnsi="Arial"/>
          <w:sz w:val="17"/>
          <w:szCs w:val="17"/>
          <w:color w:val="auto"/>
        </w:rPr>
        <w:t>The put option was terminated during the period ended March 31, 2023.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certain acquisition of businesses that the Company or its subsidiaries make, a portion of the acquisition price will be contingent consideration. The following is a summary of the contingent consideration arrangements entered into by the Company's subsidiaries in the prior three years and the valuation methodologies:</w:t>
      </w:r>
    </w:p>
    <w:p>
      <w:pPr>
        <w:spacing w:after="0" w:line="63" w:lineRule="exact"/>
        <w:rPr>
          <w:sz w:val="20"/>
          <w:szCs w:val="20"/>
          <w:color w:val="auto"/>
        </w:rPr>
      </w:pPr>
    </w:p>
    <w:p>
      <w:pPr>
        <w:jc w:val="both"/>
        <w:ind w:left="660" w:hanging="328"/>
        <w:spacing w:after="0" w:line="262"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Velocity entered into a contingent consideration arrangement in connection with their purchase of King's Camo in July 2022. The purchase price of King's Camo included a potential earn-out of $3.0 million if King's Camo achieved certain financial metrics. The contingent consideration was valued at $1.6 million using probability weighted models. The earnout was reduced to $1.3 million at December 31, 2022 based on the expected payout amount. </w:t>
      </w:r>
      <w:r>
        <w:rPr>
          <w:rFonts w:ascii="Arial" w:cs="Arial" w:eastAsia="Arial" w:hAnsi="Arial"/>
          <w:sz w:val="17"/>
          <w:szCs w:val="17"/>
          <w:color w:val="auto"/>
        </w:rPr>
        <w:t>The payment of the earn-out occurred in April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Senior Notes consisted of the following carrying value and estimated fair value (in thousands):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217"/>
        </w:trPr>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jc w:val="center"/>
              <w:ind w:right="43"/>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8"/>
                <w:szCs w:val="18"/>
                <w:color w:val="auto"/>
              </w:rPr>
            </w:pPr>
          </w:p>
        </w:tc>
        <w:tc>
          <w:tcPr>
            <w:tcW w:w="300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vMerge w:val="restart"/>
          </w:tcPr>
          <w:p>
            <w:pPr>
              <w:jc w:val="center"/>
              <w:ind w:right="43"/>
              <w:spacing w:after="0" w:line="108" w:lineRule="exact"/>
              <w:rPr>
                <w:sz w:val="20"/>
                <w:szCs w:val="20"/>
                <w:color w:val="auto"/>
              </w:rPr>
            </w:pPr>
            <w:r>
              <w:rPr>
                <w:rFonts w:ascii="Arial" w:cs="Arial" w:eastAsia="Arial" w:hAnsi="Arial"/>
                <w:sz w:val="12"/>
                <w:szCs w:val="12"/>
                <w:b w:val="1"/>
                <w:bCs w:val="1"/>
                <w:color w:val="auto"/>
              </w:rPr>
              <w:t>Hierarchy</w:t>
            </w: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800" w:type="dxa"/>
            <w:vAlign w:val="bottom"/>
          </w:tcPr>
          <w:p>
            <w:pPr>
              <w:spacing w:after="0"/>
              <w:rPr>
                <w:sz w:val="2"/>
                <w:szCs w:val="2"/>
                <w:color w:val="auto"/>
              </w:rPr>
            </w:pPr>
          </w:p>
        </w:tc>
        <w:tc>
          <w:tcPr>
            <w:tcW w:w="2040" w:type="dxa"/>
            <w:vAlign w:val="bottom"/>
            <w:gridSpan w:val="2"/>
            <w:vMerge w:val="restart"/>
          </w:tcPr>
          <w:p>
            <w:pPr>
              <w:jc w:val="right"/>
              <w:ind w:right="499"/>
              <w:spacing w:after="0"/>
              <w:rPr>
                <w:sz w:val="20"/>
                <w:szCs w:val="20"/>
                <w:color w:val="auto"/>
              </w:rPr>
            </w:pPr>
            <w:r>
              <w:rPr>
                <w:rFonts w:ascii="Arial" w:cs="Arial" w:eastAsia="Arial" w:hAnsi="Arial"/>
                <w:sz w:val="16"/>
                <w:szCs w:val="16"/>
                <w:b w:val="1"/>
                <w:bCs w:val="1"/>
                <w:color w:val="auto"/>
              </w:rPr>
              <w:t>Maturity Date</w:t>
            </w:r>
          </w:p>
        </w:tc>
        <w:tc>
          <w:tcPr>
            <w:tcW w:w="11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11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Carrying Value</w:t>
            </w:r>
          </w:p>
        </w:tc>
        <w:tc>
          <w:tcPr>
            <w:tcW w:w="320" w:type="dxa"/>
            <w:vAlign w:val="bottom"/>
          </w:tcPr>
          <w:p>
            <w:pPr>
              <w:spacing w:after="0"/>
              <w:rPr>
                <w:sz w:val="2"/>
                <w:szCs w:val="2"/>
                <w:color w:val="auto"/>
              </w:rPr>
            </w:pPr>
          </w:p>
        </w:tc>
        <w:tc>
          <w:tcPr>
            <w:tcW w:w="12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line="20" w:lineRule="exact"/>
              <w:rPr>
                <w:sz w:val="1"/>
                <w:szCs w:val="1"/>
                <w:color w:val="auto"/>
              </w:rPr>
            </w:pPr>
          </w:p>
        </w:tc>
      </w:tr>
      <w:tr>
        <w:trPr>
          <w:trHeight w:val="216"/>
        </w:trPr>
        <w:tc>
          <w:tcPr>
            <w:tcW w:w="180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80" w:type="dxa"/>
            <w:vAlign w:val="bottom"/>
          </w:tcPr>
          <w:p>
            <w:pPr>
              <w:jc w:val="center"/>
              <w:ind w:right="43"/>
              <w:spacing w:after="0"/>
              <w:rPr>
                <w:sz w:val="20"/>
                <w:szCs w:val="20"/>
                <w:color w:val="auto"/>
              </w:rPr>
            </w:pPr>
            <w:r>
              <w:rPr>
                <w:rFonts w:ascii="Arial" w:cs="Arial" w:eastAsia="Arial" w:hAnsi="Arial"/>
                <w:sz w:val="16"/>
                <w:szCs w:val="16"/>
                <w:b w:val="1"/>
                <w:bCs w:val="1"/>
                <w:color w:val="auto"/>
              </w:rPr>
              <w:t>Level</w:t>
            </w: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2032 Senior Notes</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w:t>
            </w: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2032</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5.000 %</w:t>
            </w:r>
          </w:p>
        </w:tc>
        <w:tc>
          <w:tcPr>
            <w:tcW w:w="1180" w:type="dxa"/>
            <w:vAlign w:val="bottom"/>
            <w:shd w:val="clear" w:color="auto" w:fill="CCEEFF"/>
          </w:tcPr>
          <w:p>
            <w:pPr>
              <w:jc w:val="center"/>
              <w:ind w:right="43"/>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272,250</w:t>
            </w:r>
          </w:p>
        </w:tc>
        <w:tc>
          <w:tcPr>
            <w:tcW w:w="0" w:type="dxa"/>
            <w:vAlign w:val="bottom"/>
          </w:tcPr>
          <w:p>
            <w:pPr>
              <w:spacing w:after="0"/>
              <w:rPr>
                <w:sz w:val="1"/>
                <w:szCs w:val="1"/>
                <w:color w:val="auto"/>
              </w:rPr>
            </w:pPr>
          </w:p>
        </w:tc>
      </w:tr>
      <w:tr>
        <w:trPr>
          <w:trHeight w:val="215"/>
        </w:trPr>
        <w:tc>
          <w:tcPr>
            <w:tcW w:w="1800" w:type="dxa"/>
            <w:vAlign w:val="bottom"/>
          </w:tcPr>
          <w:p>
            <w:pPr>
              <w:ind w:left="20"/>
              <w:spacing w:after="0"/>
              <w:rPr>
                <w:sz w:val="20"/>
                <w:szCs w:val="20"/>
                <w:color w:val="auto"/>
              </w:rPr>
            </w:pPr>
            <w:r>
              <w:rPr>
                <w:rFonts w:ascii="Arial" w:cs="Arial" w:eastAsia="Arial" w:hAnsi="Arial"/>
                <w:sz w:val="16"/>
                <w:szCs w:val="16"/>
                <w:color w:val="auto"/>
              </w:rPr>
              <w:t>2029 Senior Notes</w:t>
            </w:r>
          </w:p>
        </w:tc>
        <w:tc>
          <w:tcPr>
            <w:tcW w:w="1380" w:type="dxa"/>
            <w:vAlign w:val="bottom"/>
          </w:tcPr>
          <w:p>
            <w:pPr>
              <w:jc w:val="right"/>
              <w:spacing w:after="0"/>
              <w:rPr>
                <w:sz w:val="20"/>
                <w:szCs w:val="20"/>
                <w:color w:val="auto"/>
              </w:rPr>
            </w:pPr>
            <w:r>
              <w:rPr>
                <w:rFonts w:ascii="Arial" w:cs="Arial" w:eastAsia="Arial" w:hAnsi="Arial"/>
                <w:sz w:val="16"/>
                <w:szCs w:val="16"/>
                <w:color w:val="auto"/>
              </w:rPr>
              <w:t>April 15,</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2029</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5.250 %</w:t>
            </w:r>
          </w:p>
        </w:tc>
        <w:tc>
          <w:tcPr>
            <w:tcW w:w="1180" w:type="dxa"/>
            <w:vAlign w:val="bottom"/>
          </w:tcPr>
          <w:p>
            <w:pPr>
              <w:jc w:val="center"/>
              <w:ind w:right="43"/>
              <w:spacing w:after="0"/>
              <w:rPr>
                <w:sz w:val="20"/>
                <w:szCs w:val="20"/>
                <w:color w:val="auto"/>
              </w:rPr>
            </w:pPr>
            <w:r>
              <w:rPr>
                <w:rFonts w:ascii="Arial" w:cs="Arial" w:eastAsia="Arial" w:hAnsi="Arial"/>
                <w:sz w:val="16"/>
                <w:szCs w:val="16"/>
                <w:color w:val="auto"/>
              </w:rPr>
              <w:t>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1,000,000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952,500</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Term Loan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At December 31, 2024, the carrying value of the principal under the Company's outstanding 2022 Term Loan, including the current portion, was $375 million, which approximates fair value because it bears interest at a variable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rate that reflects changes in interest rates and changes in the Company's net leverage ratio. The estimated fair value of the outstanding 2022 Term Loan is classified as Level 2 in the fair value hierarchy.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provides the assets and liabilities carried at fair value measured on a non-recurring basis as of December 31, 2024 and December 31, 2023. Refer to "</w:t>
      </w:r>
      <w:r>
        <w:rPr>
          <w:rFonts w:ascii="Arial" w:cs="Arial" w:eastAsia="Arial" w:hAnsi="Arial"/>
          <w:sz w:val="18"/>
          <w:szCs w:val="18"/>
          <w:u w:val="single" w:color="auto"/>
          <w:color w:val="0000FF"/>
        </w:rPr>
        <w:t>Note G – Goodwill and Intangible Assets</w:t>
      </w:r>
      <w:r>
        <w:rPr>
          <w:rFonts w:ascii="Arial" w:cs="Arial" w:eastAsia="Arial" w:hAnsi="Arial"/>
          <w:sz w:val="18"/>
          <w:szCs w:val="18"/>
          <w:color w:val="auto"/>
        </w:rPr>
        <w:t>", for a description of the valuation techniques used to determine fair value of the assets measured on a non-recurring basis in the tables below. There were no assets and liabilities carried at fair value measured on a non-recurring basis as of December 31, 2022.</w:t>
      </w:r>
    </w:p>
    <w:p>
      <w:pPr>
        <w:spacing w:after="0" w:line="203" w:lineRule="exact"/>
        <w:rPr>
          <w:sz w:val="20"/>
          <w:szCs w:val="20"/>
          <w:color w:val="auto"/>
        </w:rPr>
      </w:pPr>
    </w:p>
    <w:tbl>
      <w:tblPr>
        <w:tblLayout w:type="fixed"/>
        <w:tblInd w:w="840" w:type="dxa"/>
        <w:tblCellMar>
          <w:top w:w="0" w:type="dxa"/>
          <w:left w:w="0" w:type="dxa"/>
          <w:bottom w:w="0" w:type="dxa"/>
          <w:right w:w="0" w:type="dxa"/>
        </w:tblCellMar>
      </w:tblPr>
      <w:tr>
        <w:trPr>
          <w:trHeight w:val="208"/>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gridSpan w:val="6"/>
          </w:tcPr>
          <w:p>
            <w:pPr>
              <w:jc w:val="right"/>
              <w:ind w:right="584"/>
              <w:spacing w:after="0"/>
              <w:rPr>
                <w:sz w:val="20"/>
                <w:szCs w:val="20"/>
                <w:color w:val="auto"/>
              </w:rPr>
            </w:pPr>
            <w:r>
              <w:rPr>
                <w:rFonts w:ascii="Arial" w:cs="Arial" w:eastAsia="Arial" w:hAnsi="Arial"/>
                <w:sz w:val="15"/>
                <w:szCs w:val="15"/>
                <w:b w:val="1"/>
                <w:bCs w:val="1"/>
                <w:color w:val="auto"/>
              </w:rPr>
              <w:t>Fair Value Measurements at December 31, 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5"/>
                <w:szCs w:val="15"/>
                <w:b w:val="1"/>
                <w:bCs w:val="1"/>
                <w:color w:val="auto"/>
              </w:rPr>
              <w:t>Carrying</w:t>
            </w:r>
          </w:p>
        </w:tc>
        <w:tc>
          <w:tcPr>
            <w:tcW w:w="120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Level 1</w:t>
            </w:r>
          </w:p>
        </w:tc>
        <w:tc>
          <w:tcPr>
            <w:tcW w:w="1400" w:type="dxa"/>
            <w:vAlign w:val="bottom"/>
            <w:vMerge w:val="restart"/>
          </w:tcPr>
          <w:p>
            <w:pPr>
              <w:jc w:val="right"/>
              <w:ind w:right="524"/>
              <w:spacing w:after="0"/>
              <w:rPr>
                <w:sz w:val="20"/>
                <w:szCs w:val="20"/>
                <w:color w:val="auto"/>
              </w:rPr>
            </w:pPr>
            <w:r>
              <w:rPr>
                <w:rFonts w:ascii="Arial" w:cs="Arial" w:eastAsia="Arial" w:hAnsi="Arial"/>
                <w:sz w:val="15"/>
                <w:szCs w:val="15"/>
                <w:b w:val="1"/>
                <w:bCs w:val="1"/>
                <w:color w:val="auto"/>
              </w:rPr>
              <w:t>Level 2</w:t>
            </w:r>
          </w:p>
        </w:tc>
        <w:tc>
          <w:tcPr>
            <w:tcW w:w="10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Level 3</w:t>
            </w:r>
          </w:p>
        </w:tc>
        <w:tc>
          <w:tcPr>
            <w:tcW w:w="140" w:type="dxa"/>
            <w:vAlign w:val="bottom"/>
          </w:tcPr>
          <w:p>
            <w:pPr>
              <w:spacing w:after="0"/>
              <w:rPr>
                <w:sz w:val="12"/>
                <w:szCs w:val="12"/>
                <w:color w:val="auto"/>
              </w:rPr>
            </w:pPr>
          </w:p>
        </w:tc>
        <w:tc>
          <w:tcPr>
            <w:tcW w:w="1620" w:type="dxa"/>
            <w:vAlign w:val="bottom"/>
            <w:vMerge w:val="restart"/>
          </w:tcPr>
          <w:p>
            <w:pPr>
              <w:jc w:val="center"/>
              <w:ind w:right="84"/>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9"/>
              </w:rPr>
              <w:t>Value</w:t>
            </w:r>
          </w:p>
        </w:tc>
        <w:tc>
          <w:tcPr>
            <w:tcW w:w="120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 - Velocity</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   $</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c>
          <w:tcPr>
            <w:tcW w:w="0" w:type="dxa"/>
            <w:vAlign w:val="bottom"/>
          </w:tcPr>
          <w:p>
            <w:pPr>
              <w:spacing w:after="0"/>
              <w:rPr>
                <w:sz w:val="1"/>
                <w:szCs w:val="1"/>
                <w:color w:val="auto"/>
              </w:rPr>
            </w:pPr>
          </w:p>
        </w:tc>
      </w:tr>
      <w:tr>
        <w:trPr>
          <w:trHeight w:val="513"/>
        </w:trPr>
        <w:tc>
          <w:tcPr>
            <w:tcW w:w="2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Expense</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gridSpan w:val="6"/>
          </w:tcPr>
          <w:p>
            <w:pPr>
              <w:jc w:val="right"/>
              <w:ind w:right="584"/>
              <w:spacing w:after="0"/>
              <w:rPr>
                <w:sz w:val="20"/>
                <w:szCs w:val="20"/>
                <w:color w:val="auto"/>
              </w:rPr>
            </w:pPr>
            <w:r>
              <w:rPr>
                <w:rFonts w:ascii="Arial" w:cs="Arial" w:eastAsia="Arial" w:hAnsi="Arial"/>
                <w:sz w:val="15"/>
                <w:szCs w:val="15"/>
                <w:b w:val="1"/>
                <w:bCs w:val="1"/>
                <w:color w:val="auto"/>
              </w:rPr>
              <w:t>Fair Value Measurements at December 31, 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5"/>
                <w:szCs w:val="15"/>
                <w:b w:val="1"/>
                <w:bCs w:val="1"/>
                <w:color w:val="auto"/>
              </w:rPr>
              <w:t>Carrying</w:t>
            </w:r>
          </w:p>
        </w:tc>
        <w:tc>
          <w:tcPr>
            <w:tcW w:w="120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Level 1</w:t>
            </w:r>
          </w:p>
        </w:tc>
        <w:tc>
          <w:tcPr>
            <w:tcW w:w="1400" w:type="dxa"/>
            <w:vAlign w:val="bottom"/>
            <w:vMerge w:val="restart"/>
          </w:tcPr>
          <w:p>
            <w:pPr>
              <w:jc w:val="right"/>
              <w:ind w:right="524"/>
              <w:spacing w:after="0"/>
              <w:rPr>
                <w:sz w:val="20"/>
                <w:szCs w:val="20"/>
                <w:color w:val="auto"/>
              </w:rPr>
            </w:pPr>
            <w:r>
              <w:rPr>
                <w:rFonts w:ascii="Arial" w:cs="Arial" w:eastAsia="Arial" w:hAnsi="Arial"/>
                <w:sz w:val="15"/>
                <w:szCs w:val="15"/>
                <w:b w:val="1"/>
                <w:bCs w:val="1"/>
                <w:color w:val="auto"/>
              </w:rPr>
              <w:t>Level 2</w:t>
            </w:r>
          </w:p>
        </w:tc>
        <w:tc>
          <w:tcPr>
            <w:tcW w:w="10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Level 3</w:t>
            </w:r>
          </w:p>
        </w:tc>
        <w:tc>
          <w:tcPr>
            <w:tcW w:w="140" w:type="dxa"/>
            <w:vAlign w:val="bottom"/>
          </w:tcPr>
          <w:p>
            <w:pPr>
              <w:spacing w:after="0"/>
              <w:rPr>
                <w:sz w:val="12"/>
                <w:szCs w:val="12"/>
                <w:color w:val="auto"/>
              </w:rPr>
            </w:pPr>
          </w:p>
        </w:tc>
        <w:tc>
          <w:tcPr>
            <w:tcW w:w="1620" w:type="dxa"/>
            <w:vAlign w:val="bottom"/>
            <w:vMerge w:val="restart"/>
          </w:tcPr>
          <w:p>
            <w:pPr>
              <w:jc w:val="center"/>
              <w:ind w:right="84"/>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9"/>
              </w:rPr>
              <w:t>Value</w:t>
            </w:r>
          </w:p>
        </w:tc>
        <w:tc>
          <w:tcPr>
            <w:tcW w:w="120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 - Velocity</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8,182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31,591</w:t>
            </w:r>
          </w:p>
        </w:tc>
        <w:tc>
          <w:tcPr>
            <w:tcW w:w="0" w:type="dxa"/>
            <w:vAlign w:val="bottom"/>
          </w:tcPr>
          <w:p>
            <w:pPr>
              <w:spacing w:after="0"/>
              <w:rPr>
                <w:sz w:val="1"/>
                <w:szCs w:val="1"/>
                <w:color w:val="auto"/>
              </w:rPr>
            </w:pPr>
          </w:p>
        </w:tc>
      </w:tr>
      <w:tr>
        <w:trPr>
          <w:trHeight w:val="200"/>
        </w:trPr>
        <w:tc>
          <w:tcPr>
            <w:tcW w:w="2980" w:type="dxa"/>
            <w:vAlign w:val="bottom"/>
          </w:tcPr>
          <w:p>
            <w:pPr>
              <w:ind w:left="20"/>
              <w:spacing w:after="0"/>
              <w:rPr>
                <w:sz w:val="20"/>
                <w:szCs w:val="20"/>
                <w:color w:val="auto"/>
              </w:rPr>
            </w:pPr>
            <w:r>
              <w:rPr>
                <w:rFonts w:ascii="Arial" w:cs="Arial" w:eastAsia="Arial" w:hAnsi="Arial"/>
                <w:sz w:val="15"/>
                <w:szCs w:val="15"/>
                <w:color w:val="auto"/>
              </w:rPr>
              <w:t>Goodwill - PrimaLoft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232,536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232,536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57,810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Noncontrolling Interest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Noncontrolling interest represents the portion of a majority-owned subsidiary’s net income and equity that is owned by noncontrolling shareholders.</w:t>
      </w:r>
    </w:p>
    <w:p>
      <w:pPr>
        <w:spacing w:after="0" w:line="15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tables reflect the Company’s percentage ownership of its businesses, as of December 31, 2024, 2023 and 2022 and related noncontrolling interest balances as of December 31, 2024 and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80" w:type="dxa"/>
            <w:vAlign w:val="bottom"/>
          </w:tcPr>
          <w:p>
            <w:pPr>
              <w:spacing w:after="0"/>
              <w:rPr>
                <w:sz w:val="19"/>
                <w:szCs w:val="19"/>
                <w:color w:val="auto"/>
              </w:rPr>
            </w:pPr>
          </w:p>
        </w:tc>
        <w:tc>
          <w:tcPr>
            <w:tcW w:w="246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w w:val="97"/>
              </w:rPr>
              <w:t xml:space="preserve">% Ownership </w:t>
            </w:r>
            <w:r>
              <w:rPr>
                <w:rFonts w:ascii="Arial" w:cs="Arial" w:eastAsia="Arial" w:hAnsi="Arial"/>
                <w:sz w:val="19"/>
                <w:szCs w:val="19"/>
                <w:b w:val="1"/>
                <w:bCs w:val="1"/>
                <w:color w:val="auto"/>
                <w:w w:val="97"/>
                <w:vertAlign w:val="superscript"/>
              </w:rPr>
              <w:t>(1)</w:t>
            </w:r>
          </w:p>
        </w:tc>
        <w:tc>
          <w:tcPr>
            <w:tcW w:w="248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w w:val="99"/>
              </w:rPr>
              <w:t xml:space="preserve">% Ownership </w:t>
            </w:r>
            <w:r>
              <w:rPr>
                <w:rFonts w:ascii="Arial" w:cs="Arial" w:eastAsia="Arial" w:hAnsi="Arial"/>
                <w:sz w:val="19"/>
                <w:szCs w:val="19"/>
                <w:b w:val="1"/>
                <w:bCs w:val="1"/>
                <w:color w:val="auto"/>
                <w:w w:val="99"/>
                <w:vertAlign w:val="superscript"/>
              </w:rPr>
              <w:t>(1)</w:t>
            </w:r>
          </w:p>
        </w:tc>
        <w:tc>
          <w:tcPr>
            <w:tcW w:w="2380" w:type="dxa"/>
            <w:vAlign w:val="bottom"/>
            <w:gridSpan w:val="3"/>
          </w:tcPr>
          <w:p>
            <w:pPr>
              <w:jc w:val="right"/>
              <w:ind w:right="544"/>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rPr>
              <w:t>December 31, 2024</w:t>
            </w:r>
          </w:p>
        </w:tc>
        <w:tc>
          <w:tcPr>
            <w:tcW w:w="248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rPr>
              <w:t>December 31, 2023</w:t>
            </w:r>
          </w:p>
        </w:tc>
        <w:tc>
          <w:tcPr>
            <w:tcW w:w="2380" w:type="dxa"/>
            <w:vAlign w:val="bottom"/>
            <w:gridSpan w:val="3"/>
          </w:tcPr>
          <w:p>
            <w:pPr>
              <w:jc w:val="right"/>
              <w:ind w:right="424"/>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145"/>
        </w:trPr>
        <w:tc>
          <w:tcPr>
            <w:tcW w:w="3880" w:type="dxa"/>
            <w:vAlign w:val="bottom"/>
          </w:tcPr>
          <w:p>
            <w:pPr>
              <w:spacing w:after="0"/>
              <w:rPr>
                <w:sz w:val="12"/>
                <w:szCs w:val="12"/>
                <w:color w:val="auto"/>
              </w:rPr>
            </w:pPr>
          </w:p>
        </w:tc>
        <w:tc>
          <w:tcPr>
            <w:tcW w:w="124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5"/>
                <w:szCs w:val="15"/>
                <w:b w:val="1"/>
                <w:bCs w:val="1"/>
                <w:color w:val="auto"/>
              </w:rPr>
              <w:t>Primary</w:t>
            </w:r>
          </w:p>
        </w:tc>
        <w:tc>
          <w:tcPr>
            <w:tcW w:w="112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5"/>
                <w:szCs w:val="15"/>
                <w:b w:val="1"/>
                <w:bCs w:val="1"/>
                <w:color w:val="auto"/>
                <w:w w:val="96"/>
              </w:rPr>
              <w:t>Fully</w:t>
            </w:r>
          </w:p>
        </w:tc>
        <w:tc>
          <w:tcPr>
            <w:tcW w:w="100" w:type="dxa"/>
            <w:vAlign w:val="bottom"/>
          </w:tcPr>
          <w:p>
            <w:pPr>
              <w:spacing w:after="0"/>
              <w:rPr>
                <w:sz w:val="12"/>
                <w:szCs w:val="12"/>
                <w:color w:val="auto"/>
              </w:rPr>
            </w:pPr>
          </w:p>
        </w:tc>
        <w:tc>
          <w:tcPr>
            <w:tcW w:w="124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5"/>
                <w:szCs w:val="15"/>
                <w:b w:val="1"/>
                <w:bCs w:val="1"/>
                <w:color w:val="auto"/>
              </w:rPr>
              <w:t>Primary</w:t>
            </w:r>
          </w:p>
        </w:tc>
        <w:tc>
          <w:tcPr>
            <w:tcW w:w="114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5"/>
                <w:szCs w:val="15"/>
                <w:b w:val="1"/>
                <w:bCs w:val="1"/>
                <w:color w:val="auto"/>
                <w:w w:val="96"/>
              </w:rPr>
              <w:t>Fully</w:t>
            </w:r>
          </w:p>
        </w:tc>
        <w:tc>
          <w:tcPr>
            <w:tcW w:w="100" w:type="dxa"/>
            <w:vAlign w:val="bottom"/>
          </w:tcPr>
          <w:p>
            <w:pPr>
              <w:spacing w:after="0"/>
              <w:rPr>
                <w:sz w:val="12"/>
                <w:szCs w:val="12"/>
                <w:color w:val="auto"/>
              </w:rPr>
            </w:pPr>
          </w:p>
        </w:tc>
        <w:tc>
          <w:tcPr>
            <w:tcW w:w="124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5"/>
                <w:szCs w:val="15"/>
                <w:b w:val="1"/>
                <w:bCs w:val="1"/>
                <w:color w:val="auto"/>
              </w:rPr>
              <w:t>Primary</w:t>
            </w:r>
          </w:p>
        </w:tc>
        <w:tc>
          <w:tcPr>
            <w:tcW w:w="1140" w:type="dxa"/>
            <w:vAlign w:val="bottom"/>
            <w:tcBorders>
              <w:top w:val="single" w:sz="8" w:color="auto"/>
            </w:tcBorders>
          </w:tcPr>
          <w:p>
            <w:pPr>
              <w:jc w:val="right"/>
              <w:ind w:right="304"/>
              <w:spacing w:after="0" w:line="145" w:lineRule="exact"/>
              <w:rPr>
                <w:sz w:val="20"/>
                <w:szCs w:val="20"/>
                <w:color w:val="auto"/>
              </w:rPr>
            </w:pPr>
            <w:r>
              <w:rPr>
                <w:rFonts w:ascii="Arial" w:cs="Arial" w:eastAsia="Arial" w:hAnsi="Arial"/>
                <w:sz w:val="15"/>
                <w:szCs w:val="15"/>
                <w:b w:val="1"/>
                <w:bCs w:val="1"/>
                <w:color w:val="auto"/>
              </w:rPr>
              <w:t>Fully</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Diluted</w:t>
            </w:r>
          </w:p>
        </w:tc>
        <w:tc>
          <w:tcPr>
            <w:tcW w:w="124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Diluted</w:t>
            </w:r>
          </w:p>
        </w:tc>
        <w:tc>
          <w:tcPr>
            <w:tcW w:w="1240" w:type="dxa"/>
            <w:vAlign w:val="bottom"/>
            <w:gridSpan w:val="2"/>
            <w:vMerge w:val="continue"/>
          </w:tcPr>
          <w:p>
            <w:pPr>
              <w:spacing w:after="0"/>
              <w:rPr>
                <w:sz w:val="18"/>
                <w:szCs w:val="18"/>
                <w:color w:val="auto"/>
              </w:rPr>
            </w:pPr>
          </w:p>
        </w:tc>
        <w:tc>
          <w:tcPr>
            <w:tcW w:w="1140" w:type="dxa"/>
            <w:vAlign w:val="bottom"/>
          </w:tcPr>
          <w:p>
            <w:pPr>
              <w:jc w:val="right"/>
              <w:ind w:right="224"/>
              <w:spacing w:after="0"/>
              <w:rPr>
                <w:sz w:val="20"/>
                <w:szCs w:val="20"/>
                <w:color w:val="auto"/>
              </w:rPr>
            </w:pPr>
            <w:r>
              <w:rPr>
                <w:rFonts w:ascii="Arial" w:cs="Arial" w:eastAsia="Arial" w:hAnsi="Arial"/>
                <w:sz w:val="15"/>
                <w:szCs w:val="15"/>
                <w:b w:val="1"/>
                <w:bCs w:val="1"/>
                <w:color w:val="auto"/>
              </w:rPr>
              <w:t>Diluted</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97.6</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86.9</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97.2</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88.9</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97.7</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88.3</w:t>
            </w:r>
          </w:p>
        </w:tc>
        <w:tc>
          <w:tcPr>
            <w:tcW w:w="0" w:type="dxa"/>
            <w:vAlign w:val="bottom"/>
          </w:tcPr>
          <w:p>
            <w:pPr>
              <w:spacing w:after="0"/>
              <w:rPr>
                <w:sz w:val="1"/>
                <w:szCs w:val="1"/>
                <w:color w:val="auto"/>
              </w:rPr>
            </w:pPr>
          </w:p>
        </w:tc>
      </w:tr>
      <w:tr>
        <w:trPr>
          <w:trHeight w:val="201"/>
        </w:trPr>
        <w:tc>
          <w:tcPr>
            <w:tcW w:w="3880" w:type="dxa"/>
            <w:vAlign w:val="bottom"/>
          </w:tcPr>
          <w:p>
            <w:pPr>
              <w:ind w:left="20"/>
              <w:spacing w:after="0"/>
              <w:rPr>
                <w:sz w:val="20"/>
                <w:szCs w:val="20"/>
                <w:color w:val="auto"/>
              </w:rPr>
            </w:pPr>
            <w:r>
              <w:rPr>
                <w:rFonts w:ascii="Arial" w:cs="Arial" w:eastAsia="Arial" w:hAnsi="Arial"/>
                <w:sz w:val="15"/>
                <w:szCs w:val="15"/>
                <w:color w:val="auto"/>
              </w:rPr>
              <w:t>BOA</w:t>
            </w:r>
          </w:p>
        </w:tc>
        <w:tc>
          <w:tcPr>
            <w:tcW w:w="1120" w:type="dxa"/>
            <w:vAlign w:val="bottom"/>
          </w:tcPr>
          <w:p>
            <w:pPr>
              <w:jc w:val="right"/>
              <w:spacing w:after="0"/>
              <w:rPr>
                <w:sz w:val="20"/>
                <w:szCs w:val="20"/>
                <w:color w:val="auto"/>
              </w:rPr>
            </w:pPr>
            <w:r>
              <w:rPr>
                <w:rFonts w:ascii="Arial" w:cs="Arial" w:eastAsia="Arial" w:hAnsi="Arial"/>
                <w:sz w:val="15"/>
                <w:szCs w:val="15"/>
                <w:color w:val="auto"/>
              </w:rPr>
              <w:t>91.7</w:t>
            </w: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83.0</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91.8</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83.2</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91.8</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83.5</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59.9</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59.9</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w:t>
            </w:r>
          </w:p>
        </w:tc>
        <w:tc>
          <w:tcPr>
            <w:tcW w:w="0" w:type="dxa"/>
            <w:vAlign w:val="bottom"/>
          </w:tcPr>
          <w:p>
            <w:pPr>
              <w:spacing w:after="0"/>
              <w:rPr>
                <w:sz w:val="1"/>
                <w:szCs w:val="1"/>
                <w:color w:val="auto"/>
              </w:rPr>
            </w:pPr>
          </w:p>
        </w:tc>
      </w:tr>
      <w:tr>
        <w:trPr>
          <w:trHeight w:val="201"/>
        </w:trPr>
        <w:tc>
          <w:tcPr>
            <w:tcW w:w="3880" w:type="dxa"/>
            <w:vAlign w:val="bottom"/>
          </w:tcPr>
          <w:p>
            <w:pPr>
              <w:ind w:left="20"/>
              <w:spacing w:after="0"/>
              <w:rPr>
                <w:sz w:val="20"/>
                <w:szCs w:val="20"/>
                <w:color w:val="auto"/>
              </w:rPr>
            </w:pPr>
            <w:r>
              <w:rPr>
                <w:rFonts w:ascii="Arial" w:cs="Arial" w:eastAsia="Arial" w:hAnsi="Arial"/>
                <w:sz w:val="15"/>
                <w:szCs w:val="15"/>
                <w:color w:val="auto"/>
              </w:rPr>
              <w:t>PrimaLoft</w:t>
            </w:r>
          </w:p>
        </w:tc>
        <w:tc>
          <w:tcPr>
            <w:tcW w:w="1120" w:type="dxa"/>
            <w:vAlign w:val="bottom"/>
          </w:tcPr>
          <w:p>
            <w:pPr>
              <w:jc w:val="right"/>
              <w:spacing w:after="0"/>
              <w:rPr>
                <w:sz w:val="20"/>
                <w:szCs w:val="20"/>
                <w:color w:val="auto"/>
              </w:rPr>
            </w:pPr>
            <w:r>
              <w:rPr>
                <w:rFonts w:ascii="Arial" w:cs="Arial" w:eastAsia="Arial" w:hAnsi="Arial"/>
                <w:sz w:val="15"/>
                <w:szCs w:val="15"/>
                <w:color w:val="auto"/>
              </w:rPr>
              <w:t>90.7</w:t>
            </w: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84.7</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90.7</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83.1</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90.7</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83.7</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77.2</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N/a</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N/a</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N/a</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1"/>
        </w:trPr>
        <w:tc>
          <w:tcPr>
            <w:tcW w:w="3880" w:type="dxa"/>
            <w:vAlign w:val="bottom"/>
          </w:tcPr>
          <w:p>
            <w:pPr>
              <w:ind w:left="20"/>
              <w:spacing w:after="0"/>
              <w:rPr>
                <w:sz w:val="20"/>
                <w:szCs w:val="20"/>
                <w:color w:val="auto"/>
              </w:rPr>
            </w:pPr>
            <w:r>
              <w:rPr>
                <w:rFonts w:ascii="Arial" w:cs="Arial" w:eastAsia="Arial" w:hAnsi="Arial"/>
                <w:sz w:val="15"/>
                <w:szCs w:val="15"/>
                <w:color w:val="auto"/>
              </w:rPr>
              <w:t>Velocity</w:t>
            </w:r>
          </w:p>
        </w:tc>
        <w:tc>
          <w:tcPr>
            <w:tcW w:w="1120" w:type="dxa"/>
            <w:vAlign w:val="bottom"/>
          </w:tcPr>
          <w:p>
            <w:pPr>
              <w:jc w:val="right"/>
              <w:spacing w:after="0"/>
              <w:rPr>
                <w:sz w:val="20"/>
                <w:szCs w:val="20"/>
                <w:color w:val="auto"/>
              </w:rPr>
            </w:pPr>
            <w:r>
              <w:rPr>
                <w:rFonts w:ascii="Arial" w:cs="Arial" w:eastAsia="Arial" w:hAnsi="Arial"/>
                <w:sz w:val="15"/>
                <w:szCs w:val="15"/>
                <w:color w:val="auto"/>
              </w:rPr>
              <w:t>99.4</w:t>
            </w: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93.3</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99.4</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87.7</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99.4</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87.7</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Altor</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89.8</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99.8</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w:t>
            </w:r>
          </w:p>
        </w:tc>
        <w:tc>
          <w:tcPr>
            <w:tcW w:w="0" w:type="dxa"/>
            <w:vAlign w:val="bottom"/>
          </w:tcPr>
          <w:p>
            <w:pPr>
              <w:spacing w:after="0"/>
              <w:rPr>
                <w:sz w:val="1"/>
                <w:szCs w:val="1"/>
                <w:color w:val="auto"/>
              </w:rPr>
            </w:pPr>
          </w:p>
        </w:tc>
      </w:tr>
      <w:tr>
        <w:trPr>
          <w:trHeight w:val="201"/>
        </w:trPr>
        <w:tc>
          <w:tcPr>
            <w:tcW w:w="3880" w:type="dxa"/>
            <w:vAlign w:val="bottom"/>
          </w:tcPr>
          <w:p>
            <w:pPr>
              <w:ind w:left="20"/>
              <w:spacing w:after="0"/>
              <w:rPr>
                <w:sz w:val="20"/>
                <w:szCs w:val="20"/>
                <w:color w:val="auto"/>
              </w:rPr>
            </w:pPr>
            <w:r>
              <w:rPr>
                <w:rFonts w:ascii="Arial" w:cs="Arial" w:eastAsia="Arial" w:hAnsi="Arial"/>
                <w:sz w:val="15"/>
                <w:szCs w:val="15"/>
                <w:color w:val="auto"/>
              </w:rPr>
              <w:t>Arnold</w:t>
            </w:r>
          </w:p>
        </w:tc>
        <w:tc>
          <w:tcPr>
            <w:tcW w:w="1120" w:type="dxa"/>
            <w:vAlign w:val="bottom"/>
          </w:tcPr>
          <w:p>
            <w:pPr>
              <w:jc w:val="right"/>
              <w:spacing w:after="0"/>
              <w:rPr>
                <w:sz w:val="20"/>
                <w:szCs w:val="20"/>
                <w:color w:val="auto"/>
              </w:rPr>
            </w:pPr>
            <w:r>
              <w:rPr>
                <w:rFonts w:ascii="Arial" w:cs="Arial" w:eastAsia="Arial" w:hAnsi="Arial"/>
                <w:sz w:val="15"/>
                <w:szCs w:val="15"/>
                <w:color w:val="auto"/>
              </w:rPr>
              <w:t>98.0</w:t>
            </w: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85.8</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98.0</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85.5</w:t>
            </w:r>
          </w:p>
        </w:tc>
        <w:tc>
          <w:tcPr>
            <w:tcW w:w="10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98.0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85.5</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Sterno</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90.7</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40" w:hanging="332"/>
        <w:spacing w:after="0" w:line="222" w:lineRule="auto"/>
        <w:tabs>
          <w:tab w:leader="none" w:pos="334" w:val="left"/>
        </w:tabs>
        <w:numPr>
          <w:ilvl w:val="0"/>
          <w:numId w:val="80"/>
        </w:numPr>
        <w:rPr>
          <w:rFonts w:ascii="Arial" w:cs="Arial" w:eastAsia="Arial" w:hAnsi="Arial"/>
          <w:sz w:val="23"/>
          <w:szCs w:val="23"/>
          <w:b w:val="1"/>
          <w:bCs w:val="1"/>
          <w:color w:val="auto"/>
          <w:vertAlign w:val="superscript"/>
        </w:rPr>
      </w:pPr>
      <w:r>
        <w:rPr>
          <w:rFonts w:ascii="Arial" w:cs="Arial" w:eastAsia="Arial" w:hAnsi="Arial"/>
          <w:sz w:val="17"/>
          <w:szCs w:val="17"/>
          <w:color w:val="auto"/>
        </w:rPr>
        <w:t>The principal difference between primary and fully diluted percentages of our operating segments is due to stock option issuances of operating segment stock to management of the respective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3" w:name="page184"/>
    <w:bookmarkEnd w:id="183"/>
    <w:p>
      <w:pPr>
        <w:jc w:val="center"/>
        <w:ind w:right="-1039"/>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040" w:type="dxa"/>
        <w:tblCellMar>
          <w:top w:w="0" w:type="dxa"/>
          <w:left w:w="0" w:type="dxa"/>
          <w:bottom w:w="0" w:type="dxa"/>
          <w:right w:w="0" w:type="dxa"/>
        </w:tblCellMar>
      </w:tblPr>
      <w:tr>
        <w:trPr>
          <w:trHeight w:val="208"/>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5"/>
                <w:szCs w:val="15"/>
                <w:b w:val="1"/>
                <w:bCs w:val="1"/>
                <w:color w:val="auto"/>
              </w:rPr>
              <w:t>Noncontrolling Interest Balances</w:t>
            </w:r>
          </w:p>
        </w:tc>
      </w:tr>
      <w:tr>
        <w:trPr>
          <w:trHeight w:val="142"/>
        </w:trPr>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ind w:left="180"/>
              <w:spacing w:after="0" w:line="142" w:lineRule="exact"/>
              <w:rPr>
                <w:sz w:val="20"/>
                <w:szCs w:val="20"/>
                <w:color w:val="auto"/>
              </w:rPr>
            </w:pPr>
            <w:r>
              <w:rPr>
                <w:rFonts w:ascii="Arial" w:cs="Arial" w:eastAsia="Arial" w:hAnsi="Arial"/>
                <w:sz w:val="15"/>
                <w:szCs w:val="15"/>
                <w:b w:val="1"/>
                <w:bCs w:val="1"/>
                <w:color w:val="auto"/>
              </w:rPr>
              <w:t>December 31,</w:t>
            </w:r>
          </w:p>
        </w:tc>
        <w:tc>
          <w:tcPr>
            <w:tcW w:w="280" w:type="dxa"/>
            <w:vAlign w:val="bottom"/>
          </w:tcPr>
          <w:p>
            <w:pPr>
              <w:spacing w:after="0"/>
              <w:rPr>
                <w:sz w:val="12"/>
                <w:szCs w:val="12"/>
                <w:color w:val="auto"/>
              </w:rPr>
            </w:pPr>
          </w:p>
        </w:tc>
        <w:tc>
          <w:tcPr>
            <w:tcW w:w="1640" w:type="dxa"/>
            <w:vAlign w:val="bottom"/>
          </w:tcPr>
          <w:p>
            <w:pPr>
              <w:jc w:val="right"/>
              <w:ind w:right="384"/>
              <w:spacing w:after="0" w:line="142" w:lineRule="exact"/>
              <w:rPr>
                <w:sz w:val="20"/>
                <w:szCs w:val="20"/>
                <w:color w:val="auto"/>
              </w:rPr>
            </w:pPr>
            <w:r>
              <w:rPr>
                <w:rFonts w:ascii="Arial" w:cs="Arial" w:eastAsia="Arial" w:hAnsi="Arial"/>
                <w:sz w:val="15"/>
                <w:szCs w:val="15"/>
                <w:b w:val="1"/>
                <w:bCs w:val="1"/>
                <w:color w:val="auto"/>
              </w:rPr>
              <w:t>December 31,</w:t>
            </w:r>
          </w:p>
        </w:tc>
      </w:tr>
      <w:tr>
        <w:trPr>
          <w:trHeight w:val="21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b w:val="1"/>
                <w:bCs w:val="1"/>
                <w:color w:val="auto"/>
              </w:rPr>
              <w:t>2023</w:t>
            </w:r>
          </w:p>
        </w:tc>
      </w:tr>
      <w:tr>
        <w:trPr>
          <w:trHeight w:val="199"/>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15,104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15,350</w:t>
            </w:r>
          </w:p>
        </w:tc>
      </w:tr>
      <w:tr>
        <w:trPr>
          <w:trHeight w:val="201"/>
        </w:trPr>
        <w:tc>
          <w:tcPr>
            <w:tcW w:w="5220" w:type="dxa"/>
            <w:vAlign w:val="bottom"/>
          </w:tcPr>
          <w:p>
            <w:pPr>
              <w:ind w:left="20"/>
              <w:spacing w:after="0"/>
              <w:rPr>
                <w:sz w:val="20"/>
                <w:szCs w:val="20"/>
                <w:color w:val="auto"/>
              </w:rPr>
            </w:pPr>
            <w:r>
              <w:rPr>
                <w:rFonts w:ascii="Arial" w:cs="Arial" w:eastAsia="Arial" w:hAnsi="Arial"/>
                <w:sz w:val="15"/>
                <w:szCs w:val="15"/>
                <w:color w:val="auto"/>
              </w:rPr>
              <w:t>BOA</w:t>
            </w:r>
          </w:p>
        </w:tc>
        <w:tc>
          <w:tcPr>
            <w:tcW w:w="280" w:type="dxa"/>
            <w:vAlign w:val="bottom"/>
          </w:tcPr>
          <w:p>
            <w:pPr>
              <w:spacing w:after="0"/>
              <w:rPr>
                <w:sz w:val="17"/>
                <w:szCs w:val="17"/>
                <w:color w:val="auto"/>
              </w:rPr>
            </w:pPr>
          </w:p>
        </w:tc>
        <w:tc>
          <w:tcPr>
            <w:tcW w:w="1640" w:type="dxa"/>
            <w:vAlign w:val="bottom"/>
          </w:tcPr>
          <w:p>
            <w:pPr>
              <w:jc w:val="right"/>
              <w:ind w:right="4"/>
              <w:spacing w:after="0"/>
              <w:rPr>
                <w:sz w:val="20"/>
                <w:szCs w:val="20"/>
                <w:color w:val="auto"/>
              </w:rPr>
            </w:pPr>
            <w:r>
              <w:rPr>
                <w:rFonts w:ascii="Arial" w:cs="Arial" w:eastAsia="Arial" w:hAnsi="Arial"/>
                <w:sz w:val="15"/>
                <w:szCs w:val="15"/>
                <w:color w:val="auto"/>
              </w:rPr>
              <w:t>15,103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8,316</w:t>
            </w:r>
          </w:p>
        </w:tc>
      </w:tr>
      <w:tr>
        <w:trPr>
          <w:trHeight w:val="204"/>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145,722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105,425</w:t>
            </w:r>
          </w:p>
        </w:tc>
      </w:tr>
      <w:tr>
        <w:trPr>
          <w:trHeight w:val="201"/>
        </w:trPr>
        <w:tc>
          <w:tcPr>
            <w:tcW w:w="5220" w:type="dxa"/>
            <w:vAlign w:val="bottom"/>
          </w:tcPr>
          <w:p>
            <w:pPr>
              <w:ind w:left="20"/>
              <w:spacing w:after="0"/>
              <w:rPr>
                <w:sz w:val="20"/>
                <w:szCs w:val="20"/>
                <w:color w:val="auto"/>
              </w:rPr>
            </w:pPr>
            <w:r>
              <w:rPr>
                <w:rFonts w:ascii="Arial" w:cs="Arial" w:eastAsia="Arial" w:hAnsi="Arial"/>
                <w:sz w:val="15"/>
                <w:szCs w:val="15"/>
                <w:color w:val="auto"/>
              </w:rPr>
              <w:t>PrimaLoft</w:t>
            </w:r>
          </w:p>
        </w:tc>
        <w:tc>
          <w:tcPr>
            <w:tcW w:w="280" w:type="dxa"/>
            <w:vAlign w:val="bottom"/>
          </w:tcPr>
          <w:p>
            <w:pPr>
              <w:spacing w:after="0"/>
              <w:rPr>
                <w:sz w:val="17"/>
                <w:szCs w:val="17"/>
                <w:color w:val="auto"/>
              </w:rPr>
            </w:pPr>
          </w:p>
        </w:tc>
        <w:tc>
          <w:tcPr>
            <w:tcW w:w="1640" w:type="dxa"/>
            <w:vAlign w:val="bottom"/>
          </w:tcPr>
          <w:p>
            <w:pPr>
              <w:jc w:val="right"/>
              <w:ind w:right="4"/>
              <w:spacing w:after="0"/>
              <w:rPr>
                <w:sz w:val="20"/>
                <w:szCs w:val="20"/>
                <w:color w:val="auto"/>
              </w:rPr>
            </w:pPr>
            <w:r>
              <w:rPr>
                <w:rFonts w:ascii="Arial" w:cs="Arial" w:eastAsia="Arial" w:hAnsi="Arial"/>
                <w:sz w:val="15"/>
                <w:szCs w:val="15"/>
                <w:color w:val="auto"/>
              </w:rPr>
              <w:t>32,133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30,736</w:t>
            </w:r>
          </w:p>
        </w:tc>
      </w:tr>
      <w:tr>
        <w:trPr>
          <w:trHeight w:val="204"/>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41,869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5220" w:type="dxa"/>
            <w:vAlign w:val="bottom"/>
          </w:tcPr>
          <w:p>
            <w:pPr>
              <w:ind w:left="20"/>
              <w:spacing w:after="0"/>
              <w:rPr>
                <w:sz w:val="20"/>
                <w:szCs w:val="20"/>
                <w:color w:val="auto"/>
              </w:rPr>
            </w:pPr>
            <w:r>
              <w:rPr>
                <w:rFonts w:ascii="Arial" w:cs="Arial" w:eastAsia="Arial" w:hAnsi="Arial"/>
                <w:sz w:val="15"/>
                <w:szCs w:val="15"/>
                <w:color w:val="auto"/>
              </w:rPr>
              <w:t>Velocity</w:t>
            </w:r>
          </w:p>
        </w:tc>
        <w:tc>
          <w:tcPr>
            <w:tcW w:w="280" w:type="dxa"/>
            <w:vAlign w:val="bottom"/>
          </w:tcPr>
          <w:p>
            <w:pPr>
              <w:spacing w:after="0"/>
              <w:rPr>
                <w:sz w:val="17"/>
                <w:szCs w:val="17"/>
                <w:color w:val="auto"/>
              </w:rPr>
            </w:pPr>
          </w:p>
        </w:tc>
        <w:tc>
          <w:tcPr>
            <w:tcW w:w="1640" w:type="dxa"/>
            <w:vAlign w:val="bottom"/>
          </w:tcPr>
          <w:p>
            <w:pPr>
              <w:jc w:val="right"/>
              <w:ind w:right="4"/>
              <w:spacing w:after="0"/>
              <w:rPr>
                <w:sz w:val="20"/>
                <w:szCs w:val="20"/>
                <w:color w:val="auto"/>
              </w:rPr>
            </w:pPr>
            <w:r>
              <w:rPr>
                <w:rFonts w:ascii="Arial" w:cs="Arial" w:eastAsia="Arial" w:hAnsi="Arial"/>
                <w:sz w:val="15"/>
                <w:szCs w:val="15"/>
                <w:color w:val="auto"/>
              </w:rPr>
              <w:t>6,824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6,770</w:t>
            </w:r>
          </w:p>
        </w:tc>
      </w:tr>
      <w:tr>
        <w:trPr>
          <w:trHeight w:val="204"/>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Altor</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5,354</w:t>
            </w:r>
          </w:p>
        </w:tc>
      </w:tr>
      <w:tr>
        <w:trPr>
          <w:trHeight w:val="201"/>
        </w:trPr>
        <w:tc>
          <w:tcPr>
            <w:tcW w:w="5220" w:type="dxa"/>
            <w:vAlign w:val="bottom"/>
          </w:tcPr>
          <w:p>
            <w:pPr>
              <w:ind w:left="20"/>
              <w:spacing w:after="0"/>
              <w:rPr>
                <w:sz w:val="20"/>
                <w:szCs w:val="20"/>
                <w:color w:val="auto"/>
              </w:rPr>
            </w:pPr>
            <w:r>
              <w:rPr>
                <w:rFonts w:ascii="Arial" w:cs="Arial" w:eastAsia="Arial" w:hAnsi="Arial"/>
                <w:sz w:val="15"/>
                <w:szCs w:val="15"/>
                <w:color w:val="auto"/>
              </w:rPr>
              <w:t>Arnold</w:t>
            </w:r>
          </w:p>
        </w:tc>
        <w:tc>
          <w:tcPr>
            <w:tcW w:w="280" w:type="dxa"/>
            <w:vAlign w:val="bottom"/>
          </w:tcPr>
          <w:p>
            <w:pPr>
              <w:spacing w:after="0"/>
              <w:rPr>
                <w:sz w:val="17"/>
                <w:szCs w:val="17"/>
                <w:color w:val="auto"/>
              </w:rPr>
            </w:pPr>
          </w:p>
        </w:tc>
        <w:tc>
          <w:tcPr>
            <w:tcW w:w="1640" w:type="dxa"/>
            <w:vAlign w:val="bottom"/>
          </w:tcPr>
          <w:p>
            <w:pPr>
              <w:jc w:val="right"/>
              <w:ind w:right="4"/>
              <w:spacing w:after="0"/>
              <w:rPr>
                <w:sz w:val="20"/>
                <w:szCs w:val="20"/>
                <w:color w:val="auto"/>
              </w:rPr>
            </w:pPr>
            <w:r>
              <w:rPr>
                <w:rFonts w:ascii="Arial" w:cs="Arial" w:eastAsia="Arial" w:hAnsi="Arial"/>
                <w:sz w:val="15"/>
                <w:szCs w:val="15"/>
                <w:color w:val="auto"/>
              </w:rPr>
              <w:t>1,667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1,707</w:t>
            </w:r>
          </w:p>
        </w:tc>
      </w:tr>
      <w:tr>
        <w:trPr>
          <w:trHeight w:val="204"/>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Sterno</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2,117</w:t>
            </w:r>
          </w:p>
        </w:tc>
      </w:tr>
      <w:tr>
        <w:trPr>
          <w:trHeight w:val="20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Allocation Interests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r>
      <w:tr>
        <w:trPr>
          <w:trHeight w:val="221"/>
        </w:trPr>
        <w:tc>
          <w:tcPr>
            <w:tcW w:w="5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266,271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175,875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Supplemental Data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Balance Sheet Data (in thousands):</w:t>
      </w:r>
    </w:p>
    <w:p>
      <w:pPr>
        <w:spacing w:after="0" w:line="141" w:lineRule="exact"/>
        <w:rPr>
          <w:sz w:val="20"/>
          <w:szCs w:val="20"/>
          <w:color w:val="auto"/>
        </w:rPr>
      </w:pPr>
    </w:p>
    <w:tbl>
      <w:tblPr>
        <w:tblLayout w:type="fixed"/>
        <w:tblInd w:w="1200" w:type="dxa"/>
        <w:tblCellMar>
          <w:top w:w="0" w:type="dxa"/>
          <w:left w:w="0" w:type="dxa"/>
          <w:bottom w:w="0" w:type="dxa"/>
          <w:right w:w="0" w:type="dxa"/>
        </w:tblCellMar>
      </w:tblPr>
      <w:tr>
        <w:trPr>
          <w:trHeight w:val="208"/>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Summary of accrued expenses</w:t>
            </w: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196"/>
        </w:trPr>
        <w:tc>
          <w:tcPr>
            <w:tcW w:w="5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r>
      <w:tr>
        <w:trPr>
          <w:trHeight w:val="88"/>
        </w:trPr>
        <w:tc>
          <w:tcPr>
            <w:tcW w:w="5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payroll and fringe benefits</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38,536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41,182</w:t>
            </w:r>
          </w:p>
        </w:tc>
      </w:tr>
      <w:tr>
        <w:trPr>
          <w:trHeight w:val="201"/>
        </w:trPr>
        <w:tc>
          <w:tcPr>
            <w:tcW w:w="5620" w:type="dxa"/>
            <w:vAlign w:val="bottom"/>
          </w:tcPr>
          <w:p>
            <w:pPr>
              <w:ind w:left="20"/>
              <w:spacing w:after="0"/>
              <w:rPr>
                <w:sz w:val="20"/>
                <w:szCs w:val="20"/>
                <w:color w:val="auto"/>
              </w:rPr>
            </w:pPr>
            <w:r>
              <w:rPr>
                <w:rFonts w:ascii="Arial" w:cs="Arial" w:eastAsia="Arial" w:hAnsi="Arial"/>
                <w:sz w:val="15"/>
                <w:szCs w:val="15"/>
                <w:color w:val="auto"/>
              </w:rPr>
              <w:t>Accrued taxes</w:t>
            </w:r>
          </w:p>
        </w:tc>
        <w:tc>
          <w:tcPr>
            <w:tcW w:w="3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11,467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13,329</w:t>
            </w:r>
          </w:p>
        </w:tc>
      </w:tr>
      <w:tr>
        <w:trPr>
          <w:trHeight w:val="204"/>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taxes payable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7,440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3,878</w:t>
            </w:r>
          </w:p>
        </w:tc>
      </w:tr>
      <w:tr>
        <w:trPr>
          <w:trHeight w:val="201"/>
        </w:trPr>
        <w:tc>
          <w:tcPr>
            <w:tcW w:w="5620" w:type="dxa"/>
            <w:vAlign w:val="bottom"/>
          </w:tcPr>
          <w:p>
            <w:pPr>
              <w:ind w:left="20"/>
              <w:spacing w:after="0"/>
              <w:rPr>
                <w:sz w:val="20"/>
                <w:szCs w:val="20"/>
                <w:color w:val="auto"/>
              </w:rPr>
            </w:pPr>
            <w:r>
              <w:rPr>
                <w:rFonts w:ascii="Arial" w:cs="Arial" w:eastAsia="Arial" w:hAnsi="Arial"/>
                <w:sz w:val="15"/>
                <w:szCs w:val="15"/>
                <w:color w:val="auto"/>
              </w:rPr>
              <w:t>Accrued interest</w:t>
            </w:r>
          </w:p>
        </w:tc>
        <w:tc>
          <w:tcPr>
            <w:tcW w:w="3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21,977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19,447</w:t>
            </w:r>
          </w:p>
        </w:tc>
      </w:tr>
      <w:tr>
        <w:trPr>
          <w:trHeight w:val="204"/>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rebates and discounts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12,298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9,868</w:t>
            </w:r>
          </w:p>
        </w:tc>
      </w:tr>
      <w:tr>
        <w:trPr>
          <w:trHeight w:val="201"/>
        </w:trPr>
        <w:tc>
          <w:tcPr>
            <w:tcW w:w="5620" w:type="dxa"/>
            <w:vAlign w:val="bottom"/>
          </w:tcPr>
          <w:p>
            <w:pPr>
              <w:ind w:left="20"/>
              <w:spacing w:after="0"/>
              <w:rPr>
                <w:sz w:val="20"/>
                <w:szCs w:val="20"/>
                <w:color w:val="auto"/>
              </w:rPr>
            </w:pPr>
            <w:r>
              <w:rPr>
                <w:rFonts w:ascii="Arial" w:cs="Arial" w:eastAsia="Arial" w:hAnsi="Arial"/>
                <w:sz w:val="15"/>
                <w:szCs w:val="15"/>
                <w:color w:val="auto"/>
              </w:rPr>
              <w:t>Warranty payable</w:t>
            </w:r>
          </w:p>
        </w:tc>
        <w:tc>
          <w:tcPr>
            <w:tcW w:w="3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1,121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1,258</w:t>
            </w:r>
          </w:p>
        </w:tc>
      </w:tr>
      <w:tr>
        <w:trPr>
          <w:trHeight w:val="204"/>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inventory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74,323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33,478</w:t>
            </w:r>
          </w:p>
        </w:tc>
      </w:tr>
      <w:tr>
        <w:trPr>
          <w:trHeight w:val="201"/>
        </w:trPr>
        <w:tc>
          <w:tcPr>
            <w:tcW w:w="5620" w:type="dxa"/>
            <w:vAlign w:val="bottom"/>
          </w:tcPr>
          <w:p>
            <w:pPr>
              <w:ind w:left="20"/>
              <w:spacing w:after="0"/>
              <w:rPr>
                <w:sz w:val="20"/>
                <w:szCs w:val="20"/>
                <w:color w:val="auto"/>
              </w:rPr>
            </w:pPr>
            <w:r>
              <w:rPr>
                <w:rFonts w:ascii="Arial" w:cs="Arial" w:eastAsia="Arial" w:hAnsi="Arial"/>
                <w:sz w:val="15"/>
                <w:szCs w:val="15"/>
                <w:color w:val="auto"/>
              </w:rPr>
              <w:t>Deferred revenue</w:t>
            </w:r>
          </w:p>
        </w:tc>
        <w:tc>
          <w:tcPr>
            <w:tcW w:w="3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8,284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7,350</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accrued expenses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22,383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21,653</w:t>
            </w:r>
          </w:p>
        </w:tc>
      </w:tr>
      <w:tr>
        <w:trPr>
          <w:trHeight w:val="197"/>
        </w:trPr>
        <w:tc>
          <w:tcPr>
            <w:tcW w:w="5620" w:type="dxa"/>
            <w:vAlign w:val="bottom"/>
          </w:tcPr>
          <w:p>
            <w:pPr>
              <w:ind w:left="36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197,829</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151,443</w:t>
            </w: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tbl>
      <w:tblPr>
        <w:tblLayout w:type="fixed"/>
        <w:tblInd w:w="1200" w:type="dxa"/>
        <w:tblCellMar>
          <w:top w:w="0" w:type="dxa"/>
          <w:left w:w="0" w:type="dxa"/>
          <w:bottom w:w="0" w:type="dxa"/>
          <w:right w:w="0" w:type="dxa"/>
        </w:tblCellMar>
      </w:tblPr>
      <w:tr>
        <w:trPr>
          <w:trHeight w:val="20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Warranty liability</w:t>
            </w: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5"/>
                <w:szCs w:val="15"/>
                <w:b w:val="1"/>
                <w:bCs w:val="1"/>
                <w:color w:val="auto"/>
              </w:rPr>
              <w:t>Year ended December 31,</w:t>
            </w:r>
          </w:p>
        </w:tc>
      </w:tr>
      <w:tr>
        <w:trPr>
          <w:trHeight w:val="196"/>
        </w:trPr>
        <w:tc>
          <w:tcPr>
            <w:tcW w:w="5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2023</w:t>
            </w:r>
          </w:p>
        </w:tc>
      </w:tr>
      <w:tr>
        <w:trPr>
          <w:trHeight w:val="34"/>
        </w:trPr>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center"/>
              <w:ind w:left="604"/>
              <w:spacing w:after="0"/>
              <w:rPr>
                <w:sz w:val="20"/>
                <w:szCs w:val="20"/>
                <w:color w:val="auto"/>
              </w:rPr>
            </w:pPr>
            <w:r>
              <w:rPr>
                <w:rFonts w:ascii="Arial" w:cs="Arial" w:eastAsia="Arial" w:hAnsi="Arial"/>
                <w:sz w:val="15"/>
                <w:szCs w:val="15"/>
                <w:color w:val="auto"/>
              </w:rPr>
              <w:t>1,258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center"/>
              <w:ind w:left="604"/>
              <w:spacing w:after="0"/>
              <w:rPr>
                <w:sz w:val="20"/>
                <w:szCs w:val="20"/>
                <w:color w:val="auto"/>
              </w:rPr>
            </w:pPr>
            <w:r>
              <w:rPr>
                <w:rFonts w:ascii="Arial" w:cs="Arial" w:eastAsia="Arial" w:hAnsi="Arial"/>
                <w:sz w:val="15"/>
                <w:szCs w:val="15"/>
                <w:color w:val="auto"/>
              </w:rPr>
              <w:t>1,346</w:t>
            </w:r>
          </w:p>
        </w:tc>
      </w:tr>
      <w:tr>
        <w:trPr>
          <w:trHeight w:val="201"/>
        </w:trPr>
        <w:tc>
          <w:tcPr>
            <w:tcW w:w="5640" w:type="dxa"/>
            <w:vAlign w:val="bottom"/>
          </w:tcPr>
          <w:p>
            <w:pPr>
              <w:ind w:left="20"/>
              <w:spacing w:after="0"/>
              <w:rPr>
                <w:sz w:val="20"/>
                <w:szCs w:val="20"/>
                <w:color w:val="auto"/>
              </w:rPr>
            </w:pPr>
            <w:r>
              <w:rPr>
                <w:rFonts w:ascii="Arial" w:cs="Arial" w:eastAsia="Arial" w:hAnsi="Arial"/>
                <w:sz w:val="15"/>
                <w:szCs w:val="15"/>
                <w:color w:val="auto"/>
              </w:rPr>
              <w:t>Accrual</w:t>
            </w:r>
          </w:p>
        </w:tc>
        <w:tc>
          <w:tcPr>
            <w:tcW w:w="340" w:type="dxa"/>
            <w:vAlign w:val="bottom"/>
          </w:tcPr>
          <w:p>
            <w:pPr>
              <w:spacing w:after="0"/>
              <w:rPr>
                <w:sz w:val="17"/>
                <w:szCs w:val="17"/>
                <w:color w:val="auto"/>
              </w:rPr>
            </w:pPr>
          </w:p>
        </w:tc>
        <w:tc>
          <w:tcPr>
            <w:tcW w:w="1220" w:type="dxa"/>
            <w:vAlign w:val="bottom"/>
          </w:tcPr>
          <w:p>
            <w:pPr>
              <w:jc w:val="center"/>
              <w:ind w:left="604"/>
              <w:spacing w:after="0"/>
              <w:rPr>
                <w:sz w:val="20"/>
                <w:szCs w:val="20"/>
                <w:color w:val="auto"/>
              </w:rPr>
            </w:pPr>
            <w:r>
              <w:rPr>
                <w:rFonts w:ascii="Arial" w:cs="Arial" w:eastAsia="Arial" w:hAnsi="Arial"/>
                <w:sz w:val="15"/>
                <w:szCs w:val="15"/>
                <w:color w:val="auto"/>
              </w:rPr>
              <w:t>2,332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center"/>
              <w:ind w:left="604"/>
              <w:spacing w:after="0"/>
              <w:rPr>
                <w:sz w:val="20"/>
                <w:szCs w:val="20"/>
                <w:color w:val="auto"/>
              </w:rPr>
            </w:pPr>
            <w:r>
              <w:rPr>
                <w:rFonts w:ascii="Arial" w:cs="Arial" w:eastAsia="Arial" w:hAnsi="Arial"/>
                <w:sz w:val="15"/>
                <w:szCs w:val="15"/>
                <w:color w:val="auto"/>
              </w:rPr>
              <w:t>3,387</w:t>
            </w:r>
          </w:p>
        </w:tc>
      </w:tr>
      <w:tr>
        <w:trPr>
          <w:trHeight w:val="204"/>
        </w:trPr>
        <w:tc>
          <w:tcPr>
            <w:tcW w:w="5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Warranty payments</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ind w:left="584"/>
              <w:spacing w:after="0"/>
              <w:rPr>
                <w:sz w:val="20"/>
                <w:szCs w:val="20"/>
                <w:color w:val="auto"/>
              </w:rPr>
            </w:pPr>
            <w:r>
              <w:rPr>
                <w:rFonts w:ascii="Arial" w:cs="Arial" w:eastAsia="Arial" w:hAnsi="Arial"/>
                <w:sz w:val="15"/>
                <w:szCs w:val="15"/>
                <w:color w:val="auto"/>
              </w:rPr>
              <w:t>(2,469)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ind w:left="584"/>
              <w:spacing w:after="0"/>
              <w:rPr>
                <w:sz w:val="20"/>
                <w:szCs w:val="20"/>
                <w:color w:val="auto"/>
              </w:rPr>
            </w:pPr>
            <w:r>
              <w:rPr>
                <w:rFonts w:ascii="Arial" w:cs="Arial" w:eastAsia="Arial" w:hAnsi="Arial"/>
                <w:sz w:val="15"/>
                <w:szCs w:val="15"/>
                <w:color w:val="auto"/>
              </w:rPr>
              <w:t>(3,475)</w:t>
            </w:r>
          </w:p>
        </w:tc>
      </w:tr>
      <w:tr>
        <w:trPr>
          <w:trHeight w:val="196"/>
        </w:trPr>
        <w:tc>
          <w:tcPr>
            <w:tcW w:w="5640" w:type="dxa"/>
            <w:vAlign w:val="bottom"/>
          </w:tcPr>
          <w:p>
            <w:pPr>
              <w:ind w:left="20"/>
              <w:spacing w:after="0"/>
              <w:rPr>
                <w:sz w:val="20"/>
                <w:szCs w:val="20"/>
                <w:color w:val="auto"/>
              </w:rPr>
            </w:pPr>
            <w:r>
              <w:rPr>
                <w:rFonts w:ascii="Arial" w:cs="Arial" w:eastAsia="Arial" w:hAnsi="Arial"/>
                <w:sz w:val="15"/>
                <w:szCs w:val="15"/>
                <w:color w:val="auto"/>
              </w:rPr>
              <w:t>Ending balance</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center"/>
              <w:ind w:left="604"/>
              <w:spacing w:after="0"/>
              <w:rPr>
                <w:sz w:val="20"/>
                <w:szCs w:val="20"/>
                <w:color w:val="auto"/>
              </w:rPr>
            </w:pPr>
            <w:r>
              <w:rPr>
                <w:rFonts w:ascii="Arial" w:cs="Arial" w:eastAsia="Arial" w:hAnsi="Arial"/>
                <w:sz w:val="15"/>
                <w:szCs w:val="15"/>
                <w:color w:val="auto"/>
              </w:rPr>
              <w:t>1,121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center"/>
              <w:ind w:left="604"/>
              <w:spacing w:after="0"/>
              <w:rPr>
                <w:sz w:val="20"/>
                <w:szCs w:val="20"/>
                <w:color w:val="auto"/>
              </w:rPr>
            </w:pPr>
            <w:r>
              <w:rPr>
                <w:rFonts w:ascii="Arial" w:cs="Arial" w:eastAsia="Arial" w:hAnsi="Arial"/>
                <w:sz w:val="15"/>
                <w:szCs w:val="15"/>
                <w:color w:val="auto"/>
              </w:rPr>
              <w:t>1,258</w:t>
            </w:r>
          </w:p>
        </w:tc>
      </w:tr>
      <w:tr>
        <w:trPr>
          <w:trHeight w:val="20"/>
        </w:trPr>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337" w:right="137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Statement of Operations Data (in thousands):</w:t>
      </w:r>
    </w:p>
    <w:p>
      <w:pPr>
        <w:spacing w:after="0" w:line="141" w:lineRule="exact"/>
        <w:rPr>
          <w:sz w:val="20"/>
          <w:szCs w:val="20"/>
          <w:color w:val="auto"/>
        </w:rPr>
      </w:pPr>
    </w:p>
    <w:tbl>
      <w:tblPr>
        <w:tblLayout w:type="fixed"/>
        <w:tblInd w:w="1180" w:type="dxa"/>
        <w:tblCellMar>
          <w:top w:w="0" w:type="dxa"/>
          <w:left w:w="0" w:type="dxa"/>
          <w:bottom w:w="0" w:type="dxa"/>
          <w:right w:w="0" w:type="dxa"/>
        </w:tblCellMar>
      </w:tblPr>
      <w:tr>
        <w:trPr>
          <w:trHeight w:val="208"/>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Other income (expense), net</w:t>
            </w:r>
          </w:p>
        </w:tc>
        <w:tc>
          <w:tcPr>
            <w:tcW w:w="9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224"/>
              <w:spacing w:after="0"/>
              <w:rPr>
                <w:sz w:val="20"/>
                <w:szCs w:val="20"/>
                <w:color w:val="auto"/>
              </w:rPr>
            </w:pPr>
            <w:r>
              <w:rPr>
                <w:rFonts w:ascii="Arial" w:cs="Arial" w:eastAsia="Arial" w:hAnsi="Arial"/>
                <w:sz w:val="15"/>
                <w:szCs w:val="15"/>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196"/>
        </w:trPr>
        <w:tc>
          <w:tcPr>
            <w:tcW w:w="40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2022</w:t>
            </w:r>
          </w:p>
        </w:tc>
      </w:tr>
      <w:tr>
        <w:trPr>
          <w:trHeight w:val="196"/>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gain (loss)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(1,163)</w:t>
            </w:r>
          </w:p>
        </w:tc>
      </w:tr>
      <w:tr>
        <w:trPr>
          <w:trHeight w:val="201"/>
        </w:trPr>
        <w:tc>
          <w:tcPr>
            <w:tcW w:w="4060" w:type="dxa"/>
            <w:vAlign w:val="bottom"/>
          </w:tcPr>
          <w:p>
            <w:pPr>
              <w:ind w:left="20"/>
              <w:spacing w:after="0"/>
              <w:rPr>
                <w:sz w:val="20"/>
                <w:szCs w:val="20"/>
                <w:color w:val="auto"/>
              </w:rPr>
            </w:pPr>
            <w:r>
              <w:rPr>
                <w:rFonts w:ascii="Arial" w:cs="Arial" w:eastAsia="Arial" w:hAnsi="Arial"/>
                <w:sz w:val="15"/>
                <w:szCs w:val="15"/>
                <w:color w:val="auto"/>
              </w:rPr>
              <w:t>Loss on sale of capital assets</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(885)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(2,576)</w:t>
            </w:r>
          </w:p>
        </w:tc>
      </w:tr>
      <w:tr>
        <w:trPr>
          <w:trHeight w:val="204"/>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Sublease income</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1,330</w:t>
            </w:r>
          </w:p>
        </w:tc>
      </w:tr>
      <w:tr>
        <w:trPr>
          <w:trHeight w:val="201"/>
        </w:trPr>
        <w:tc>
          <w:tcPr>
            <w:tcW w:w="4060" w:type="dxa"/>
            <w:vAlign w:val="bottom"/>
          </w:tcPr>
          <w:p>
            <w:pPr>
              <w:ind w:left="20"/>
              <w:spacing w:after="0"/>
              <w:rPr>
                <w:sz w:val="20"/>
                <w:szCs w:val="20"/>
                <w:color w:val="auto"/>
              </w:rPr>
            </w:pPr>
            <w:r>
              <w:rPr>
                <w:rFonts w:ascii="Arial" w:cs="Arial" w:eastAsia="Arial" w:hAnsi="Arial"/>
                <w:sz w:val="15"/>
                <w:szCs w:val="15"/>
                <w:color w:val="auto"/>
              </w:rPr>
              <w:t>Loss on equity method investment</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(1,709)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9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2,054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94</w:t>
            </w:r>
          </w:p>
        </w:tc>
      </w:tr>
      <w:tr>
        <w:trPr>
          <w:trHeight w:val="196"/>
        </w:trPr>
        <w:tc>
          <w:tcPr>
            <w:tcW w:w="4060" w:type="dxa"/>
            <w:vAlign w:val="bottom"/>
          </w:tcPr>
          <w:p>
            <w:pPr>
              <w:spacing w:after="0"/>
              <w:rPr>
                <w:sz w:val="17"/>
                <w:szCs w:val="17"/>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1,779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(2,315)</w:t>
            </w:r>
          </w:p>
        </w:tc>
      </w:tr>
      <w:tr>
        <w:trPr>
          <w:trHeight w:val="22"/>
        </w:trPr>
        <w:tc>
          <w:tcPr>
            <w:tcW w:w="4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Statement Data (in thousands):</w:t>
      </w:r>
    </w:p>
    <w:p>
      <w:pPr>
        <w:spacing w:after="0" w:line="152"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1180" w:type="dxa"/>
        <w:tblCellMar>
          <w:top w:w="0" w:type="dxa"/>
          <w:left w:w="0" w:type="dxa"/>
          <w:bottom w:w="0" w:type="dxa"/>
          <w:right w:w="0" w:type="dxa"/>
        </w:tblCellMar>
      </w:tblPr>
      <w:tr>
        <w:trPr>
          <w:trHeight w:val="197"/>
        </w:trPr>
        <w:tc>
          <w:tcPr>
            <w:tcW w:w="40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2022</w:t>
            </w:r>
          </w:p>
        </w:tc>
      </w:tr>
      <w:tr>
        <w:trPr>
          <w:trHeight w:val="35"/>
        </w:trPr>
        <w:tc>
          <w:tcPr>
            <w:tcW w:w="4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paid</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105,734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108,418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75,755</w:t>
            </w:r>
          </w:p>
        </w:tc>
      </w:tr>
      <w:tr>
        <w:trPr>
          <w:trHeight w:val="200"/>
        </w:trPr>
        <w:tc>
          <w:tcPr>
            <w:tcW w:w="4060" w:type="dxa"/>
            <w:vAlign w:val="bottom"/>
          </w:tcPr>
          <w:p>
            <w:pPr>
              <w:ind w:left="20"/>
              <w:spacing w:after="0"/>
              <w:rPr>
                <w:sz w:val="20"/>
                <w:szCs w:val="20"/>
                <w:color w:val="auto"/>
              </w:rPr>
            </w:pPr>
            <w:r>
              <w:rPr>
                <w:rFonts w:ascii="Arial" w:cs="Arial" w:eastAsia="Arial" w:hAnsi="Arial"/>
                <w:sz w:val="15"/>
                <w:szCs w:val="15"/>
                <w:color w:val="auto"/>
              </w:rPr>
              <w:t>Taxes paid</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61,889</w:t>
            </w:r>
          </w:p>
        </w:tc>
        <w:tc>
          <w:tcPr>
            <w:tcW w:w="12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79,142</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24,607</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 Joint Venture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Arnold is a 50% partner in a China rare earth mine-to-magnet joint venture. Arnold accounts for its activity in the joint venture utilizing the equity method of accounting. Gains and losses from the joint venture were not material for the years ended December 31, 2024, 2023 and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Solutions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September 2020, Altor invested $3.6 million in Rational Packaging, LLC, a designer and manufacturer of recyclable, paperboard-based structural packaging components. The investment was accounted for as an equity method investment. In 2024, Altor acquired the remaining equity interests in Rational Packaging, LLC and began accounting for Rational Packaging as a consolidated entity. Gains and losses from the investment were not material for the years ended December 31, 2024, 2023 and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and its subsidiaries lease office and manufacturing facilities, computer equipment and software under various operating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was not a material component of our total lease expense for the years ending December 31, 2024, 2023 or 2022.</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maturities of lease liabilities at December 31, 2024 having an initial or remaining non-cancelable term of one year or more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3860" w:type="dxa"/>
            <w:vAlign w:val="bottom"/>
            <w:vMerge w:val="restart"/>
          </w:tcPr>
          <w:p>
            <w:pPr>
              <w:ind w:left="20"/>
              <w:spacing w:after="0"/>
              <w:rPr>
                <w:sz w:val="20"/>
                <w:szCs w:val="20"/>
                <w:color w:val="auto"/>
              </w:rPr>
            </w:pPr>
            <w:r>
              <w:rPr>
                <w:rFonts w:ascii="Arial" w:cs="Arial" w:eastAsia="Arial" w:hAnsi="Arial"/>
                <w:sz w:val="15"/>
                <w:szCs w:val="15"/>
                <w:color w:val="auto"/>
              </w:rPr>
              <w:t>2025</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Operating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Finance</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5"/>
        </w:trPr>
        <w:tc>
          <w:tcPr>
            <w:tcW w:w="3860" w:type="dxa"/>
            <w:vAlign w:val="bottom"/>
            <w:vMerge w:val="continue"/>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53,048</w:t>
            </w:r>
          </w:p>
        </w:tc>
        <w:tc>
          <w:tcPr>
            <w:tcW w:w="160" w:type="dxa"/>
            <w:vAlign w:val="bottom"/>
          </w:tcPr>
          <w:p>
            <w:pPr>
              <w:spacing w:after="0"/>
              <w:rPr>
                <w:sz w:val="16"/>
                <w:szCs w:val="16"/>
                <w:color w:val="auto"/>
              </w:rPr>
            </w:pPr>
          </w:p>
        </w:tc>
        <w:tc>
          <w:tcPr>
            <w:tcW w:w="1140" w:type="dxa"/>
            <w:vAlign w:val="bottom"/>
          </w:tcPr>
          <w:p>
            <w:pPr>
              <w:jc w:val="right"/>
              <w:ind w:right="964"/>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ind w:right="4"/>
              <w:spacing w:after="0"/>
              <w:rPr>
                <w:sz w:val="20"/>
                <w:szCs w:val="20"/>
                <w:color w:val="auto"/>
              </w:rPr>
            </w:pPr>
            <w:r>
              <w:rPr>
                <w:rFonts w:ascii="Arial" w:cs="Arial" w:eastAsia="Arial" w:hAnsi="Arial"/>
                <w:sz w:val="15"/>
                <w:szCs w:val="15"/>
                <w:color w:val="auto"/>
              </w:rPr>
              <w:t>719</w:t>
            </w:r>
          </w:p>
        </w:tc>
        <w:tc>
          <w:tcPr>
            <w:tcW w:w="140" w:type="dxa"/>
            <w:vAlign w:val="bottom"/>
          </w:tcPr>
          <w:p>
            <w:pPr>
              <w:spacing w:after="0"/>
              <w:rPr>
                <w:sz w:val="16"/>
                <w:szCs w:val="16"/>
                <w:color w:val="auto"/>
              </w:rPr>
            </w:pP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53,767</w:t>
            </w:r>
          </w:p>
        </w:tc>
        <w:tc>
          <w:tcPr>
            <w:tcW w:w="0" w:type="dxa"/>
            <w:vAlign w:val="bottom"/>
          </w:tcPr>
          <w:p>
            <w:pPr>
              <w:spacing w:after="0"/>
              <w:rPr>
                <w:sz w:val="1"/>
                <w:szCs w:val="1"/>
                <w:color w:val="auto"/>
              </w:rPr>
            </w:pPr>
          </w:p>
        </w:tc>
      </w:tr>
      <w:tr>
        <w:trPr>
          <w:trHeight w:val="204"/>
        </w:trPr>
        <w:tc>
          <w:tcPr>
            <w:tcW w:w="3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53,868</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719</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54,587</w:t>
            </w:r>
          </w:p>
        </w:tc>
        <w:tc>
          <w:tcPr>
            <w:tcW w:w="0" w:type="dxa"/>
            <w:vAlign w:val="bottom"/>
          </w:tcPr>
          <w:p>
            <w:pPr>
              <w:spacing w:after="0"/>
              <w:rPr>
                <w:sz w:val="1"/>
                <w:szCs w:val="1"/>
                <w:color w:val="auto"/>
              </w:rPr>
            </w:pPr>
          </w:p>
        </w:tc>
      </w:tr>
      <w:tr>
        <w:trPr>
          <w:trHeight w:val="201"/>
        </w:trPr>
        <w:tc>
          <w:tcPr>
            <w:tcW w:w="3860" w:type="dxa"/>
            <w:vAlign w:val="bottom"/>
          </w:tcPr>
          <w:p>
            <w:pPr>
              <w:ind w:left="20"/>
              <w:spacing w:after="0"/>
              <w:rPr>
                <w:sz w:val="20"/>
                <w:szCs w:val="20"/>
                <w:color w:val="auto"/>
              </w:rPr>
            </w:pPr>
            <w:r>
              <w:rPr>
                <w:rFonts w:ascii="Arial" w:cs="Arial" w:eastAsia="Arial" w:hAnsi="Arial"/>
                <w:sz w:val="15"/>
                <w:szCs w:val="15"/>
                <w:color w:val="auto"/>
              </w:rPr>
              <w:t>2027</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45,721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jc w:val="right"/>
              <w:ind w:right="4"/>
              <w:spacing w:after="0"/>
              <w:rPr>
                <w:sz w:val="20"/>
                <w:szCs w:val="20"/>
                <w:color w:val="auto"/>
              </w:rPr>
            </w:pPr>
            <w:r>
              <w:rPr>
                <w:rFonts w:ascii="Arial" w:cs="Arial" w:eastAsia="Arial" w:hAnsi="Arial"/>
                <w:sz w:val="15"/>
                <w:szCs w:val="15"/>
                <w:color w:val="auto"/>
              </w:rPr>
              <w:t>7,040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52,761</w:t>
            </w:r>
          </w:p>
        </w:tc>
        <w:tc>
          <w:tcPr>
            <w:tcW w:w="0" w:type="dxa"/>
            <w:vAlign w:val="bottom"/>
          </w:tcPr>
          <w:p>
            <w:pPr>
              <w:spacing w:after="0"/>
              <w:rPr>
                <w:sz w:val="1"/>
                <w:szCs w:val="1"/>
                <w:color w:val="auto"/>
              </w:rPr>
            </w:pPr>
          </w:p>
        </w:tc>
      </w:tr>
      <w:tr>
        <w:trPr>
          <w:trHeight w:val="204"/>
        </w:trPr>
        <w:tc>
          <w:tcPr>
            <w:tcW w:w="3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2028</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35,389</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35,389</w:t>
            </w:r>
          </w:p>
        </w:tc>
        <w:tc>
          <w:tcPr>
            <w:tcW w:w="0" w:type="dxa"/>
            <w:vAlign w:val="bottom"/>
          </w:tcPr>
          <w:p>
            <w:pPr>
              <w:spacing w:after="0"/>
              <w:rPr>
                <w:sz w:val="1"/>
                <w:szCs w:val="1"/>
                <w:color w:val="auto"/>
              </w:rPr>
            </w:pPr>
          </w:p>
        </w:tc>
      </w:tr>
      <w:tr>
        <w:trPr>
          <w:trHeight w:val="201"/>
        </w:trPr>
        <w:tc>
          <w:tcPr>
            <w:tcW w:w="3860" w:type="dxa"/>
            <w:vAlign w:val="bottom"/>
          </w:tcPr>
          <w:p>
            <w:pPr>
              <w:ind w:left="20"/>
              <w:spacing w:after="0"/>
              <w:rPr>
                <w:sz w:val="20"/>
                <w:szCs w:val="20"/>
                <w:color w:val="auto"/>
              </w:rPr>
            </w:pPr>
            <w:r>
              <w:rPr>
                <w:rFonts w:ascii="Arial" w:cs="Arial" w:eastAsia="Arial" w:hAnsi="Arial"/>
                <w:sz w:val="15"/>
                <w:szCs w:val="15"/>
                <w:color w:val="auto"/>
              </w:rPr>
              <w:t>2029</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26,003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26,003</w:t>
            </w:r>
          </w:p>
        </w:tc>
        <w:tc>
          <w:tcPr>
            <w:tcW w:w="0" w:type="dxa"/>
            <w:vAlign w:val="bottom"/>
          </w:tcPr>
          <w:p>
            <w:pPr>
              <w:spacing w:after="0"/>
              <w:rPr>
                <w:sz w:val="1"/>
                <w:szCs w:val="1"/>
                <w:color w:val="auto"/>
              </w:rPr>
            </w:pPr>
          </w:p>
        </w:tc>
      </w:tr>
      <w:tr>
        <w:trPr>
          <w:trHeight w:val="204"/>
        </w:trPr>
        <w:tc>
          <w:tcPr>
            <w:tcW w:w="3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Thereafter</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70,674</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70,674</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Arial" w:cs="Arial" w:eastAsia="Arial" w:hAnsi="Arial"/>
                <w:sz w:val="15"/>
                <w:szCs w:val="15"/>
                <w:color w:val="auto"/>
              </w:rPr>
              <w:t>Total undiscounted lease payments</w:t>
            </w:r>
          </w:p>
        </w:tc>
        <w:tc>
          <w:tcPr>
            <w:tcW w:w="30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284,703</w:t>
            </w:r>
          </w:p>
        </w:tc>
        <w:tc>
          <w:tcPr>
            <w:tcW w:w="160" w:type="dxa"/>
            <w:vAlign w:val="bottom"/>
          </w:tcPr>
          <w:p>
            <w:pPr>
              <w:spacing w:after="0"/>
              <w:rPr>
                <w:sz w:val="16"/>
                <w:szCs w:val="16"/>
                <w:color w:val="auto"/>
              </w:rPr>
            </w:pPr>
          </w:p>
        </w:tc>
        <w:tc>
          <w:tcPr>
            <w:tcW w:w="1140" w:type="dxa"/>
            <w:vAlign w:val="bottom"/>
            <w:tcBorders>
              <w:top w:val="single" w:sz="8" w:color="auto"/>
            </w:tcBorders>
          </w:tcPr>
          <w:p>
            <w:pPr>
              <w:jc w:val="right"/>
              <w:ind w:right="964"/>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8,478</w:t>
            </w:r>
          </w:p>
        </w:tc>
        <w:tc>
          <w:tcPr>
            <w:tcW w:w="140" w:type="dxa"/>
            <w:vAlign w:val="bottom"/>
          </w:tcPr>
          <w:p>
            <w:pPr>
              <w:spacing w:after="0"/>
              <w:rPr>
                <w:sz w:val="16"/>
                <w:szCs w:val="16"/>
                <w:color w:val="auto"/>
              </w:rPr>
            </w:pPr>
          </w:p>
        </w:tc>
        <w:tc>
          <w:tcPr>
            <w:tcW w:w="40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293,181</w:t>
            </w:r>
          </w:p>
        </w:tc>
        <w:tc>
          <w:tcPr>
            <w:tcW w:w="0" w:type="dxa"/>
            <w:vAlign w:val="bottom"/>
          </w:tcPr>
          <w:p>
            <w:pPr>
              <w:spacing w:after="0"/>
              <w:rPr>
                <w:sz w:val="1"/>
                <w:szCs w:val="1"/>
                <w:color w:val="auto"/>
              </w:rPr>
            </w:pPr>
          </w:p>
        </w:tc>
      </w:tr>
      <w:tr>
        <w:trPr>
          <w:trHeight w:val="204"/>
        </w:trPr>
        <w:tc>
          <w:tcPr>
            <w:tcW w:w="3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Interest</w:t>
            </w: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67,946</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1,570</w:t>
            </w:r>
          </w:p>
        </w:tc>
        <w:tc>
          <w:tcPr>
            <w:tcW w:w="1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69,516</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Arial" w:cs="Arial" w:eastAsia="Arial" w:hAnsi="Arial"/>
                <w:sz w:val="15"/>
                <w:szCs w:val="15"/>
                <w:color w:val="auto"/>
              </w:rPr>
              <w:t>Present value of lease liabilities</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216,757</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right"/>
              <w:ind w:right="964"/>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6,908</w:t>
            </w:r>
          </w:p>
        </w:tc>
        <w:tc>
          <w:tcPr>
            <w:tcW w:w="140" w:type="dxa"/>
            <w:vAlign w:val="bottom"/>
          </w:tcPr>
          <w:p>
            <w:pPr>
              <w:spacing w:after="0"/>
              <w:rPr>
                <w:sz w:val="16"/>
                <w:szCs w:val="16"/>
                <w:color w:val="auto"/>
              </w:rPr>
            </w:pP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223,665</w:t>
            </w: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Company’s rent expense for the fiscal years ended December 31, 2024, 2023 and 2022 totaled $53.9 million, $50.3 million and $41.9 million, respectively. The Company entered into a finance lease during the year ended December 31, 2024. The amortization and interest related to this lease was not material in 2024.</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calculated amount of the right-of-use assets and lease liabilities in the table above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As the discount rate is rarely determinable, the Company utilizes the incremental borrowing rate of the subsidiary entering into the lease arrangement, on a collateralized basis, over a similar term as adjusted for any country specific risk.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leases were as follows:</w:t>
      </w:r>
    </w:p>
    <w:p>
      <w:pPr>
        <w:spacing w:after="0" w:line="247" w:lineRule="exact"/>
        <w:rPr>
          <w:sz w:val="20"/>
          <w:szCs w:val="20"/>
          <w:color w:val="auto"/>
        </w:rPr>
      </w:pPr>
    </w:p>
    <w:tbl>
      <w:tblPr>
        <w:tblLayout w:type="fixed"/>
        <w:tblInd w:w="84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940" w:type="dxa"/>
            <w:vAlign w:val="bottom"/>
            <w:gridSpan w:val="2"/>
          </w:tcPr>
          <w:p>
            <w:pPr>
              <w:spacing w:after="0"/>
              <w:rPr>
                <w:sz w:val="20"/>
                <w:szCs w:val="20"/>
                <w:color w:val="auto"/>
              </w:rPr>
            </w:pPr>
            <w:r>
              <w:rPr>
                <w:rFonts w:ascii="Arial" w:cs="Arial" w:eastAsia="Arial" w:hAnsi="Arial"/>
                <w:sz w:val="15"/>
                <w:szCs w:val="15"/>
                <w:b w:val="1"/>
                <w:bCs w:val="1"/>
                <w:color w:val="auto"/>
              </w:rPr>
              <w:t>Lease Term and Discount Rate</w:t>
            </w:r>
          </w:p>
        </w:tc>
        <w:tc>
          <w:tcPr>
            <w:tcW w:w="2340" w:type="dxa"/>
            <w:vAlign w:val="bottom"/>
            <w:gridSpan w:val="2"/>
          </w:tcPr>
          <w:p>
            <w:pPr>
              <w:ind w:left="440"/>
              <w:spacing w:after="0"/>
              <w:rPr>
                <w:sz w:val="20"/>
                <w:szCs w:val="20"/>
                <w:color w:val="auto"/>
              </w:rPr>
            </w:pPr>
            <w:r>
              <w:rPr>
                <w:rFonts w:ascii="Arial" w:cs="Arial" w:eastAsia="Arial" w:hAnsi="Arial"/>
                <w:sz w:val="15"/>
                <w:szCs w:val="15"/>
                <w:b w:val="1"/>
                <w:bCs w:val="1"/>
                <w:color w:val="auto"/>
              </w:rPr>
              <w:t>December 31, 2024</w:t>
            </w:r>
          </w:p>
        </w:tc>
        <w:tc>
          <w:tcPr>
            <w:tcW w:w="2280" w:type="dxa"/>
            <w:vAlign w:val="bottom"/>
          </w:tcPr>
          <w:p>
            <w:pPr>
              <w:jc w:val="right"/>
              <w:ind w:right="380"/>
              <w:spacing w:after="0"/>
              <w:rPr>
                <w:sz w:val="20"/>
                <w:szCs w:val="20"/>
                <w:color w:val="auto"/>
              </w:rPr>
            </w:pPr>
            <w:r>
              <w:rPr>
                <w:rFonts w:ascii="Arial" w:cs="Arial" w:eastAsia="Arial" w:hAnsi="Arial"/>
                <w:sz w:val="15"/>
                <w:szCs w:val="15"/>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2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940" w:type="dxa"/>
            <w:vAlign w:val="bottom"/>
            <w:gridSpan w:val="2"/>
          </w:tcPr>
          <w:p>
            <w:pPr>
              <w:ind w:left="220"/>
              <w:spacing w:after="0"/>
              <w:rPr>
                <w:sz w:val="20"/>
                <w:szCs w:val="20"/>
                <w:color w:val="auto"/>
              </w:rPr>
            </w:pPr>
            <w:r>
              <w:rPr>
                <w:rFonts w:ascii="Arial" w:cs="Arial" w:eastAsia="Arial" w:hAnsi="Arial"/>
                <w:sz w:val="16"/>
                <w:szCs w:val="16"/>
                <w:color w:val="auto"/>
              </w:rPr>
              <w:t>Operating Leases</w:t>
            </w:r>
          </w:p>
        </w:tc>
        <w:tc>
          <w:tcPr>
            <w:tcW w:w="2260" w:type="dxa"/>
            <w:vAlign w:val="bottom"/>
          </w:tcPr>
          <w:p>
            <w:pPr>
              <w:jc w:val="right"/>
              <w:spacing w:after="0"/>
              <w:rPr>
                <w:sz w:val="20"/>
                <w:szCs w:val="20"/>
                <w:color w:val="auto"/>
              </w:rPr>
            </w:pPr>
            <w:r>
              <w:rPr>
                <w:rFonts w:ascii="Arial" w:cs="Arial" w:eastAsia="Arial" w:hAnsi="Arial"/>
                <w:sz w:val="16"/>
                <w:szCs w:val="16"/>
                <w:color w:val="auto"/>
              </w:rPr>
              <w:t>6.05</w:t>
            </w:r>
          </w:p>
        </w:tc>
        <w:tc>
          <w:tcPr>
            <w:tcW w:w="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6.77</w:t>
            </w:r>
          </w:p>
        </w:tc>
      </w:tr>
      <w:tr>
        <w:trPr>
          <w:trHeight w:val="217"/>
        </w:trPr>
        <w:tc>
          <w:tcPr>
            <w:tcW w:w="2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Finance Leases</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8.90 %</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15"/>
        </w:trPr>
        <w:tc>
          <w:tcPr>
            <w:tcW w:w="20" w:type="dxa"/>
            <w:vAlign w:val="bottom"/>
          </w:tcPr>
          <w:p>
            <w:pPr>
              <w:spacing w:after="0"/>
              <w:rPr>
                <w:sz w:val="18"/>
                <w:szCs w:val="18"/>
                <w:color w:val="auto"/>
              </w:rPr>
            </w:pPr>
          </w:p>
        </w:tc>
        <w:tc>
          <w:tcPr>
            <w:tcW w:w="4940" w:type="dxa"/>
            <w:vAlign w:val="bottom"/>
            <w:gridSpan w:val="2"/>
          </w:tcPr>
          <w:p>
            <w:pPr>
              <w:ind w:left="220"/>
              <w:spacing w:after="0"/>
              <w:rPr>
                <w:sz w:val="20"/>
                <w:szCs w:val="20"/>
                <w:color w:val="auto"/>
              </w:rPr>
            </w:pPr>
            <w:r>
              <w:rPr>
                <w:rFonts w:ascii="Arial" w:cs="Arial" w:eastAsia="Arial" w:hAnsi="Arial"/>
                <w:sz w:val="16"/>
                <w:szCs w:val="16"/>
                <w:color w:val="auto"/>
              </w:rPr>
              <w:t>Finance Leases</w:t>
            </w:r>
          </w:p>
        </w:tc>
        <w:tc>
          <w:tcPr>
            <w:tcW w:w="2260" w:type="dxa"/>
            <w:vAlign w:val="bottom"/>
          </w:tcPr>
          <w:p>
            <w:pPr>
              <w:jc w:val="right"/>
              <w:spacing w:after="0"/>
              <w:rPr>
                <w:sz w:val="20"/>
                <w:szCs w:val="20"/>
                <w:color w:val="auto"/>
              </w:rPr>
            </w:pPr>
            <w:r>
              <w:rPr>
                <w:rFonts w:ascii="Arial" w:cs="Arial" w:eastAsia="Arial" w:hAnsi="Arial"/>
                <w:sz w:val="16"/>
                <w:szCs w:val="16"/>
                <w:color w:val="auto"/>
              </w:rPr>
              <w:t>9.90 %</w:t>
            </w:r>
          </w:p>
        </w:tc>
        <w:tc>
          <w:tcPr>
            <w:tcW w:w="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spacing w:after="0"/>
              <w:rPr>
                <w:sz w:val="14"/>
                <w:szCs w:val="14"/>
                <w:color w:val="auto"/>
              </w:rPr>
            </w:pPr>
          </w:p>
        </w:tc>
        <w:tc>
          <w:tcPr>
            <w:tcW w:w="3180" w:type="dxa"/>
            <w:vAlign w:val="bottom"/>
            <w:gridSpan w:val="2"/>
          </w:tcPr>
          <w:p>
            <w:pPr>
              <w:ind w:left="40"/>
              <w:spacing w:after="0"/>
              <w:rPr>
                <w:sz w:val="20"/>
                <w:szCs w:val="20"/>
                <w:color w:val="auto"/>
              </w:rPr>
            </w:pPr>
            <w:r>
              <w:rPr>
                <w:rFonts w:ascii="Arial" w:cs="Arial" w:eastAsia="Arial" w:hAnsi="Arial"/>
                <w:sz w:val="15"/>
                <w:szCs w:val="15"/>
                <w:b w:val="1"/>
                <w:bCs w:val="1"/>
                <w:color w:val="auto"/>
              </w:rPr>
              <w:t>Line Item in the Company’s Consolidated</w:t>
            </w:r>
          </w:p>
        </w:tc>
        <w:tc>
          <w:tcPr>
            <w:tcW w:w="220" w:type="dxa"/>
            <w:vAlign w:val="bottom"/>
          </w:tcPr>
          <w:p>
            <w:pPr>
              <w:spacing w:after="0"/>
              <w:rPr>
                <w:sz w:val="14"/>
                <w:szCs w:val="14"/>
                <w:color w:val="auto"/>
              </w:rPr>
            </w:pPr>
          </w:p>
        </w:tc>
        <w:tc>
          <w:tcPr>
            <w:tcW w:w="19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December 31, 2024</w:t>
            </w:r>
          </w:p>
        </w:tc>
        <w:tc>
          <w:tcPr>
            <w:tcW w:w="240" w:type="dxa"/>
            <w:vAlign w:val="bottom"/>
          </w:tcPr>
          <w:p>
            <w:pPr>
              <w:spacing w:after="0"/>
              <w:rPr>
                <w:sz w:val="14"/>
                <w:szCs w:val="14"/>
                <w:color w:val="auto"/>
              </w:rPr>
            </w:pPr>
          </w:p>
        </w:tc>
        <w:tc>
          <w:tcPr>
            <w:tcW w:w="1820" w:type="dxa"/>
            <w:vAlign w:val="bottom"/>
            <w:vMerge w:val="restart"/>
          </w:tcPr>
          <w:p>
            <w:pPr>
              <w:jc w:val="right"/>
              <w:ind w:right="260"/>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180" w:type="dxa"/>
            <w:vAlign w:val="bottom"/>
            <w:gridSpan w:val="2"/>
          </w:tcPr>
          <w:p>
            <w:pPr>
              <w:ind w:left="1020"/>
              <w:spacing w:after="0"/>
              <w:rPr>
                <w:sz w:val="20"/>
                <w:szCs w:val="20"/>
                <w:color w:val="auto"/>
              </w:rPr>
            </w:pPr>
            <w:r>
              <w:rPr>
                <w:rFonts w:ascii="Arial" w:cs="Arial" w:eastAsia="Arial" w:hAnsi="Arial"/>
                <w:sz w:val="15"/>
                <w:szCs w:val="15"/>
                <w:b w:val="1"/>
                <w:bCs w:val="1"/>
                <w:color w:val="auto"/>
              </w:rPr>
              <w:t>Balance Sheet</w:t>
            </w:r>
          </w:p>
        </w:tc>
        <w:tc>
          <w:tcPr>
            <w:tcW w:w="22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30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Assets: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160"/>
              <w:spacing w:after="0"/>
              <w:rPr>
                <w:sz w:val="20"/>
                <w:szCs w:val="20"/>
                <w:color w:val="auto"/>
              </w:rPr>
            </w:pPr>
            <w:r>
              <w:rPr>
                <w:rFonts w:ascii="Arial" w:cs="Arial" w:eastAsia="Arial" w:hAnsi="Arial"/>
                <w:sz w:val="16"/>
                <w:szCs w:val="16"/>
                <w:color w:val="auto"/>
              </w:rPr>
              <w:t>Operating lease right-of-use assets</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191,639</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177,323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Finance lease right-of-use assets</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198,521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177,323</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3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160"/>
              <w:spacing w:after="0"/>
              <w:rPr>
                <w:sz w:val="20"/>
                <w:szCs w:val="20"/>
                <w:color w:val="auto"/>
              </w:rPr>
            </w:pPr>
            <w:r>
              <w:rPr>
                <w:rFonts w:ascii="Arial" w:cs="Arial" w:eastAsia="Arial" w:hAnsi="Arial"/>
                <w:sz w:val="16"/>
                <w:szCs w:val="16"/>
                <w:color w:val="auto"/>
              </w:rPr>
              <w:t>Operating lease liabilities - current</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38,180</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28,997</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liabilities - non-current</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173,558</w:t>
            </w:r>
          </w:p>
        </w:tc>
        <w:tc>
          <w:tcPr>
            <w:tcW w:w="0" w:type="dxa"/>
            <w:vAlign w:val="bottom"/>
          </w:tcPr>
          <w:p>
            <w:pPr>
              <w:spacing w:after="0"/>
              <w:rPr>
                <w:sz w:val="1"/>
                <w:szCs w:val="1"/>
                <w:color w:val="auto"/>
              </w:rPr>
            </w:pPr>
          </w:p>
        </w:tc>
      </w:tr>
      <w:tr>
        <w:trPr>
          <w:trHeight w:val="215"/>
        </w:trPr>
        <w:tc>
          <w:tcPr>
            <w:tcW w:w="3860" w:type="dxa"/>
            <w:vAlign w:val="bottom"/>
          </w:tcPr>
          <w:p>
            <w:pPr>
              <w:ind w:left="160"/>
              <w:spacing w:after="0"/>
              <w:rPr>
                <w:sz w:val="20"/>
                <w:szCs w:val="20"/>
                <w:color w:val="auto"/>
              </w:rPr>
            </w:pPr>
            <w:r>
              <w:rPr>
                <w:rFonts w:ascii="Arial" w:cs="Arial" w:eastAsia="Arial" w:hAnsi="Arial"/>
                <w:sz w:val="16"/>
                <w:szCs w:val="16"/>
                <w:color w:val="auto"/>
              </w:rPr>
              <w:t>Finance lease liabilities - current</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Finance lease liabilities - non-current</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223,665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202,555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6380" w:type="dxa"/>
            <w:vAlign w:val="bottom"/>
          </w:tcPr>
          <w:p>
            <w:pPr>
              <w:spacing w:after="0"/>
              <w:rPr>
                <w:sz w:val="14"/>
                <w:szCs w:val="14"/>
                <w:color w:val="auto"/>
              </w:rPr>
            </w:pPr>
          </w:p>
        </w:tc>
        <w:tc>
          <w:tcPr>
            <w:tcW w:w="2140" w:type="dxa"/>
            <w:vAlign w:val="bottom"/>
            <w:gridSpan w:val="3"/>
          </w:tcPr>
          <w:p>
            <w:pPr>
              <w:ind w:left="100"/>
              <w:spacing w:after="0"/>
              <w:rPr>
                <w:sz w:val="20"/>
                <w:szCs w:val="20"/>
                <w:color w:val="auto"/>
              </w:rPr>
            </w:pPr>
            <w:r>
              <w:rPr>
                <w:rFonts w:ascii="Arial" w:cs="Arial" w:eastAsia="Arial" w:hAnsi="Arial"/>
                <w:sz w:val="15"/>
                <w:szCs w:val="15"/>
                <w:b w:val="1"/>
                <w:bCs w:val="1"/>
                <w:color w:val="auto"/>
              </w:rPr>
              <w:t>Year ended December 31,</w:t>
            </w:r>
          </w:p>
        </w:tc>
        <w:tc>
          <w:tcPr>
            <w:tcW w:w="20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Year ended December 31,</w:t>
            </w:r>
          </w:p>
        </w:tc>
      </w:tr>
      <w:tr>
        <w:trPr>
          <w:trHeight w:val="213"/>
        </w:trPr>
        <w:tc>
          <w:tcPr>
            <w:tcW w:w="63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80"/>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80"/>
              <w:spacing w:after="0"/>
              <w:rPr>
                <w:sz w:val="20"/>
                <w:szCs w:val="20"/>
                <w:color w:val="auto"/>
              </w:rPr>
            </w:pPr>
            <w:r>
              <w:rPr>
                <w:rFonts w:ascii="Arial" w:cs="Arial" w:eastAsia="Arial" w:hAnsi="Arial"/>
                <w:sz w:val="15"/>
                <w:szCs w:val="15"/>
                <w:b w:val="1"/>
                <w:bCs w:val="1"/>
                <w:color w:val="auto"/>
              </w:rPr>
              <w:t>2023</w:t>
            </w:r>
          </w:p>
        </w:tc>
      </w:tr>
      <w:tr>
        <w:trPr>
          <w:trHeight w:val="19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5"/>
        </w:trPr>
        <w:tc>
          <w:tcPr>
            <w:tcW w:w="638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w:t>
            </w: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47,688</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39,806</w:t>
            </w:r>
          </w:p>
        </w:tc>
      </w:tr>
      <w:tr>
        <w:trPr>
          <w:trHeight w:val="217"/>
        </w:trPr>
        <w:tc>
          <w:tcPr>
            <w:tcW w:w="6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80" w:type="dxa"/>
            <w:vAlign w:val="bottom"/>
          </w:tcPr>
          <w:p>
            <w:pPr>
              <w:ind w:left="240"/>
              <w:spacing w:after="0"/>
              <w:rPr>
                <w:sz w:val="20"/>
                <w:szCs w:val="20"/>
                <w:color w:val="auto"/>
              </w:rPr>
            </w:pPr>
            <w:r>
              <w:rPr>
                <w:rFonts w:ascii="Arial" w:cs="Arial" w:eastAsia="Arial" w:hAnsi="Arial"/>
                <w:sz w:val="16"/>
                <w:szCs w:val="16"/>
                <w:color w:val="auto"/>
              </w:rPr>
              <w:t>Financing cash flows from finance leases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6380" w:type="dxa"/>
            <w:vAlign w:val="bottom"/>
          </w:tcPr>
          <w:p>
            <w:pPr>
              <w:ind w:left="240"/>
              <w:spacing w:after="0"/>
              <w:rPr>
                <w:sz w:val="20"/>
                <w:szCs w:val="20"/>
                <w:color w:val="auto"/>
              </w:rPr>
            </w:pPr>
            <w:r>
              <w:rPr>
                <w:rFonts w:ascii="Arial" w:cs="Arial" w:eastAsia="Arial" w:hAnsi="Arial"/>
                <w:sz w:val="16"/>
                <w:szCs w:val="16"/>
                <w:color w:val="auto"/>
              </w:rPr>
              <w:t>Operating leases</w:t>
            </w: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27,477</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61,560</w:t>
            </w:r>
          </w:p>
        </w:tc>
      </w:tr>
      <w:tr>
        <w:trPr>
          <w:trHeight w:val="217"/>
        </w:trPr>
        <w:tc>
          <w:tcPr>
            <w:tcW w:w="6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normal course of business, the Company and its subsidiaries are involved in various claims and legal proceedings. While the ultimate resolution of these matters has yet to be determined, the Company does not believe that any unfavorable outcomes will have a material adverse effect on the Company’s consolidated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Costs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2024, Arnold relocated two of its facilities located in Marengo, Illinois into one combined facility in Woodstock, Illinois. Arnold recorded $9.9 million in exit costs related to the move of which $9.3 million is recorded in selling, general and administrative expense and $0.6 million is recorded in costs of revenues in the consolidated statement of operations in the year ended December 31, 2024. An additional $2.9 million in expense was incurred related to the move to the new facility that were not classified as exit costs, for total expense of approximately $13.0 million in the year ended December 31, 2024. The exit from the Marengo facility was substantially complete at December 31, 2024.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Related Party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LLC has entered into related party transactions with its Manager, CGM, including the following:</w:t>
      </w:r>
    </w:p>
    <w:p>
      <w:pPr>
        <w:spacing w:after="0" w:line="115"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Management Services Agreement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LLC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Integration Services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 Reimbursement and Fees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LLC entered into a MSA with CGM effective May 16, 2006, as amended. Our Chief Executive Officer is a the managing member of CGM. The MSA, as in effect for fiscal year 2024, provides for, among other things, CGM to perform services for the LLC in exchange for a management fee paid quarterly and equal to 0.5% of the LLC’s adjusted net assets, as defined in the MSA. The management fee is required to be paid prior to the payment of any distributions to shareholders.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MSA, CGM is entitled to enter into off-setting management service agreements with each of the operating segments. The amount of the fee is negotiated between CGM and the operating management of each segment and is based upon the value of the services to be provided. The fees paid directly to CGM by the segments offset on a dollar for dollar basis the amount due CGM by the LLC under the MSA.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CGM entered into a waiver to exclude cash balances held at the LLC from the calculation of the management fee.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2022, CGM entered into a waiver of the MSA for the period through June 30, 2023 to receive a 1% annual management fee related to PrimaLoft, rather than the 2% called for under the MSA, which resulted in a lower management fee than would normally have been due. At March 31, 2022 and June 30, 2022, CGM entered into a waiver to exclude cash balances held at the LLC from the calculation of the management fee.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2024, 2023 and 2022, the Company incurred the following management fees to CGM, by entity:</w:t>
      </w:r>
    </w:p>
    <w:p>
      <w:pPr>
        <w:spacing w:after="0" w:line="143" w:lineRule="exact"/>
        <w:rPr>
          <w:sz w:val="20"/>
          <w:szCs w:val="20"/>
          <w:color w:val="auto"/>
        </w:rPr>
      </w:pPr>
    </w:p>
    <w:tbl>
      <w:tblPr>
        <w:tblLayout w:type="fixed"/>
        <w:tblInd w:w="1040" w:type="dxa"/>
        <w:tblCellMar>
          <w:top w:w="0" w:type="dxa"/>
          <w:left w:w="0" w:type="dxa"/>
          <w:bottom w:w="0" w:type="dxa"/>
          <w:right w:w="0" w:type="dxa"/>
        </w:tblCellMar>
      </w:tblPr>
      <w:tr>
        <w:trPr>
          <w:trHeight w:val="208"/>
        </w:trPr>
        <w:tc>
          <w:tcPr>
            <w:tcW w:w="4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ind w:right="224"/>
              <w:spacing w:after="0"/>
              <w:rPr>
                <w:sz w:val="20"/>
                <w:szCs w:val="20"/>
                <w:color w:val="auto"/>
              </w:rPr>
            </w:pPr>
            <w:r>
              <w:rPr>
                <w:rFonts w:ascii="Arial" w:cs="Arial" w:eastAsia="Arial" w:hAnsi="Arial"/>
                <w:sz w:val="15"/>
                <w:szCs w:val="15"/>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385"/>
        </w:trPr>
        <w:tc>
          <w:tcPr>
            <w:tcW w:w="436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 thousands</w:t>
            </w:r>
            <w:r>
              <w:rPr>
                <w:rFonts w:ascii="Arial" w:cs="Arial" w:eastAsia="Arial" w:hAnsi="Arial"/>
                <w:sz w:val="13"/>
                <w:szCs w:val="13"/>
                <w:color w:val="auto"/>
              </w:rPr>
              <w:t>)</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2022</w:t>
            </w:r>
          </w:p>
        </w:tc>
      </w:tr>
      <w:tr>
        <w:trPr>
          <w:trHeight w:val="75"/>
        </w:trPr>
        <w:tc>
          <w:tcPr>
            <w:tcW w:w="4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5.11</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520" w:type="dxa"/>
            <w:vAlign w:val="bottom"/>
            <w:gridSpan w:val="3"/>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01"/>
        </w:trPr>
        <w:tc>
          <w:tcPr>
            <w:tcW w:w="4360" w:type="dxa"/>
            <w:vAlign w:val="bottom"/>
          </w:tcPr>
          <w:p>
            <w:pPr>
              <w:spacing w:after="0"/>
              <w:rPr>
                <w:sz w:val="20"/>
                <w:szCs w:val="20"/>
                <w:color w:val="auto"/>
              </w:rPr>
            </w:pPr>
            <w:r>
              <w:rPr>
                <w:rFonts w:ascii="Arial" w:cs="Arial" w:eastAsia="Arial" w:hAnsi="Arial"/>
                <w:sz w:val="15"/>
                <w:szCs w:val="15"/>
                <w:color w:val="auto"/>
              </w:rPr>
              <w:t>BOA</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204"/>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Lugano</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r>
      <w:tr>
        <w:trPr>
          <w:trHeight w:val="201"/>
        </w:trPr>
        <w:tc>
          <w:tcPr>
            <w:tcW w:w="4360" w:type="dxa"/>
            <w:vAlign w:val="bottom"/>
          </w:tcPr>
          <w:p>
            <w:pPr>
              <w:spacing w:after="0"/>
              <w:rPr>
                <w:sz w:val="20"/>
                <w:szCs w:val="20"/>
                <w:color w:val="auto"/>
              </w:rPr>
            </w:pPr>
            <w:r>
              <w:rPr>
                <w:rFonts w:ascii="Arial" w:cs="Arial" w:eastAsia="Arial" w:hAnsi="Arial"/>
                <w:sz w:val="15"/>
                <w:szCs w:val="15"/>
                <w:color w:val="auto"/>
              </w:rPr>
              <w:t>PrimaLoft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500</w:t>
            </w:r>
          </w:p>
        </w:tc>
      </w:tr>
      <w:tr>
        <w:trPr>
          <w:trHeight w:val="204"/>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The Honey Pot Co.</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4360" w:type="dxa"/>
            <w:vAlign w:val="bottom"/>
          </w:tcPr>
          <w:p>
            <w:pPr>
              <w:spacing w:after="0"/>
              <w:rPr>
                <w:sz w:val="20"/>
                <w:szCs w:val="20"/>
                <w:color w:val="auto"/>
              </w:rPr>
            </w:pPr>
            <w:r>
              <w:rPr>
                <w:rFonts w:ascii="Arial" w:cs="Arial" w:eastAsia="Arial" w:hAnsi="Arial"/>
                <w:sz w:val="15"/>
                <w:szCs w:val="15"/>
                <w:color w:val="auto"/>
              </w:rPr>
              <w:t>Velocity</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500</w:t>
            </w:r>
          </w:p>
        </w:tc>
      </w:tr>
      <w:tr>
        <w:trPr>
          <w:trHeight w:val="204"/>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Altor Solutions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r>
      <w:tr>
        <w:trPr>
          <w:trHeight w:val="201"/>
        </w:trPr>
        <w:tc>
          <w:tcPr>
            <w:tcW w:w="4360" w:type="dxa"/>
            <w:vAlign w:val="bottom"/>
          </w:tcPr>
          <w:p>
            <w:pPr>
              <w:spacing w:after="0"/>
              <w:rPr>
                <w:sz w:val="20"/>
                <w:szCs w:val="20"/>
                <w:color w:val="auto"/>
              </w:rPr>
            </w:pPr>
            <w:r>
              <w:rPr>
                <w:rFonts w:ascii="Arial" w:cs="Arial" w:eastAsia="Arial" w:hAnsi="Arial"/>
                <w:sz w:val="15"/>
                <w:szCs w:val="15"/>
                <w:color w:val="auto"/>
              </w:rPr>
              <w:t>Arnold</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500</w:t>
            </w:r>
          </w:p>
        </w:tc>
      </w:tr>
      <w:tr>
        <w:trPr>
          <w:trHeight w:val="204"/>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Sterno</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r>
      <w:tr>
        <w:trPr>
          <w:trHeight w:val="201"/>
        </w:trPr>
        <w:tc>
          <w:tcPr>
            <w:tcW w:w="43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Corporate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68,017</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61,945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56,604</w:t>
            </w:r>
          </w:p>
        </w:tc>
      </w:tr>
      <w:tr>
        <w:trPr>
          <w:trHeight w:val="221"/>
        </w:trPr>
        <w:tc>
          <w:tcPr>
            <w:tcW w:w="4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74,767</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67,945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62,104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Approximately $ 18.0 million and $16.0 million of the management fees incurred were unpaid as of December 31, 2024 and 2023, respectively, and are reflected in "Due to related party" on the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LLC Agreement</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LLC agreement gives Holders the right to distributions pursuant to a profit allocation formula upon the occurrence of a Sale Event or a Holding Event. The Holders are entitled to receive and as such can elect to receive the positive contribution-based profit allocation payment for each of the business acquisitions during the 30-day period following the fifth anniversary of the date upon which we acquired a controlling interest in that business (Holding Event) and upon the sale of the business (Sale Event). Holders received $48.9 million and $26.5 million in distributions related to Sale and Holding Events that occurred during 2024 and 2023, respectively. There were no profit allocation payments during the year ended December 31, 2022. Refer to "</w:t>
      </w:r>
      <w:r>
        <w:rPr>
          <w:rFonts w:ascii="Arial" w:cs="Arial" w:eastAsia="Arial" w:hAnsi="Arial"/>
          <w:sz w:val="18"/>
          <w:szCs w:val="18"/>
          <w:u w:val="single" w:color="auto"/>
          <w:color w:val="0000FF"/>
        </w:rPr>
        <w:t>Note J - Stockholders' Equity</w:t>
      </w:r>
      <w:r>
        <w:rPr>
          <w:rFonts w:ascii="Arial" w:cs="Arial" w:eastAsia="Arial" w:hAnsi="Arial"/>
          <w:sz w:val="18"/>
          <w:szCs w:val="18"/>
          <w:color w:val="auto"/>
        </w:rPr>
        <w:t>" for a description of the profit allocation payments.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persons who are employees and partners of the Manager, including the Company’s Chief Executive Officer, beneficially own (through Sostratus LLC) 54.0% of the Allocation Interests at December 31, 2024 and 62.0% at December 31, 2023. Of the remaining 46.0% at December 31, 2024 and 38.0% at December 31, 2023, 5.0% is held by CGI Diversified Holdings LP, 5.0% is held by a former director on the Board, and the remaining percentage of Allocation Interests are held by the former founding partners and certain former employees of the Manager.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Integration services represent fees paid by newly acquired companies to the Manager for integration services performed during the first year of ownership. Under the Integration Services Agreement ("ISA"),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Honey Pot Co., which was acquired in January 2024, entered into an ISA with CGM whereby The Honey Pot Co. will pay CGM a total integration services fee of $3.5 million, payable quarterly over a twelve-month period beginning June 30, 2024.</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PrimaLoft, which was acquired in July 2022, entered into an ISA with CGM whereby PrimaLoft paid CGM a total integration services fee of $4.8 million, paid quarterly over a twelve-month period ended June 30, 2023.</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years ended December 31, 2024, 2023 and 2022, CGM received $2.6 million, $2.4 million, and $4.1 million, respectively, in total integration service fees. Integration service fees are included in selling, general and administrative expense on the subsidiaries' statement of operations in the period in which they are incurred.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Reimbursement and Fees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reimbursed its Manager, CGM, approximately $8.8 million, $6.4 million, and $6.5 million, principally for occupancy and staffing costs incurred by CGM on the Company’s behalf during the years ended December 31, 2024, 2023 and 2022,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its businesses have the following significant related party transactions</w:t>
      </w:r>
      <w:r>
        <w:rPr>
          <w:rFonts w:ascii="Arial" w:cs="Arial" w:eastAsia="Arial" w:hAnsi="Arial"/>
          <w:sz w:val="18"/>
          <w:szCs w:val="18"/>
          <w:b w:val="1"/>
          <w:bCs w:val="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During the years ended December 31, 2024, 2023 and 2022, 5.11 purchased approximately $1.4 million, $1.7 million, and $2.0 million, respectively, in inventory from the vendor.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Recapitalization</w:t>
      </w:r>
      <w:r>
        <w:rPr>
          <w:rFonts w:ascii="Arial" w:cs="Arial" w:eastAsia="Arial" w:hAnsi="Arial"/>
          <w:sz w:val="18"/>
          <w:szCs w:val="18"/>
          <w:i w:val="1"/>
          <w:iCs w:val="1"/>
          <w:color w:val="auto"/>
        </w:rPr>
        <w:t xml:space="preserve"> - </w:t>
      </w:r>
      <w:r>
        <w:rPr>
          <w:rFonts w:ascii="Arial" w:cs="Arial" w:eastAsia="Arial" w:hAnsi="Arial"/>
          <w:sz w:val="18"/>
          <w:szCs w:val="18"/>
          <w:color w:val="auto"/>
        </w:rPr>
        <w:t>In December 2023, the Company completed a recapitalization of BOA whereby the LLC entered into an amendment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credit agreement with BOA (the "BOA Credit Agreement"). The BOA Credit Agreement was amended to provide for additional term loan borrowings of $165.9 million to fund a distribution to shareholders. The LLC received a distribution of $131.0 million related to their ownership of the outstanding shares of BOA on the date of the distribution. Noncontrolling shareholders received a distribution of $11.7 million, and the remaining amount of the recapitalization was used to repurchase shares owned by employees after the exercise of fully vested employee stock options, and to pay a bonus to employees who held phantom stock options and were not eligible to participate in the distribution to noncontrolling shareholders. BOA recorded compensation expense of $3.1 million related to the bonus paid to employees as part of the recapitalization.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During the years ended December 31, 2024 and 2023 and 2022, BOA purchased approximately $48.1 million, $42.1 million and $56.1 million, respectively, from this supplier.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Lugano</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Lugano purchases inventory from a vendor who is a related party to Lugano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Lugano. The related party relationship commenced in 2024. During the year ended December 31, 2024, Lugano purchased approximately $7.0 million in inventory from the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Operating Segment Data</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2024, the Company had nine reportable operating segments. Each operating segment represents a platform acquisition. The Company’s operating segments are strategic business units that offer different products and services. While each is actively managed by the Company, they are managed separately because each</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business requires different technology and marketing strategies. A description of each of the reportable segments and the types of products from which each segment derives its revenues is as follows:</w:t>
      </w:r>
    </w:p>
    <w:p>
      <w:pPr>
        <w:spacing w:after="0" w:line="99" w:lineRule="exact"/>
        <w:rPr>
          <w:sz w:val="20"/>
          <w:szCs w:val="20"/>
          <w:color w:val="auto"/>
        </w:rPr>
      </w:pPr>
    </w:p>
    <w:p>
      <w:pPr>
        <w:jc w:val="both"/>
        <w:ind w:left="660" w:hanging="328"/>
        <w:spacing w:after="0" w:line="25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Costa Mesa, California, 5.11 operates sales offices and distribution centers globally, and 5.11 products are widely distributed in uniform stores, military exchanges, outdoor retail stores, its own retail stores and on 511tactical.com.</w:t>
      </w:r>
    </w:p>
    <w:p>
      <w:pPr>
        <w:spacing w:after="0" w:line="12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BOA,</w:t>
      </w:r>
      <w:r>
        <w:rPr>
          <w:rFonts w:ascii="Arial" w:cs="Arial" w:eastAsia="Arial" w:hAnsi="Arial"/>
          <w:sz w:val="18"/>
          <w:szCs w:val="18"/>
          <w:color w:val="auto"/>
        </w:rPr>
        <w:t xml:space="preserve"> creator of the revolutionary,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offices in Austria, China, South Korea, and Japan.</w:t>
      </w:r>
    </w:p>
    <w:p>
      <w:pPr>
        <w:spacing w:after="0" w:line="12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Lugano</w:t>
      </w:r>
      <w:r>
        <w:rPr>
          <w:rFonts w:ascii="Arial" w:cs="Arial" w:eastAsia="Arial" w:hAnsi="Arial"/>
          <w:sz w:val="18"/>
          <w:szCs w:val="18"/>
          <w:color w:val="auto"/>
        </w:rPr>
        <w:t xml:space="preserve"> is a leading designer, manufacturer and marketer of high-end, one-of-a-kind jewelry sought after by some of the world’s most discerning clientele. Lugano conducts sales via its own retail salons as well as pop-up showrooms at Lugano-hosted or sponsored events in partnership with influential organizations in the equestrian, art and philanthropic community. Lugano is headquartered in Newport Beach, California.</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PrimaLoft</w:t>
      </w:r>
      <w:r>
        <w:rPr>
          <w:rFonts w:ascii="Arial" w:cs="Arial" w:eastAsia="Arial" w:hAnsi="Arial"/>
          <w:sz w:val="18"/>
          <w:szCs w:val="18"/>
          <w:color w:val="auto"/>
        </w:rPr>
        <w:t xml:space="preserve">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spacing w:after="0" w:line="12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The Honey Pot Co.</w:t>
      </w:r>
      <w:r>
        <w:rPr>
          <w:rFonts w:ascii="Arial" w:cs="Arial" w:eastAsia="Arial" w:hAnsi="Arial"/>
          <w:sz w:val="18"/>
          <w:szCs w:val="18"/>
          <w:color w:val="auto"/>
        </w:rPr>
        <w:t xml:space="preserve"> 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spacing w:after="0" w:line="128"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 in Rochester, New York. On April 30, 2024, Velocity Outdoor sold the Crosman airgun product division. The results of operation for Crosman are included in the accompanying financial statements through the date of sale.</w:t>
      </w:r>
    </w:p>
    <w:p>
      <w:pPr>
        <w:spacing w:after="0" w:line="12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Altor Solutions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Altor is headquartered in St. Louis, Missouri and operates 23 molding and fabricating facilities across North America.</w:t>
      </w:r>
    </w:p>
    <w:p>
      <w:pPr>
        <w:spacing w:after="0" w:line="12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solutions provider and manufacturer of engineered magnetic solutions for a wide range of specialty applications and end-markets, including aerospace and defense, general industrial, motorsport/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transportation, oil and gas, medical, energy, semiconductor and advertising specialties.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 Arnold is headquartered in Rochester, New York.</w:t>
      </w:r>
    </w:p>
    <w:p>
      <w:pPr>
        <w:spacing w:after="0" w:line="129" w:lineRule="exact"/>
        <w:rPr>
          <w:sz w:val="20"/>
          <w:szCs w:val="20"/>
          <w:color w:val="auto"/>
        </w:rPr>
      </w:pPr>
    </w:p>
    <w:p>
      <w:pPr>
        <w:jc w:val="both"/>
        <w:ind w:left="660" w:hanging="328"/>
        <w:spacing w:after="0" w:line="259"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leading manufacturer and marketer of portable food warming systems, creative indoor and outdoor lighting, and home 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 Sterno is headquartered in Plano, Texas.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function of chief operating decision-maker (“CODM”) is performed collectively by our Chief Executive Officer, the Chief Operating Officer and the partners of the Company’s Manager, CGM. The CODM evaluates financial results by segment, utilizing segment operating income to assess performance and allocate resources. The allocation of resources to operating segments may include, but is not limited to, debt financing through the Company's intercompany credit agreements with its operating segments to fund working capital needs, purchases of capital equipment and add-on acquisitions. The primary resource allocation process occurs predominantly in the annual budget and forecasting process. The CODM then reviews and considers budget-to-actual variances on a monthly basis for segment operating income in order to determine whether to make any adjustments to capital allocations.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operations of each of the operating segments are included in consolidated operating results as of their date of acquisition. Segment profit is determined based on internal performance measures used by the CODM to assess the performance of each business. The significant expense categories and amounts align with the segment-level information that is regularly provided to the CODM. In comparison to the Consolidated Statement of Operations, selling, general and administrative expense is exclusive of stock-based compensation and acquisition costs, which are categorized to Other. Corporate consists of corporate overhead and management fees to CGM that are not allocated the Company's reportable segments. There were no significant inter-segment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0548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4"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Year ended December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5.11</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5"/>
                <w:szCs w:val="15"/>
                <w:b w:val="1"/>
                <w:bCs w:val="1"/>
                <w:color w:val="auto"/>
              </w:rPr>
              <w:t>BOA</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rPr>
              <w:t>Lugano</w:t>
            </w:r>
          </w:p>
        </w:tc>
        <w:tc>
          <w:tcPr>
            <w:tcW w:w="9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5"/>
                <w:szCs w:val="15"/>
                <w:b w:val="1"/>
                <w:bCs w:val="1"/>
                <w:color w:val="auto"/>
              </w:rPr>
              <w:t>PrimaLoft</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5"/>
                <w:szCs w:val="15"/>
                <w:b w:val="1"/>
                <w:bCs w:val="1"/>
                <w:color w:val="auto"/>
              </w:rPr>
              <w:t>THP</w:t>
            </w: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5"/>
                <w:szCs w:val="15"/>
                <w:b w:val="1"/>
                <w:bCs w:val="1"/>
                <w:color w:val="auto"/>
              </w:rPr>
              <w:t>Velocity</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5"/>
                <w:szCs w:val="15"/>
                <w:b w:val="1"/>
                <w:bCs w:val="1"/>
                <w:color w:val="auto"/>
              </w:rPr>
              <w:t>Altor</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5"/>
                <w:szCs w:val="15"/>
                <w:b w:val="1"/>
                <w:bCs w:val="1"/>
                <w:color w:val="auto"/>
              </w:rPr>
              <w:t>Arnold</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5"/>
                <w:szCs w:val="15"/>
                <w:b w:val="1"/>
                <w:bCs w:val="1"/>
                <w:color w:val="auto"/>
              </w:rPr>
              <w:t>Sterno</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8"/>
        </w:trPr>
        <w:tc>
          <w:tcPr>
            <w:tcW w:w="20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5"/>
                <w:szCs w:val="15"/>
                <w:b w:val="1"/>
                <w:bCs w:val="1"/>
                <w:color w:val="auto"/>
              </w:rPr>
              <w:t>Outdoor</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532,161</w:t>
            </w: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190,811</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470,666</w:t>
            </w: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74,226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104,589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shd w:val="clear" w:color="auto" w:fill="CCEEFF"/>
          </w:tcPr>
          <w:p>
            <w:pPr>
              <w:jc w:val="center"/>
              <w:ind w:left="24"/>
              <w:spacing w:after="0"/>
              <w:rPr>
                <w:sz w:val="20"/>
                <w:szCs w:val="20"/>
                <w:color w:val="auto"/>
              </w:rPr>
            </w:pPr>
            <w:r>
              <w:rPr>
                <w:rFonts w:ascii="Arial" w:cs="Arial" w:eastAsia="Arial" w:hAnsi="Arial"/>
                <w:sz w:val="15"/>
                <w:szCs w:val="15"/>
                <w:color w:val="auto"/>
              </w:rPr>
              <w:t>96,427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239,069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171,837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318,448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8"/>
              </w:rPr>
              <w:t>2,198,234</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258,941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71,593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184,472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27,660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53,335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center"/>
              <w:ind w:left="24"/>
              <w:spacing w:after="0"/>
              <w:rPr>
                <w:sz w:val="20"/>
                <w:szCs w:val="20"/>
                <w:color w:val="auto"/>
              </w:rPr>
            </w:pPr>
            <w:r>
              <w:rPr>
                <w:rFonts w:ascii="Arial" w:cs="Arial" w:eastAsia="Arial" w:hAnsi="Arial"/>
                <w:sz w:val="15"/>
                <w:szCs w:val="15"/>
                <w:color w:val="auto"/>
              </w:rPr>
              <w:t>70,074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172,801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125,733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233,265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w w:val="98"/>
              </w:rPr>
              <w:t>1,197,874</w:t>
            </w: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Selling, general and</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administrative expense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222,560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49,590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94,730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18,346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rPr>
              <w:t>25,070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30,235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35,538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37,495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546,081</w:t>
            </w:r>
          </w:p>
        </w:tc>
        <w:tc>
          <w:tcPr>
            <w:tcW w:w="0" w:type="dxa"/>
            <w:vAlign w:val="bottom"/>
          </w:tcPr>
          <w:p>
            <w:pPr>
              <w:spacing w:after="0"/>
              <w:rPr>
                <w:sz w:val="1"/>
                <w:szCs w:val="1"/>
                <w:color w:val="auto"/>
              </w:rPr>
            </w:pPr>
          </w:p>
        </w:tc>
      </w:tr>
      <w:tr>
        <w:trPr>
          <w:trHeight w:val="201"/>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9"/>
                <w:szCs w:val="9"/>
                <w:b w:val="1"/>
                <w:bCs w:val="1"/>
                <w:color w:val="auto"/>
              </w:rPr>
              <w:t>(1)</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22,462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8,306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24,196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20,626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color w:val="auto"/>
              </w:rPr>
              <w:t>15,440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14,285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3,017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16,242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136,388</w:t>
            </w: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360"/>
              <w:spacing w:after="0" w:line="139" w:lineRule="exact"/>
              <w:rPr>
                <w:sz w:val="20"/>
                <w:szCs w:val="20"/>
                <w:color w:val="auto"/>
              </w:rPr>
            </w:pPr>
            <w:r>
              <w:rPr>
                <w:rFonts w:ascii="Arial" w:cs="Arial" w:eastAsia="Arial" w:hAnsi="Arial"/>
                <w:sz w:val="15"/>
                <w:szCs w:val="15"/>
                <w:color w:val="auto"/>
              </w:rPr>
              <w:t>Total segment operating</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(loss)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47,166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183,158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left="4"/>
              <w:spacing w:after="0"/>
              <w:rPr>
                <w:sz w:val="20"/>
                <w:szCs w:val="20"/>
                <w:color w:val="auto"/>
              </w:rPr>
            </w:pPr>
            <w:r>
              <w:rPr>
                <w:rFonts w:ascii="Arial" w:cs="Arial" w:eastAsia="Arial" w:hAnsi="Arial"/>
                <w:sz w:val="15"/>
                <w:szCs w:val="15"/>
                <w:color w:val="auto"/>
              </w:rPr>
              <w:t>(14,157)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21,748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31,446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317,891</w:t>
            </w:r>
          </w:p>
        </w:tc>
        <w:tc>
          <w:tcPr>
            <w:tcW w:w="0" w:type="dxa"/>
            <w:vAlign w:val="bottom"/>
          </w:tcPr>
          <w:p>
            <w:pPr>
              <w:spacing w:after="0"/>
              <w:rPr>
                <w:sz w:val="1"/>
                <w:szCs w:val="1"/>
                <w:color w:val="auto"/>
              </w:rPr>
            </w:pPr>
          </w:p>
        </w:tc>
      </w:tr>
      <w:tr>
        <w:trPr>
          <w:trHeight w:val="201"/>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Corporate</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(87,760)</w:t>
            </w: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360"/>
              <w:spacing w:after="0" w:line="139" w:lineRule="exact"/>
              <w:rPr>
                <w:sz w:val="20"/>
                <w:szCs w:val="20"/>
                <w:color w:val="auto"/>
              </w:rPr>
            </w:pPr>
            <w:r>
              <w:rPr>
                <w:rFonts w:ascii="Arial" w:cs="Arial" w:eastAsia="Arial" w:hAnsi="Arial"/>
                <w:sz w:val="15"/>
                <w:szCs w:val="15"/>
                <w:color w:val="auto"/>
              </w:rPr>
              <w:t>Total consolidated</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income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230,131</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Arial" w:cs="Arial" w:eastAsia="Arial" w:hAnsi="Arial"/>
                <w:sz w:val="15"/>
                <w:szCs w:val="15"/>
                <w:color w:val="auto"/>
              </w:rPr>
              <w:t>Interest expense, net</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(106,683)</w:t>
            </w: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Amortization of debt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costs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(4,018)</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5"/>
                <w:szCs w:val="15"/>
                <w:color w:val="auto"/>
              </w:rPr>
              <w:t>Loss on sale of Crosman</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(24,218)</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(3,902)</w:t>
            </w:r>
          </w:p>
        </w:tc>
        <w:tc>
          <w:tcPr>
            <w:tcW w:w="0" w:type="dxa"/>
            <w:vAlign w:val="bottom"/>
          </w:tcPr>
          <w:p>
            <w:pPr>
              <w:spacing w:after="0"/>
              <w:rPr>
                <w:sz w:val="1"/>
                <w:szCs w:val="1"/>
                <w:color w:val="auto"/>
              </w:rPr>
            </w:pPr>
          </w:p>
        </w:tc>
      </w:tr>
      <w:tr>
        <w:trPr>
          <w:trHeight w:val="138"/>
        </w:trPr>
        <w:tc>
          <w:tcPr>
            <w:tcW w:w="2040" w:type="dxa"/>
            <w:vAlign w:val="bottom"/>
          </w:tcPr>
          <w:p>
            <w:pPr>
              <w:ind w:left="360"/>
              <w:spacing w:after="0" w:line="138" w:lineRule="exact"/>
              <w:rPr>
                <w:sz w:val="20"/>
                <w:szCs w:val="20"/>
                <w:color w:val="auto"/>
              </w:rPr>
            </w:pPr>
            <w:r>
              <w:rPr>
                <w:rFonts w:ascii="Arial" w:cs="Arial" w:eastAsia="Arial" w:hAnsi="Arial"/>
                <w:sz w:val="15"/>
                <w:szCs w:val="15"/>
                <w:color w:val="auto"/>
              </w:rPr>
              <w:t>Total consolidated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40" w:type="dxa"/>
            <w:vAlign w:val="bottom"/>
          </w:tcPr>
          <w:p>
            <w:pPr>
              <w:ind w:left="360"/>
              <w:spacing w:after="0" w:line="153" w:lineRule="exact"/>
              <w:rPr>
                <w:sz w:val="20"/>
                <w:szCs w:val="20"/>
                <w:color w:val="auto"/>
              </w:rPr>
            </w:pPr>
            <w:r>
              <w:rPr>
                <w:rFonts w:ascii="Arial" w:cs="Arial" w:eastAsia="Arial" w:hAnsi="Arial"/>
                <w:sz w:val="15"/>
                <w:szCs w:val="15"/>
                <w:color w:val="auto"/>
              </w:rPr>
              <w:t>income from continuing</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360"/>
              <w:spacing w:after="0" w:line="149" w:lineRule="exact"/>
              <w:rPr>
                <w:sz w:val="20"/>
                <w:szCs w:val="20"/>
                <w:color w:val="auto"/>
              </w:rPr>
            </w:pPr>
            <w:r>
              <w:rPr>
                <w:rFonts w:ascii="Arial" w:cs="Arial" w:eastAsia="Arial" w:hAnsi="Arial"/>
                <w:sz w:val="15"/>
                <w:szCs w:val="15"/>
                <w:color w:val="auto"/>
              </w:rPr>
              <w:t>operations before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color w:val="auto"/>
              </w:rPr>
              <w:t>91,310</w:t>
            </w:r>
          </w:p>
        </w:tc>
        <w:tc>
          <w:tcPr>
            <w:tcW w:w="0" w:type="dxa"/>
            <w:vAlign w:val="bottom"/>
          </w:tcPr>
          <w:p>
            <w:pPr>
              <w:spacing w:after="0"/>
              <w:rPr>
                <w:sz w:val="1"/>
                <w:szCs w:val="1"/>
                <w:color w:val="auto"/>
              </w:rPr>
            </w:pPr>
          </w:p>
        </w:tc>
      </w:tr>
      <w:tr>
        <w:trPr>
          <w:trHeight w:val="181"/>
        </w:trPr>
        <w:tc>
          <w:tcPr>
            <w:tcW w:w="2040" w:type="dxa"/>
            <w:vAlign w:val="bottom"/>
          </w:tcPr>
          <w:p>
            <w:pPr>
              <w:ind w:left="360"/>
              <w:spacing w:after="0"/>
              <w:rPr>
                <w:sz w:val="20"/>
                <w:szCs w:val="20"/>
                <w:color w:val="auto"/>
              </w:rPr>
            </w:pPr>
            <w:r>
              <w:rPr>
                <w:rFonts w:ascii="Arial" w:cs="Arial" w:eastAsia="Arial" w:hAnsi="Arial"/>
                <w:sz w:val="15"/>
                <w:szCs w:val="15"/>
                <w:color w:val="auto"/>
              </w:rPr>
              <w:t>income taxes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firstLine="8"/>
        <w:spacing w:after="0" w:line="242" w:lineRule="auto"/>
        <w:tabs>
          <w:tab w:leader="none" w:pos="196" w:val="left"/>
        </w:tabs>
        <w:numPr>
          <w:ilvl w:val="0"/>
          <w:numId w:val="84"/>
        </w:numPr>
        <w:rPr>
          <w:rFonts w:ascii="Arial" w:cs="Arial" w:eastAsia="Arial" w:hAnsi="Arial"/>
          <w:sz w:val="22"/>
          <w:szCs w:val="22"/>
          <w:b w:val="1"/>
          <w:bCs w:val="1"/>
          <w:color w:val="auto"/>
          <w:vertAlign w:val="superscript"/>
        </w:rPr>
      </w:pPr>
      <w:r>
        <w:rPr>
          <w:rFonts w:ascii="Arial" w:cs="Arial" w:eastAsia="Arial" w:hAnsi="Arial"/>
          <w:sz w:val="15"/>
          <w:szCs w:val="15"/>
          <w:color w:val="auto"/>
        </w:rPr>
        <w:t>Other consists of segment allocated management fees, amortization expense of intangible assets, stock-based compensation, acquisition costs at THP and Altor, and goodwill impairment expense of $8.2 million for Velocity.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Year ended December 31, 2023</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24"/>
              <w:spacing w:after="0"/>
              <w:rPr>
                <w:sz w:val="20"/>
                <w:szCs w:val="20"/>
                <w:color w:val="auto"/>
              </w:rPr>
            </w:pPr>
            <w:r>
              <w:rPr>
                <w:rFonts w:ascii="Arial" w:cs="Arial" w:eastAsia="Arial" w:hAnsi="Arial"/>
                <w:sz w:val="15"/>
                <w:szCs w:val="15"/>
                <w:b w:val="1"/>
                <w:bCs w:val="1"/>
                <w:color w:val="auto"/>
              </w:rPr>
              <w:t>5.11</w:t>
            </w:r>
          </w:p>
        </w:tc>
        <w:tc>
          <w:tcPr>
            <w:tcW w:w="92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BOA</w:t>
            </w:r>
          </w:p>
        </w:tc>
        <w:tc>
          <w:tcPr>
            <w:tcW w:w="94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5"/>
                <w:szCs w:val="15"/>
                <w:b w:val="1"/>
                <w:bCs w:val="1"/>
                <w:color w:val="auto"/>
              </w:rPr>
              <w:t>Lugano</w:t>
            </w:r>
          </w:p>
        </w:tc>
        <w:tc>
          <w:tcPr>
            <w:tcW w:w="100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5"/>
                <w:szCs w:val="15"/>
                <w:b w:val="1"/>
                <w:bCs w:val="1"/>
                <w:color w:val="auto"/>
              </w:rPr>
              <w:t>PrimaLoft</w:t>
            </w:r>
          </w:p>
        </w:tc>
        <w:tc>
          <w:tcPr>
            <w:tcW w:w="9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5"/>
                <w:szCs w:val="15"/>
                <w:b w:val="1"/>
                <w:bCs w:val="1"/>
                <w:color w:val="auto"/>
              </w:rPr>
              <w:t>Velocity</w:t>
            </w:r>
          </w:p>
        </w:tc>
        <w:tc>
          <w:tcPr>
            <w:tcW w:w="94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5"/>
                <w:szCs w:val="15"/>
                <w:b w:val="1"/>
                <w:bCs w:val="1"/>
                <w:color w:val="auto"/>
              </w:rPr>
              <w:t>Altor</w:t>
            </w:r>
          </w:p>
        </w:tc>
        <w:tc>
          <w:tcPr>
            <w:tcW w:w="96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5"/>
                <w:szCs w:val="15"/>
                <w:b w:val="1"/>
                <w:bCs w:val="1"/>
                <w:color w:val="auto"/>
              </w:rPr>
              <w:t>Arnold</w:t>
            </w:r>
          </w:p>
        </w:tc>
        <w:tc>
          <w:tcPr>
            <w:tcW w:w="94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5"/>
                <w:szCs w:val="15"/>
                <w:b w:val="1"/>
                <w:bCs w:val="1"/>
                <w:color w:val="auto"/>
              </w:rPr>
              <w:t>Sterno</w:t>
            </w:r>
          </w:p>
        </w:tc>
        <w:tc>
          <w:tcPr>
            <w:tcW w:w="86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5"/>
                <w:szCs w:val="15"/>
                <w:b w:val="1"/>
                <w:bCs w:val="1"/>
                <w:color w:val="auto"/>
              </w:rPr>
              <w:t>Outdoor</w:t>
            </w:r>
          </w:p>
        </w:tc>
        <w:tc>
          <w:tcPr>
            <w:tcW w:w="9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533,089</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155,825</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308,321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67,053</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172,190</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238,030</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166,679</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323,830</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$1,965,017</w:t>
            </w:r>
          </w:p>
        </w:tc>
        <w:tc>
          <w:tcPr>
            <w:tcW w:w="0" w:type="dxa"/>
            <w:vAlign w:val="bottom"/>
          </w:tcPr>
          <w:p>
            <w:pPr>
              <w:spacing w:after="0"/>
              <w:rPr>
                <w:sz w:val="1"/>
                <w:szCs w:val="1"/>
                <w:color w:val="auto"/>
              </w:rPr>
            </w:pPr>
          </w:p>
        </w:tc>
      </w:tr>
      <w:tr>
        <w:trPr>
          <w:trHeight w:val="200"/>
        </w:trPr>
        <w:tc>
          <w:tcPr>
            <w:tcW w:w="286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255,788</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62,787</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134,775</w:t>
            </w:r>
          </w:p>
        </w:tc>
        <w:tc>
          <w:tcPr>
            <w:tcW w:w="920" w:type="dxa"/>
            <w:vAlign w:val="bottom"/>
          </w:tcPr>
          <w:p>
            <w:pPr>
              <w:jc w:val="right"/>
              <w:spacing w:after="0"/>
              <w:rPr>
                <w:sz w:val="20"/>
                <w:szCs w:val="20"/>
                <w:color w:val="auto"/>
              </w:rPr>
            </w:pPr>
            <w:r>
              <w:rPr>
                <w:rFonts w:ascii="Arial" w:cs="Arial" w:eastAsia="Arial" w:hAnsi="Arial"/>
                <w:sz w:val="15"/>
                <w:szCs w:val="15"/>
                <w:color w:val="auto"/>
              </w:rPr>
              <w:t>25,038</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127,029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164,414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116,867</w:t>
            </w:r>
          </w:p>
        </w:tc>
        <w:tc>
          <w:tcPr>
            <w:tcW w:w="10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245,316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1,132,014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37" w:right="339" w:bottom="1440" w:gutter="0" w:footer="0" w:header="0"/>
        </w:sectPr>
      </w:pPr>
    </w:p>
    <w:p>
      <w:pPr>
        <w:ind w:left="20" w:right="460"/>
        <w:spacing w:after="0" w:line="242" w:lineRule="auto"/>
        <w:rPr>
          <w:sz w:val="20"/>
          <w:szCs w:val="20"/>
          <w:color w:val="auto"/>
        </w:rPr>
      </w:pPr>
      <w:r>
        <w:rPr>
          <w:rFonts w:ascii="Arial" w:cs="Arial" w:eastAsia="Arial" w:hAnsi="Arial"/>
          <w:sz w:val="15"/>
          <w:szCs w:val="15"/>
          <w:color w:val="auto"/>
        </w:rPr>
        <w:t>Selling, general and administrative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color w:val="auto"/>
          <w:vertAlign w:val="superscript"/>
        </w:rPr>
        <w:t>(1)</w:t>
      </w:r>
    </w:p>
    <w:p>
      <w:pPr>
        <w:ind w:left="360" w:right="300"/>
        <w:spacing w:after="0" w:line="233" w:lineRule="auto"/>
        <w:rPr>
          <w:sz w:val="20"/>
          <w:szCs w:val="20"/>
          <w:color w:val="auto"/>
        </w:rPr>
      </w:pPr>
      <w:r>
        <w:rPr>
          <w:rFonts w:ascii="Arial" w:cs="Arial" w:eastAsia="Arial" w:hAnsi="Arial"/>
          <w:sz w:val="15"/>
          <w:szCs w:val="15"/>
          <w:color w:val="auto"/>
        </w:rPr>
        <w:t>Total segment operating income (loss)</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Corporate</w:t>
      </w:r>
    </w:p>
    <w:p>
      <w:pPr>
        <w:spacing w:after="0" w:line="44" w:lineRule="exact"/>
        <w:rPr>
          <w:sz w:val="20"/>
          <w:szCs w:val="20"/>
          <w:color w:val="auto"/>
        </w:rPr>
      </w:pPr>
    </w:p>
    <w:p>
      <w:pPr>
        <w:ind w:left="20" w:right="40" w:firstLine="324"/>
        <w:spacing w:after="0" w:line="291" w:lineRule="auto"/>
        <w:rPr>
          <w:sz w:val="20"/>
          <w:szCs w:val="20"/>
          <w:color w:val="auto"/>
        </w:rPr>
      </w:pPr>
      <w:r>
        <w:rPr>
          <w:rFonts w:ascii="Arial" w:cs="Arial" w:eastAsia="Arial" w:hAnsi="Arial"/>
          <w:sz w:val="15"/>
          <w:szCs w:val="15"/>
          <w:color w:val="auto"/>
        </w:rPr>
        <w:t>Total consolidated operating income Interest expense, net</w:t>
      </w:r>
    </w:p>
    <w:p>
      <w:pPr>
        <w:ind w:left="20" w:right="380"/>
        <w:spacing w:after="0" w:line="281" w:lineRule="auto"/>
        <w:rPr>
          <w:sz w:val="20"/>
          <w:szCs w:val="20"/>
          <w:color w:val="auto"/>
        </w:rPr>
      </w:pPr>
      <w:r>
        <w:rPr>
          <w:rFonts w:ascii="Arial" w:cs="Arial" w:eastAsia="Arial" w:hAnsi="Arial"/>
          <w:sz w:val="15"/>
          <w:szCs w:val="15"/>
          <w:color w:val="auto"/>
        </w:rPr>
        <w:t>Amortization of debt issuance costs Other income (expense), net</w:t>
      </w:r>
    </w:p>
    <w:p>
      <w:pPr>
        <w:spacing w:after="0" w:line="1" w:lineRule="exact"/>
        <w:rPr>
          <w:sz w:val="20"/>
          <w:szCs w:val="20"/>
          <w:color w:val="auto"/>
        </w:rPr>
      </w:pPr>
    </w:p>
    <w:p>
      <w:pPr>
        <w:ind w:left="360"/>
        <w:spacing w:after="0" w:line="225" w:lineRule="auto"/>
        <w:rPr>
          <w:sz w:val="20"/>
          <w:szCs w:val="20"/>
          <w:color w:val="auto"/>
        </w:rPr>
      </w:pPr>
      <w:r>
        <w:rPr>
          <w:rFonts w:ascii="Arial" w:cs="Arial" w:eastAsia="Arial" w:hAnsi="Arial"/>
          <w:sz w:val="15"/>
          <w:szCs w:val="15"/>
          <w:color w:val="auto"/>
        </w:rPr>
        <w:t>Total consolidated loss from continuing operations before income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taxes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60" w:type="dxa"/>
            <w:vAlign w:val="bottom"/>
          </w:tcPr>
          <w:p>
            <w:pPr>
              <w:jc w:val="right"/>
              <w:spacing w:after="0"/>
              <w:rPr>
                <w:sz w:val="20"/>
                <w:szCs w:val="20"/>
                <w:color w:val="auto"/>
              </w:rPr>
            </w:pPr>
            <w:r>
              <w:rPr>
                <w:rFonts w:ascii="Arial" w:cs="Arial" w:eastAsia="Arial" w:hAnsi="Arial"/>
                <w:sz w:val="15"/>
                <w:szCs w:val="15"/>
                <w:color w:val="auto"/>
              </w:rPr>
              <w:t>219,679</w:t>
            </w:r>
          </w:p>
        </w:tc>
        <w:tc>
          <w:tcPr>
            <w:tcW w:w="8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46,004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66,057</w:t>
            </w:r>
          </w:p>
        </w:tc>
        <w:tc>
          <w:tcPr>
            <w:tcW w:w="80" w:type="dxa"/>
            <w:vAlign w:val="bottom"/>
          </w:tcPr>
          <w:p>
            <w:pPr>
              <w:spacing w:after="0"/>
              <w:rPr>
                <w:sz w:val="17"/>
                <w:szCs w:val="17"/>
                <w:color w:val="auto"/>
              </w:rPr>
            </w:pPr>
          </w:p>
        </w:tc>
        <w:tc>
          <w:tcPr>
            <w:tcW w:w="860" w:type="dxa"/>
            <w:vAlign w:val="bottom"/>
          </w:tcPr>
          <w:p>
            <w:pPr>
              <w:jc w:val="center"/>
              <w:ind w:left="204"/>
              <w:spacing w:after="0"/>
              <w:rPr>
                <w:sz w:val="20"/>
                <w:szCs w:val="20"/>
                <w:color w:val="auto"/>
              </w:rPr>
            </w:pPr>
            <w:r>
              <w:rPr>
                <w:rFonts w:ascii="Arial" w:cs="Arial" w:eastAsia="Arial" w:hAnsi="Arial"/>
                <w:sz w:val="15"/>
                <w:szCs w:val="15"/>
                <w:color w:val="auto"/>
              </w:rPr>
              <w:t>18,469</w:t>
            </w:r>
          </w:p>
        </w:tc>
        <w:tc>
          <w:tcPr>
            <w:tcW w:w="80" w:type="dxa"/>
            <w:vAlign w:val="bottom"/>
          </w:tcPr>
          <w:p>
            <w:pPr>
              <w:spacing w:after="0"/>
              <w:rPr>
                <w:sz w:val="17"/>
                <w:szCs w:val="17"/>
                <w:color w:val="auto"/>
              </w:rPr>
            </w:pPr>
          </w:p>
        </w:tc>
        <w:tc>
          <w:tcPr>
            <w:tcW w:w="860" w:type="dxa"/>
            <w:vAlign w:val="bottom"/>
          </w:tcPr>
          <w:p>
            <w:pPr>
              <w:jc w:val="center"/>
              <w:ind w:left="184"/>
              <w:spacing w:after="0"/>
              <w:rPr>
                <w:sz w:val="20"/>
                <w:szCs w:val="20"/>
                <w:color w:val="auto"/>
              </w:rPr>
            </w:pPr>
            <w:r>
              <w:rPr>
                <w:rFonts w:ascii="Arial" w:cs="Arial" w:eastAsia="Arial" w:hAnsi="Arial"/>
                <w:sz w:val="15"/>
                <w:szCs w:val="15"/>
                <w:color w:val="auto"/>
              </w:rPr>
              <w:t>35,401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27,680</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25,198</w:t>
            </w:r>
          </w:p>
        </w:tc>
        <w:tc>
          <w:tcPr>
            <w:tcW w:w="10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35,852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474,340</w:t>
            </w:r>
          </w:p>
        </w:tc>
      </w:tr>
      <w:tr>
        <w:trPr>
          <w:trHeight w:val="206"/>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10,923</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19,743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7,183</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center"/>
              <w:ind w:left="204"/>
              <w:spacing w:after="0"/>
              <w:rPr>
                <w:sz w:val="20"/>
                <w:szCs w:val="20"/>
                <w:color w:val="auto"/>
              </w:rPr>
            </w:pPr>
            <w:r>
              <w:rPr>
                <w:rFonts w:ascii="Arial" w:cs="Arial" w:eastAsia="Arial" w:hAnsi="Arial"/>
                <w:sz w:val="15"/>
                <w:szCs w:val="15"/>
                <w:color w:val="auto"/>
              </w:rPr>
              <w:t>80,603</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center"/>
              <w:ind w:left="184"/>
              <w:spacing w:after="0"/>
              <w:rPr>
                <w:sz w:val="20"/>
                <w:szCs w:val="20"/>
                <w:color w:val="auto"/>
              </w:rPr>
            </w:pPr>
            <w:r>
              <w:rPr>
                <w:rFonts w:ascii="Arial" w:cs="Arial" w:eastAsia="Arial" w:hAnsi="Arial"/>
                <w:sz w:val="15"/>
                <w:szCs w:val="15"/>
                <w:color w:val="auto"/>
              </w:rPr>
              <w:t>42,588</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11,370</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3,027</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17,810</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193,247</w:t>
            </w:r>
          </w:p>
        </w:tc>
      </w:tr>
      <w:tr>
        <w:trPr>
          <w:trHeight w:val="342"/>
        </w:trPr>
        <w:tc>
          <w:tcPr>
            <w:tcW w:w="860" w:type="dxa"/>
            <w:vAlign w:val="bottom"/>
          </w:tcPr>
          <w:p>
            <w:pPr>
              <w:jc w:val="right"/>
              <w:spacing w:after="0"/>
              <w:rPr>
                <w:sz w:val="20"/>
                <w:szCs w:val="20"/>
                <w:color w:val="auto"/>
              </w:rPr>
            </w:pPr>
            <w:r>
              <w:rPr>
                <w:rFonts w:ascii="Arial" w:cs="Arial" w:eastAsia="Arial" w:hAnsi="Arial"/>
                <w:sz w:val="15"/>
                <w:szCs w:val="15"/>
                <w:color w:val="auto"/>
              </w:rPr>
              <w:t>46,699</w:t>
            </w:r>
          </w:p>
        </w:tc>
        <w:tc>
          <w:tcPr>
            <w:tcW w:w="8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27,291</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100,306</w:t>
            </w:r>
          </w:p>
        </w:tc>
        <w:tc>
          <w:tcPr>
            <w:tcW w:w="80" w:type="dxa"/>
            <w:vAlign w:val="bottom"/>
          </w:tcPr>
          <w:p>
            <w:pPr>
              <w:spacing w:after="0"/>
              <w:rPr>
                <w:sz w:val="24"/>
                <w:szCs w:val="24"/>
                <w:color w:val="auto"/>
              </w:rPr>
            </w:pPr>
          </w:p>
        </w:tc>
        <w:tc>
          <w:tcPr>
            <w:tcW w:w="860" w:type="dxa"/>
            <w:vAlign w:val="bottom"/>
          </w:tcPr>
          <w:p>
            <w:pPr>
              <w:jc w:val="center"/>
              <w:ind w:left="184"/>
              <w:spacing w:after="0"/>
              <w:rPr>
                <w:sz w:val="20"/>
                <w:szCs w:val="20"/>
                <w:color w:val="auto"/>
              </w:rPr>
            </w:pPr>
            <w:r>
              <w:rPr>
                <w:rFonts w:ascii="Arial" w:cs="Arial" w:eastAsia="Arial" w:hAnsi="Arial"/>
                <w:sz w:val="15"/>
                <w:szCs w:val="15"/>
                <w:color w:val="auto"/>
              </w:rPr>
              <w:t>(57,057)</w:t>
            </w:r>
          </w:p>
        </w:tc>
        <w:tc>
          <w:tcPr>
            <w:tcW w:w="80" w:type="dxa"/>
            <w:vAlign w:val="bottom"/>
          </w:tcPr>
          <w:p>
            <w:pPr>
              <w:spacing w:after="0"/>
              <w:rPr>
                <w:sz w:val="24"/>
                <w:szCs w:val="24"/>
                <w:color w:val="auto"/>
              </w:rPr>
            </w:pPr>
          </w:p>
        </w:tc>
        <w:tc>
          <w:tcPr>
            <w:tcW w:w="860" w:type="dxa"/>
            <w:vAlign w:val="bottom"/>
          </w:tcPr>
          <w:p>
            <w:pPr>
              <w:jc w:val="center"/>
              <w:ind w:left="164"/>
              <w:spacing w:after="0"/>
              <w:rPr>
                <w:sz w:val="20"/>
                <w:szCs w:val="20"/>
                <w:color w:val="auto"/>
              </w:rPr>
            </w:pPr>
            <w:r>
              <w:rPr>
                <w:rFonts w:ascii="Arial" w:cs="Arial" w:eastAsia="Arial" w:hAnsi="Arial"/>
                <w:sz w:val="15"/>
                <w:szCs w:val="15"/>
                <w:color w:val="auto"/>
              </w:rPr>
              <w:t>(32,828)</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34,566</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21,587</w:t>
            </w:r>
          </w:p>
        </w:tc>
        <w:tc>
          <w:tcPr>
            <w:tcW w:w="10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24,852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165,416</w:t>
            </w:r>
          </w:p>
        </w:tc>
      </w:tr>
      <w:tr>
        <w:trPr>
          <w:trHeight w:val="205"/>
        </w:trPr>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(80,167)</w:t>
            </w:r>
          </w:p>
        </w:tc>
      </w:tr>
      <w:tr>
        <w:trPr>
          <w:trHeight w:val="198"/>
        </w:trPr>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85,249</w:t>
            </w:r>
          </w:p>
        </w:tc>
      </w:tr>
      <w:tr>
        <w:trPr>
          <w:trHeight w:val="193"/>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(105,179)</w:t>
            </w:r>
          </w:p>
        </w:tc>
      </w:tr>
      <w:tr>
        <w:trPr>
          <w:trHeight w:val="200"/>
        </w:trPr>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(4,038)</w:t>
            </w:r>
          </w:p>
        </w:tc>
      </w:tr>
      <w:tr>
        <w:trPr>
          <w:trHeight w:val="205"/>
        </w:trPr>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1,779</w:t>
            </w:r>
          </w:p>
        </w:tc>
      </w:tr>
      <w:tr>
        <w:trPr>
          <w:trHeight w:val="466"/>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(22,189)</w:t>
            </w:r>
          </w:p>
        </w:tc>
      </w:tr>
      <w:tr>
        <w:trPr>
          <w:trHeight w:val="23"/>
        </w:trPr>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-1593850</wp:posOffset>
            </wp:positionV>
            <wp:extent cx="7132320" cy="2311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5">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-1233805</wp:posOffset>
            </wp:positionV>
            <wp:extent cx="7132320" cy="2311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6">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-873760</wp:posOffset>
            </wp:positionV>
            <wp:extent cx="71323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-599440</wp:posOffset>
            </wp:positionV>
            <wp:extent cx="713232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-342265</wp:posOffset>
            </wp:positionV>
            <wp:extent cx="7132320" cy="3257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40"/>
            <w:col w:w="8380"/>
          </w:cols>
          <w:pgMar w:left="320" w:top="337" w:right="339" w:bottom="1440" w:gutter="0" w:footer="0" w:header="0"/>
          <w:type w:val="continuous"/>
        </w:sectPr>
      </w:pPr>
    </w:p>
    <w:p>
      <w:pPr>
        <w:spacing w:after="0" w:line="115" w:lineRule="exact"/>
        <w:rPr>
          <w:sz w:val="20"/>
          <w:szCs w:val="20"/>
          <w:color w:val="auto"/>
        </w:rPr>
      </w:pPr>
    </w:p>
    <w:p>
      <w:pPr>
        <w:ind w:left="340" w:right="400" w:hanging="332"/>
        <w:spacing w:after="0" w:line="200" w:lineRule="auto"/>
        <w:tabs>
          <w:tab w:leader="none" w:pos="316" w:val="left"/>
        </w:tabs>
        <w:numPr>
          <w:ilvl w:val="0"/>
          <w:numId w:val="85"/>
        </w:numPr>
        <w:rPr>
          <w:rFonts w:ascii="Arial" w:cs="Arial" w:eastAsia="Arial" w:hAnsi="Arial"/>
          <w:sz w:val="26"/>
          <w:szCs w:val="26"/>
          <w:b w:val="1"/>
          <w:bCs w:val="1"/>
          <w:color w:val="auto"/>
          <w:vertAlign w:val="superscript"/>
        </w:rPr>
      </w:pPr>
      <w:r>
        <w:rPr>
          <w:rFonts w:ascii="Arial" w:cs="Arial" w:eastAsia="Arial" w:hAnsi="Arial"/>
          <w:sz w:val="17"/>
          <w:szCs w:val="17"/>
          <w:color w:val="auto"/>
        </w:rPr>
        <w:t>Other consists of segment allocated management fees, amortization expense of intangible assets, stock-based compensation, and goodwill impairment expense of $57.8 million at PrimaLoft and $31.6 million at Velocity.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67894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0">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Year ended December 31,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5.11</w:t>
            </w:r>
          </w:p>
        </w:tc>
        <w:tc>
          <w:tcPr>
            <w:tcW w:w="90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BOA</w:t>
            </w:r>
          </w:p>
        </w:tc>
        <w:tc>
          <w:tcPr>
            <w:tcW w:w="88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5"/>
                <w:szCs w:val="15"/>
                <w:b w:val="1"/>
                <w:bCs w:val="1"/>
                <w:color w:val="auto"/>
              </w:rPr>
              <w:t>Lugano</w:t>
            </w:r>
          </w:p>
        </w:tc>
        <w:tc>
          <w:tcPr>
            <w:tcW w:w="9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5"/>
                <w:szCs w:val="15"/>
                <w:b w:val="1"/>
                <w:bCs w:val="1"/>
                <w:color w:val="auto"/>
              </w:rPr>
              <w:t>PrimaLoft</w:t>
            </w:r>
          </w:p>
        </w:tc>
        <w:tc>
          <w:tcPr>
            <w:tcW w:w="8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5"/>
                <w:szCs w:val="15"/>
                <w:b w:val="1"/>
                <w:bCs w:val="1"/>
                <w:color w:val="auto"/>
              </w:rPr>
              <w:t>Velocity</w:t>
            </w:r>
          </w:p>
        </w:tc>
        <w:tc>
          <w:tcPr>
            <w:tcW w:w="90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5"/>
                <w:szCs w:val="15"/>
                <w:b w:val="1"/>
                <w:bCs w:val="1"/>
                <w:color w:val="auto"/>
              </w:rPr>
              <w:t>Altor</w:t>
            </w:r>
          </w:p>
        </w:tc>
        <w:tc>
          <w:tcPr>
            <w:tcW w:w="90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b w:val="1"/>
                <w:bCs w:val="1"/>
                <w:color w:val="auto"/>
              </w:rPr>
              <w:t>Arnold</w:t>
            </w:r>
          </w:p>
        </w:tc>
        <w:tc>
          <w:tcPr>
            <w:tcW w:w="90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b w:val="1"/>
                <w:bCs w:val="1"/>
                <w:color w:val="auto"/>
              </w:rPr>
              <w:t>Sterno</w:t>
            </w:r>
          </w:p>
        </w:tc>
        <w:tc>
          <w:tcPr>
            <w:tcW w:w="860" w:type="dxa"/>
            <w:vAlign w:val="bottom"/>
            <w:tcBorders>
              <w:top w:val="single" w:sz="8" w:color="auto"/>
            </w:tcBorders>
            <w:vMerge w:val="restart"/>
          </w:tcPr>
          <w:p>
            <w:pPr>
              <w:jc w:val="right"/>
              <w:ind w:right="18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5"/>
                <w:szCs w:val="15"/>
                <w:b w:val="1"/>
                <w:bCs w:val="1"/>
                <w:color w:val="auto"/>
              </w:rPr>
              <w:t>Outdoor</w:t>
            </w:r>
          </w:p>
        </w:tc>
        <w:tc>
          <w:tcPr>
            <w:tcW w:w="9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$ 486,213</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$ 208,688</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$ 201,507</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24,744</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$ 232,238</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$ 261,338</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$ 153,815</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$ 352,152</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$1,920,695</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229,206</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81,921</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102,910</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11,019</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169,552</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203,309</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109,431</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284,725</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1,192,073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37" w:right="339" w:bottom="1440" w:gutter="0" w:footer="0" w:header="0"/>
          <w:type w:val="continuous"/>
        </w:sectPr>
      </w:pPr>
    </w:p>
    <w:p>
      <w:pPr>
        <w:ind w:left="20" w:right="160"/>
        <w:spacing w:after="0" w:line="242" w:lineRule="auto"/>
        <w:rPr>
          <w:sz w:val="20"/>
          <w:szCs w:val="20"/>
          <w:color w:val="auto"/>
        </w:rPr>
      </w:pPr>
      <w:r>
        <w:rPr>
          <w:rFonts w:ascii="Arial" w:cs="Arial" w:eastAsia="Arial" w:hAnsi="Arial"/>
          <w:sz w:val="15"/>
          <w:szCs w:val="15"/>
          <w:color w:val="auto"/>
        </w:rPr>
        <w:t>Selling, general and administrative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9"/>
          <w:szCs w:val="19"/>
          <w:color w:val="auto"/>
          <w:vertAlign w:val="superscript"/>
        </w:rPr>
        <w:t>(1)</w:t>
      </w:r>
    </w:p>
    <w:p>
      <w:pPr>
        <w:ind w:left="360"/>
        <w:spacing w:after="0" w:line="233" w:lineRule="auto"/>
        <w:rPr>
          <w:sz w:val="20"/>
          <w:szCs w:val="20"/>
          <w:color w:val="auto"/>
        </w:rPr>
      </w:pPr>
      <w:r>
        <w:rPr>
          <w:rFonts w:ascii="Arial" w:cs="Arial" w:eastAsia="Arial" w:hAnsi="Arial"/>
          <w:sz w:val="15"/>
          <w:szCs w:val="15"/>
          <w:color w:val="auto"/>
        </w:rPr>
        <w:t>Total segment operating income (loss)</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Corporate</w:t>
      </w:r>
    </w:p>
    <w:p>
      <w:pPr>
        <w:spacing w:after="0" w:line="30" w:lineRule="exact"/>
        <w:rPr>
          <w:sz w:val="20"/>
          <w:szCs w:val="20"/>
          <w:color w:val="auto"/>
        </w:rPr>
      </w:pPr>
    </w:p>
    <w:p>
      <w:pPr>
        <w:ind w:left="360" w:right="260"/>
        <w:spacing w:after="0" w:line="245" w:lineRule="auto"/>
        <w:rPr>
          <w:sz w:val="20"/>
          <w:szCs w:val="20"/>
          <w:color w:val="auto"/>
        </w:rPr>
      </w:pPr>
      <w:r>
        <w:rPr>
          <w:rFonts w:ascii="Arial" w:cs="Arial" w:eastAsia="Arial" w:hAnsi="Arial"/>
          <w:sz w:val="15"/>
          <w:szCs w:val="15"/>
          <w:color w:val="auto"/>
        </w:rPr>
        <w:t>Total consolidated operating income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expense, net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Amortization of debt issuance costs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Loss on debt extinguishment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income (expense), net</w:t>
      </w:r>
    </w:p>
    <w:p>
      <w:pPr>
        <w:spacing w:after="0" w:line="30" w:lineRule="exact"/>
        <w:rPr>
          <w:sz w:val="20"/>
          <w:szCs w:val="20"/>
          <w:color w:val="auto"/>
        </w:rPr>
      </w:pPr>
    </w:p>
    <w:p>
      <w:pPr>
        <w:ind w:left="360" w:right="60"/>
        <w:spacing w:after="0" w:line="225" w:lineRule="auto"/>
        <w:rPr>
          <w:sz w:val="20"/>
          <w:szCs w:val="20"/>
          <w:color w:val="auto"/>
        </w:rPr>
      </w:pPr>
      <w:r>
        <w:rPr>
          <w:rFonts w:ascii="Arial" w:cs="Arial" w:eastAsia="Arial" w:hAnsi="Arial"/>
          <w:sz w:val="15"/>
          <w:szCs w:val="15"/>
          <w:color w:val="auto"/>
        </w:rPr>
        <w:t>Total consolidated income from continuing operations before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income taxes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20" w:type="dxa"/>
            <w:vAlign w:val="bottom"/>
          </w:tcPr>
          <w:p>
            <w:pPr>
              <w:jc w:val="right"/>
              <w:ind w:right="4"/>
              <w:spacing w:after="0"/>
              <w:rPr>
                <w:sz w:val="20"/>
                <w:szCs w:val="20"/>
                <w:color w:val="auto"/>
              </w:rPr>
            </w:pPr>
            <w:r>
              <w:rPr>
                <w:rFonts w:ascii="Arial" w:cs="Arial" w:eastAsia="Arial" w:hAnsi="Arial"/>
                <w:sz w:val="15"/>
                <w:szCs w:val="15"/>
                <w:color w:val="auto"/>
              </w:rPr>
              <w:t>202,198</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49,757</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38,781</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9,695</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32,674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21,494</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24,320</w:t>
            </w:r>
          </w:p>
        </w:tc>
        <w:tc>
          <w:tcPr>
            <w:tcW w:w="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29,750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408,669</w:t>
            </w:r>
          </w:p>
        </w:tc>
      </w:tr>
      <w:tr>
        <w:trPr>
          <w:trHeight w:val="205"/>
        </w:trPr>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11,278</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19,200</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6,801</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17,862</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11,051</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11,944</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3,364</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17,876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99,376</w:t>
            </w:r>
          </w:p>
        </w:tc>
      </w:tr>
      <w:tr>
        <w:trPr>
          <w:trHeight w:val="342"/>
        </w:trPr>
        <w:tc>
          <w:tcPr>
            <w:tcW w:w="820" w:type="dxa"/>
            <w:vAlign w:val="bottom"/>
          </w:tcPr>
          <w:p>
            <w:pPr>
              <w:jc w:val="right"/>
              <w:ind w:right="4"/>
              <w:spacing w:after="0"/>
              <w:rPr>
                <w:sz w:val="20"/>
                <w:szCs w:val="20"/>
                <w:color w:val="auto"/>
              </w:rPr>
            </w:pPr>
            <w:r>
              <w:rPr>
                <w:rFonts w:ascii="Arial" w:cs="Arial" w:eastAsia="Arial" w:hAnsi="Arial"/>
                <w:sz w:val="15"/>
                <w:szCs w:val="15"/>
                <w:color w:val="auto"/>
              </w:rPr>
              <w:t>43,531</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57,810</w:t>
            </w:r>
          </w:p>
        </w:tc>
        <w:tc>
          <w:tcPr>
            <w:tcW w:w="8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53,015</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(13,832)</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18,961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24,591</w:t>
            </w:r>
          </w:p>
        </w:tc>
        <w:tc>
          <w:tcPr>
            <w:tcW w:w="8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16,700</w:t>
            </w:r>
          </w:p>
        </w:tc>
        <w:tc>
          <w:tcPr>
            <w:tcW w:w="8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19,801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220,577</w:t>
            </w:r>
          </w:p>
        </w:tc>
      </w:tr>
      <w:tr>
        <w:trPr>
          <w:trHeight w:val="205"/>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(72,925)</w:t>
            </w:r>
          </w:p>
        </w:tc>
      </w:tr>
      <w:tr>
        <w:trPr>
          <w:trHeight w:val="344"/>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147,652</w:t>
            </w:r>
          </w:p>
        </w:tc>
      </w:tr>
      <w:tr>
        <w:trPr>
          <w:trHeight w:val="195"/>
        </w:trPr>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(83,482)</w:t>
            </w:r>
          </w:p>
        </w:tc>
      </w:tr>
      <w:tr>
        <w:trPr>
          <w:trHeight w:val="200"/>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(3,740)</w:t>
            </w:r>
          </w:p>
        </w:tc>
      </w:tr>
      <w:tr>
        <w:trPr>
          <w:trHeight w:val="203"/>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(534)</w:t>
            </w:r>
          </w:p>
        </w:tc>
      </w:tr>
      <w:tr>
        <w:trPr>
          <w:trHeight w:val="205"/>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(2,315)</w:t>
            </w:r>
          </w:p>
        </w:tc>
      </w:tr>
      <w:tr>
        <w:trPr>
          <w:trHeight w:val="466"/>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57,581</w:t>
            </w:r>
          </w:p>
        </w:tc>
      </w:tr>
      <w:tr>
        <w:trPr>
          <w:trHeight w:val="24"/>
        </w:trPr>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-1816735</wp:posOffset>
            </wp:positionV>
            <wp:extent cx="6789420" cy="2311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1">
                      <a:extLst>
                        <a:ext uri="{28A0092B-C50C-407E-A947-70E740481C1C}"/>
                      </a:extLst>
                    </a:blip>
                    <a:srcRect/>
                    <a:stretch>
                      <a:fillRect/>
                    </a:stretch>
                  </pic:blipFill>
                  <pic:spPr bwMode="auto">
                    <a:xfrm>
                      <a:off x="0" y="0"/>
                      <a:ext cx="6789420" cy="23114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-1456690</wp:posOffset>
            </wp:positionV>
            <wp:extent cx="6789420" cy="2317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2">
                      <a:extLst>
                        <a:ext uri="{28A0092B-C50C-407E-A947-70E740481C1C}"/>
                      </a:extLst>
                    </a:blip>
                    <a:srcRect/>
                    <a:stretch>
                      <a:fillRect/>
                    </a:stretch>
                  </pic:blipFill>
                  <pic:spPr bwMode="auto">
                    <a:xfrm>
                      <a:off x="0" y="0"/>
                      <a:ext cx="6789420" cy="23177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-1096645</wp:posOffset>
            </wp:positionV>
            <wp:extent cx="6789420" cy="2317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3">
                      <a:extLst>
                        <a:ext uri="{28A0092B-C50C-407E-A947-70E740481C1C}"/>
                      </a:extLst>
                    </a:blip>
                    <a:srcRect/>
                    <a:stretch>
                      <a:fillRect/>
                    </a:stretch>
                  </pic:blipFill>
                  <pic:spPr bwMode="auto">
                    <a:xfrm>
                      <a:off x="0" y="0"/>
                      <a:ext cx="6789420" cy="23177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-728345</wp:posOffset>
            </wp:positionV>
            <wp:extent cx="6789420"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4">
                      <a:extLst>
                        <a:ext uri="{28A0092B-C50C-407E-A947-70E740481C1C}"/>
                      </a:extLst>
                    </a:blip>
                    <a:srcRect/>
                    <a:stretch>
                      <a:fillRect/>
                    </a:stretch>
                  </pic:blipFill>
                  <pic:spPr bwMode="auto">
                    <a:xfrm>
                      <a:off x="0" y="0"/>
                      <a:ext cx="6789420" cy="12890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-471170</wp:posOffset>
            </wp:positionV>
            <wp:extent cx="6789420"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5">
                      <a:extLst>
                        <a:ext uri="{28A0092B-C50C-407E-A947-70E740481C1C}"/>
                      </a:extLst>
                    </a:blip>
                    <a:srcRect/>
                    <a:stretch>
                      <a:fillRect/>
                    </a:stretch>
                  </pic:blipFill>
                  <pic:spPr bwMode="auto">
                    <a:xfrm>
                      <a:off x="0" y="0"/>
                      <a:ext cx="67894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160"/>
            <w:col w:w="8560"/>
          </w:cols>
          <w:pgMar w:left="320" w:top="337" w:right="339" w:bottom="1440" w:gutter="0" w:footer="0" w:header="0"/>
          <w:type w:val="continuous"/>
        </w:sectPr>
      </w:pPr>
    </w:p>
    <w:p>
      <w:pPr>
        <w:spacing w:after="0" w:line="115" w:lineRule="exact"/>
        <w:rPr>
          <w:sz w:val="20"/>
          <w:szCs w:val="20"/>
          <w:color w:val="auto"/>
        </w:rPr>
      </w:pPr>
    </w:p>
    <w:p>
      <w:pPr>
        <w:ind w:left="340" w:right="200" w:hanging="332"/>
        <w:spacing w:after="0" w:line="200" w:lineRule="auto"/>
        <w:tabs>
          <w:tab w:leader="none" w:pos="316" w:val="left"/>
        </w:tabs>
        <w:numPr>
          <w:ilvl w:val="0"/>
          <w:numId w:val="86"/>
        </w:numPr>
        <w:rPr>
          <w:rFonts w:ascii="Arial" w:cs="Arial" w:eastAsia="Arial" w:hAnsi="Arial"/>
          <w:sz w:val="26"/>
          <w:szCs w:val="26"/>
          <w:b w:val="1"/>
          <w:bCs w:val="1"/>
          <w:color w:val="auto"/>
          <w:vertAlign w:val="superscript"/>
        </w:rPr>
      </w:pPr>
      <w:r>
        <w:rPr>
          <w:rFonts w:ascii="Arial" w:cs="Arial" w:eastAsia="Arial" w:hAnsi="Arial"/>
          <w:sz w:val="17"/>
          <w:szCs w:val="17"/>
          <w:color w:val="auto"/>
        </w:rPr>
        <w:t>Other consists of segment allocated management fees, amortization expense of intangible assets, stock-based compensation, and acquisition costs at PrimaLoft, Velocity and Altor.</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Depreciation and Amortization Expense</w:t>
            </w: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11"/>
          </w:tcPr>
          <w:p>
            <w:pPr>
              <w:ind w:left="680"/>
              <w:spacing w:after="0"/>
              <w:rPr>
                <w:sz w:val="20"/>
                <w:szCs w:val="20"/>
                <w:color w:val="auto"/>
              </w:rPr>
            </w:pPr>
            <w:r>
              <w:rPr>
                <w:rFonts w:ascii="Arial" w:cs="Arial" w:eastAsia="Arial" w:hAnsi="Arial"/>
                <w:sz w:val="15"/>
                <w:szCs w:val="15"/>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r>
        <w:trPr>
          <w:trHeight w:val="196"/>
        </w:trPr>
        <w:tc>
          <w:tcPr>
            <w:tcW w:w="54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Pr>
          <w:p>
            <w:pPr>
              <w:spacing w:after="0"/>
              <w:rPr>
                <w:sz w:val="17"/>
                <w:szCs w:val="17"/>
                <w:color w:val="auto"/>
              </w:rPr>
            </w:pPr>
          </w:p>
        </w:tc>
        <w:tc>
          <w:tcPr>
            <w:tcW w:w="1820" w:type="dxa"/>
            <w:vAlign w:val="bottom"/>
            <w:gridSpan w:val="4"/>
          </w:tcPr>
          <w:p>
            <w:pPr>
              <w:jc w:val="right"/>
              <w:ind w:right="424"/>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3"/>
          </w:tcPr>
          <w:p>
            <w:pPr>
              <w:jc w:val="right"/>
              <w:ind w:right="444"/>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84"/>
              <w:spacing w:after="0"/>
              <w:rPr>
                <w:sz w:val="20"/>
                <w:szCs w:val="20"/>
                <w:color w:val="auto"/>
              </w:rPr>
            </w:pPr>
            <w:r>
              <w:rPr>
                <w:rFonts w:ascii="Arial" w:cs="Arial" w:eastAsia="Arial" w:hAnsi="Arial"/>
                <w:sz w:val="15"/>
                <w:szCs w:val="15"/>
                <w:b w:val="1"/>
                <w:bCs w:val="1"/>
                <w:color w:val="auto"/>
              </w:rPr>
              <w:t>2022</w:t>
            </w:r>
          </w:p>
        </w:tc>
        <w:tc>
          <w:tcPr>
            <w:tcW w:w="340" w:type="dxa"/>
            <w:vAlign w:val="bottom"/>
          </w:tcPr>
          <w:p>
            <w:pPr>
              <w:spacing w:after="0"/>
              <w:rPr>
                <w:sz w:val="17"/>
                <w:szCs w:val="17"/>
                <w:color w:val="auto"/>
              </w:rPr>
            </w:pPr>
          </w:p>
        </w:tc>
      </w:tr>
      <w:tr>
        <w:trPr>
          <w:trHeight w:val="34"/>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22,439</w:t>
            </w:r>
          </w:p>
        </w:tc>
        <w:tc>
          <w:tcPr>
            <w:tcW w:w="620" w:type="dxa"/>
            <w:vAlign w:val="bottom"/>
            <w:gridSpan w:val="3"/>
            <w:shd w:val="clear" w:color="auto" w:fill="CCEEFF"/>
          </w:tcPr>
          <w:p>
            <w:pPr>
              <w:jc w:val="right"/>
              <w:ind w:right="2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25,714</w:t>
            </w:r>
          </w:p>
        </w:tc>
        <w:tc>
          <w:tcPr>
            <w:tcW w:w="560" w:type="dxa"/>
            <w:vAlign w:val="bottom"/>
            <w:gridSpan w:val="3"/>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22,742</w:t>
            </w:r>
          </w:p>
        </w:tc>
        <w:tc>
          <w:tcPr>
            <w:tcW w:w="340" w:type="dxa"/>
            <w:vAlign w:val="bottom"/>
          </w:tcPr>
          <w:p>
            <w:pPr>
              <w:spacing w:after="0"/>
              <w:rPr>
                <w:sz w:val="17"/>
                <w:szCs w:val="17"/>
                <w:color w:val="auto"/>
              </w:rPr>
            </w:pPr>
          </w:p>
        </w:tc>
      </w:tr>
      <w:tr>
        <w:trPr>
          <w:trHeight w:val="201"/>
        </w:trPr>
        <w:tc>
          <w:tcPr>
            <w:tcW w:w="5480" w:type="dxa"/>
            <w:vAlign w:val="bottom"/>
          </w:tcPr>
          <w:p>
            <w:pPr>
              <w:ind w:left="20"/>
              <w:spacing w:after="0"/>
              <w:rPr>
                <w:sz w:val="20"/>
                <w:szCs w:val="20"/>
                <w:color w:val="auto"/>
              </w:rPr>
            </w:pPr>
            <w:r>
              <w:rPr>
                <w:rFonts w:ascii="Arial" w:cs="Arial" w:eastAsia="Arial" w:hAnsi="Arial"/>
                <w:sz w:val="15"/>
                <w:szCs w:val="15"/>
                <w:color w:val="auto"/>
              </w:rPr>
              <w:t>BOA</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20,795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22,659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21,751</w:t>
            </w:r>
          </w:p>
        </w:tc>
        <w:tc>
          <w:tcPr>
            <w:tcW w:w="340" w:type="dxa"/>
            <w:vAlign w:val="bottom"/>
          </w:tcPr>
          <w:p>
            <w:pPr>
              <w:spacing w:after="0"/>
              <w:rPr>
                <w:sz w:val="17"/>
                <w:szCs w:val="17"/>
                <w:color w:val="auto"/>
              </w:rPr>
            </w:pP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Lugano</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9,106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5,648</w:t>
            </w:r>
          </w:p>
        </w:tc>
        <w:tc>
          <w:tcPr>
            <w:tcW w:w="340" w:type="dxa"/>
            <w:vAlign w:val="bottom"/>
          </w:tcPr>
          <w:p>
            <w:pPr>
              <w:spacing w:after="0"/>
              <w:rPr>
                <w:sz w:val="17"/>
                <w:szCs w:val="17"/>
                <w:color w:val="auto"/>
              </w:rPr>
            </w:pPr>
          </w:p>
        </w:tc>
      </w:tr>
      <w:tr>
        <w:trPr>
          <w:trHeight w:val="200"/>
        </w:trPr>
        <w:tc>
          <w:tcPr>
            <w:tcW w:w="5480" w:type="dxa"/>
            <w:vAlign w:val="bottom"/>
          </w:tcPr>
          <w:p>
            <w:pPr>
              <w:ind w:left="20"/>
              <w:spacing w:after="0"/>
              <w:rPr>
                <w:sz w:val="20"/>
                <w:szCs w:val="20"/>
                <w:color w:val="auto"/>
              </w:rPr>
            </w:pPr>
            <w:r>
              <w:rPr>
                <w:rFonts w:ascii="Arial" w:cs="Arial" w:eastAsia="Arial" w:hAnsi="Arial"/>
                <w:sz w:val="15"/>
                <w:szCs w:val="15"/>
                <w:color w:val="auto"/>
              </w:rPr>
              <w:t>PrimaLoft</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21,004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21,155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9,664</w:t>
            </w:r>
          </w:p>
        </w:tc>
        <w:tc>
          <w:tcPr>
            <w:tcW w:w="340" w:type="dxa"/>
            <w:vAlign w:val="bottom"/>
          </w:tcPr>
          <w:p>
            <w:pPr>
              <w:spacing w:after="0"/>
              <w:rPr>
                <w:sz w:val="17"/>
                <w:szCs w:val="17"/>
                <w:color w:val="auto"/>
              </w:rPr>
            </w:pPr>
          </w:p>
        </w:tc>
      </w:tr>
      <w:tr>
        <w:trPr>
          <w:trHeight w:val="205"/>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Honey Pot Co.</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15,022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r>
      <w:tr>
        <w:trPr>
          <w:trHeight w:val="201"/>
        </w:trPr>
        <w:tc>
          <w:tcPr>
            <w:tcW w:w="5480" w:type="dxa"/>
            <w:vAlign w:val="bottom"/>
          </w:tcPr>
          <w:p>
            <w:pPr>
              <w:ind w:left="20"/>
              <w:spacing w:after="0"/>
              <w:rPr>
                <w:sz w:val="20"/>
                <w:szCs w:val="20"/>
                <w:color w:val="auto"/>
              </w:rPr>
            </w:pPr>
            <w:r>
              <w:rPr>
                <w:rFonts w:ascii="Arial" w:cs="Arial" w:eastAsia="Arial" w:hAnsi="Arial"/>
                <w:sz w:val="15"/>
                <w:szCs w:val="15"/>
                <w:color w:val="auto"/>
              </w:rPr>
              <w:t>Velocity Outdoor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8,024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13,100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13,030</w:t>
            </w:r>
          </w:p>
        </w:tc>
        <w:tc>
          <w:tcPr>
            <w:tcW w:w="340" w:type="dxa"/>
            <w:vAlign w:val="bottom"/>
          </w:tcPr>
          <w:p>
            <w:pPr>
              <w:spacing w:after="0"/>
              <w:rPr>
                <w:sz w:val="17"/>
                <w:szCs w:val="17"/>
                <w:color w:val="auto"/>
              </w:rPr>
            </w:pP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Altor Solutions</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19,631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16,495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16,157</w:t>
            </w:r>
          </w:p>
        </w:tc>
        <w:tc>
          <w:tcPr>
            <w:tcW w:w="340" w:type="dxa"/>
            <w:vAlign w:val="bottom"/>
          </w:tcPr>
          <w:p>
            <w:pPr>
              <w:spacing w:after="0"/>
              <w:rPr>
                <w:sz w:val="17"/>
                <w:szCs w:val="17"/>
                <w:color w:val="auto"/>
              </w:rPr>
            </w:pPr>
          </w:p>
        </w:tc>
      </w:tr>
      <w:tr>
        <w:trPr>
          <w:trHeight w:val="201"/>
        </w:trPr>
        <w:tc>
          <w:tcPr>
            <w:tcW w:w="5480" w:type="dxa"/>
            <w:vAlign w:val="bottom"/>
          </w:tcPr>
          <w:p>
            <w:pPr>
              <w:ind w:left="20"/>
              <w:spacing w:after="0"/>
              <w:rPr>
                <w:sz w:val="20"/>
                <w:szCs w:val="20"/>
                <w:color w:val="auto"/>
              </w:rPr>
            </w:pPr>
            <w:r>
              <w:rPr>
                <w:rFonts w:ascii="Arial" w:cs="Arial" w:eastAsia="Arial" w:hAnsi="Arial"/>
                <w:sz w:val="15"/>
                <w:szCs w:val="15"/>
                <w:color w:val="auto"/>
              </w:rPr>
              <w:t>Arnold</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9,215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8,279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7,878</w:t>
            </w:r>
          </w:p>
        </w:tc>
        <w:tc>
          <w:tcPr>
            <w:tcW w:w="340" w:type="dxa"/>
            <w:vAlign w:val="bottom"/>
          </w:tcPr>
          <w:p>
            <w:pPr>
              <w:spacing w:after="0"/>
              <w:rPr>
                <w:sz w:val="17"/>
                <w:szCs w:val="17"/>
                <w:color w:val="auto"/>
              </w:rPr>
            </w:pP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Sterno</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18,415</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19,541</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19,842</w:t>
            </w:r>
          </w:p>
        </w:tc>
        <w:tc>
          <w:tcPr>
            <w:tcW w:w="340" w:type="dxa"/>
            <w:vAlign w:val="bottom"/>
          </w:tcPr>
          <w:p>
            <w:pPr>
              <w:spacing w:after="0"/>
              <w:rPr>
                <w:sz w:val="17"/>
                <w:szCs w:val="17"/>
                <w:color w:val="auto"/>
              </w:rPr>
            </w:pPr>
          </w:p>
        </w:tc>
      </w:tr>
      <w:tr>
        <w:trPr>
          <w:trHeight w:val="195"/>
        </w:trPr>
        <w:tc>
          <w:tcPr>
            <w:tcW w:w="5480" w:type="dxa"/>
            <w:vAlign w:val="bottom"/>
          </w:tcPr>
          <w:p>
            <w:pPr>
              <w:ind w:left="20"/>
              <w:spacing w:after="0"/>
              <w:rPr>
                <w:sz w:val="20"/>
                <w:szCs w:val="20"/>
                <w:color w:val="auto"/>
              </w:rPr>
            </w:pPr>
            <w:r>
              <w:rPr>
                <w:rFonts w:ascii="Arial" w:cs="Arial" w:eastAsia="Arial" w:hAnsi="Arial"/>
                <w:sz w:val="15"/>
                <w:szCs w:val="15"/>
                <w:color w:val="auto"/>
              </w:rPr>
              <w:t>Total</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143,651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134,356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116,712</w:t>
            </w:r>
          </w:p>
        </w:tc>
        <w:tc>
          <w:tcPr>
            <w:tcW w:w="340" w:type="dxa"/>
            <w:vAlign w:val="bottom"/>
          </w:tcPr>
          <w:p>
            <w:pPr>
              <w:spacing w:after="0"/>
              <w:rPr>
                <w:sz w:val="16"/>
                <w:szCs w:val="16"/>
                <w:color w:val="auto"/>
              </w:rPr>
            </w:pP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segment to consolidated total:</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Amortization of debt issuance costs and debt premiums</w:t>
            </w:r>
          </w:p>
        </w:tc>
        <w:tc>
          <w:tcPr>
            <w:tcW w:w="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4,018</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4,038</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3,740</w:t>
            </w:r>
          </w:p>
        </w:tc>
        <w:tc>
          <w:tcPr>
            <w:tcW w:w="340" w:type="dxa"/>
            <w:vAlign w:val="bottom"/>
          </w:tcPr>
          <w:p>
            <w:pPr>
              <w:spacing w:after="0"/>
              <w:rPr>
                <w:sz w:val="17"/>
                <w:szCs w:val="17"/>
                <w:color w:val="auto"/>
              </w:rPr>
            </w:pPr>
          </w:p>
        </w:tc>
      </w:tr>
      <w:tr>
        <w:trPr>
          <w:trHeight w:val="222"/>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Consolidated total</w:t>
            </w:r>
          </w:p>
        </w:tc>
        <w:tc>
          <w:tcPr>
            <w:tcW w:w="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5"/>
                <w:szCs w:val="15"/>
                <w:color w:val="auto"/>
                <w:w w:val="95"/>
              </w:rPr>
              <w: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147,669</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138,394</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120,452</w:t>
            </w:r>
          </w:p>
        </w:tc>
        <w:tc>
          <w:tcPr>
            <w:tcW w:w="340" w:type="dxa"/>
            <w:vAlign w:val="bottom"/>
          </w:tcPr>
          <w:p>
            <w:pPr>
              <w:spacing w:after="0"/>
              <w:rPr>
                <w:sz w:val="18"/>
                <w:szCs w:val="18"/>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01"/>
        </w:trPr>
        <w:tc>
          <w:tcPr>
            <w:tcW w:w="5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524"/>
              <w:spacing w:after="0"/>
              <w:rPr>
                <w:sz w:val="20"/>
                <w:szCs w:val="20"/>
                <w:color w:val="auto"/>
              </w:rPr>
            </w:pPr>
            <w:r>
              <w:rPr>
                <w:rFonts w:ascii="Arial" w:cs="Arial" w:eastAsia="Arial" w:hAnsi="Arial"/>
                <w:sz w:val="15"/>
                <w:szCs w:val="15"/>
                <w:b w:val="1"/>
                <w:bCs w:val="1"/>
                <w:color w:val="auto"/>
              </w:rPr>
              <w:t>Accounts Receivable</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right"/>
              <w:ind w:right="624"/>
              <w:spacing w:after="0"/>
              <w:rPr>
                <w:sz w:val="20"/>
                <w:szCs w:val="20"/>
                <w:color w:val="auto"/>
              </w:rPr>
            </w:pPr>
            <w:r>
              <w:rPr>
                <w:rFonts w:ascii="Arial" w:cs="Arial" w:eastAsia="Arial" w:hAnsi="Arial"/>
                <w:sz w:val="15"/>
                <w:szCs w:val="15"/>
                <w:b w:val="1"/>
                <w:bCs w:val="1"/>
                <w:color w:val="auto"/>
              </w:rPr>
              <w:t>Identifiable Assets</w:t>
            </w:r>
          </w:p>
        </w:tc>
      </w:tr>
      <w:tr>
        <w:trPr>
          <w:trHeight w:val="196"/>
        </w:trPr>
        <w:tc>
          <w:tcPr>
            <w:tcW w:w="5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64"/>
              <w:spacing w:after="0"/>
              <w:rPr>
                <w:sz w:val="20"/>
                <w:szCs w:val="20"/>
                <w:color w:val="auto"/>
              </w:rPr>
            </w:pPr>
            <w:r>
              <w:rPr>
                <w:rFonts w:ascii="Arial" w:cs="Arial" w:eastAsia="Arial" w:hAnsi="Arial"/>
                <w:sz w:val="15"/>
                <w:szCs w:val="15"/>
                <w:b w:val="1"/>
                <w:bCs w:val="1"/>
                <w:color w:val="auto"/>
              </w:rPr>
              <w:t>December 31,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right"/>
              <w:ind w:right="824"/>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548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424"/>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2023</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7"/>
              </w:rPr>
              <w:t>(1)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line="196" w:lineRule="exact"/>
              <w:rPr>
                <w:sz w:val="20"/>
                <w:szCs w:val="20"/>
                <w:color w:val="auto"/>
              </w:rPr>
            </w:pPr>
            <w:r>
              <w:rPr>
                <w:rFonts w:ascii="Arial" w:cs="Arial" w:eastAsia="Arial" w:hAnsi="Arial"/>
                <w:sz w:val="15"/>
                <w:szCs w:val="15"/>
                <w:b w:val="1"/>
                <w:bCs w:val="1"/>
                <w:color w:val="auto"/>
              </w:rPr>
              <w:t xml:space="preserve">2023 </w:t>
            </w:r>
            <w:r>
              <w:rPr>
                <w:rFonts w:ascii="Arial" w:cs="Arial" w:eastAsia="Arial" w:hAnsi="Arial"/>
                <w:sz w:val="19"/>
                <w:szCs w:val="19"/>
                <w:b w:val="1"/>
                <w:bCs w:val="1"/>
                <w:color w:val="auto"/>
                <w:vertAlign w:val="superscript"/>
              </w:rPr>
              <w:t>(1)</w:t>
            </w:r>
          </w:p>
        </w:tc>
        <w:tc>
          <w:tcPr>
            <w:tcW w:w="340" w:type="dxa"/>
            <w:vAlign w:val="bottom"/>
            <w:tcBorders>
              <w:bottom w:val="single" w:sz="8" w:color="auto"/>
            </w:tcBorders>
          </w:tcPr>
          <w:p>
            <w:pPr>
              <w:spacing w:after="0"/>
              <w:rPr>
                <w:sz w:val="17"/>
                <w:szCs w:val="17"/>
                <w:color w:val="auto"/>
              </w:rPr>
            </w:pPr>
          </w:p>
        </w:tc>
      </w:tr>
      <w:tr>
        <w:trPr>
          <w:trHeight w:val="196"/>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5.11</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59,461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4"/>
              <w:spacing w:after="0"/>
              <w:rPr>
                <w:sz w:val="20"/>
                <w:szCs w:val="20"/>
                <w:color w:val="auto"/>
              </w:rPr>
            </w:pPr>
            <w:r>
              <w:rPr>
                <w:rFonts w:ascii="Arial" w:cs="Arial" w:eastAsia="Arial" w:hAnsi="Arial"/>
                <w:sz w:val="15"/>
                <w:szCs w:val="15"/>
                <w:color w:val="auto"/>
                <w:w w:val="95"/>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50,452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4"/>
            <w:shd w:val="clear" w:color="auto" w:fill="CCEEFF"/>
          </w:tcPr>
          <w:p>
            <w:pPr>
              <w:jc w:val="right"/>
              <w:ind w:right="4"/>
              <w:spacing w:after="0"/>
              <w:rPr>
                <w:sz w:val="20"/>
                <w:szCs w:val="20"/>
                <w:color w:val="auto"/>
              </w:rPr>
            </w:pPr>
            <w:r>
              <w:rPr>
                <w:rFonts w:ascii="Arial" w:cs="Arial" w:eastAsia="Arial" w:hAnsi="Arial"/>
                <w:sz w:val="15"/>
                <w:szCs w:val="15"/>
                <w:color w:val="auto"/>
              </w:rPr>
              <w:t>413,831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398,050</w:t>
            </w:r>
          </w:p>
        </w:tc>
      </w:tr>
      <w:tr>
        <w:trPr>
          <w:trHeight w:val="201"/>
        </w:trPr>
        <w:tc>
          <w:tcPr>
            <w:tcW w:w="5480" w:type="dxa"/>
            <w:vAlign w:val="bottom"/>
          </w:tcPr>
          <w:p>
            <w:pPr>
              <w:spacing w:after="0"/>
              <w:rPr>
                <w:sz w:val="20"/>
                <w:szCs w:val="20"/>
                <w:color w:val="auto"/>
              </w:rPr>
            </w:pPr>
            <w:r>
              <w:rPr>
                <w:rFonts w:ascii="Arial" w:cs="Arial" w:eastAsia="Arial" w:hAnsi="Arial"/>
                <w:sz w:val="15"/>
                <w:szCs w:val="15"/>
                <w:color w:val="auto"/>
              </w:rPr>
              <w:t>BOA</w:t>
            </w:r>
          </w:p>
        </w:tc>
        <w:tc>
          <w:tcPr>
            <w:tcW w:w="300" w:type="dxa"/>
            <w:vAlign w:val="bottom"/>
          </w:tcPr>
          <w:p>
            <w:pPr>
              <w:spacing w:after="0"/>
              <w:rPr>
                <w:sz w:val="17"/>
                <w:szCs w:val="17"/>
                <w:color w:val="auto"/>
              </w:rPr>
            </w:pPr>
          </w:p>
        </w:tc>
        <w:tc>
          <w:tcPr>
            <w:tcW w:w="1020" w:type="dxa"/>
            <w:vAlign w:val="bottom"/>
            <w:gridSpan w:val="2"/>
          </w:tcPr>
          <w:p>
            <w:pPr>
              <w:jc w:val="right"/>
              <w:ind w:right="4"/>
              <w:spacing w:after="0"/>
              <w:rPr>
                <w:sz w:val="20"/>
                <w:szCs w:val="20"/>
                <w:color w:val="auto"/>
              </w:rPr>
            </w:pPr>
            <w:r>
              <w:rPr>
                <w:rFonts w:ascii="Arial" w:cs="Arial" w:eastAsia="Arial" w:hAnsi="Arial"/>
                <w:sz w:val="15"/>
                <w:szCs w:val="15"/>
                <w:color w:val="auto"/>
              </w:rPr>
              <w:t>2,357</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1,368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4"/>
          </w:tcPr>
          <w:p>
            <w:pPr>
              <w:jc w:val="right"/>
              <w:ind w:right="4"/>
              <w:spacing w:after="0"/>
              <w:rPr>
                <w:sz w:val="20"/>
                <w:szCs w:val="20"/>
                <w:color w:val="auto"/>
              </w:rPr>
            </w:pPr>
            <w:r>
              <w:rPr>
                <w:rFonts w:ascii="Arial" w:cs="Arial" w:eastAsia="Arial" w:hAnsi="Arial"/>
                <w:sz w:val="15"/>
                <w:szCs w:val="15"/>
                <w:color w:val="auto"/>
              </w:rPr>
              <w:t>219,283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243,243</w:t>
            </w:r>
          </w:p>
        </w:tc>
      </w:tr>
      <w:tr>
        <w:trPr>
          <w:trHeight w:val="204"/>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Lugano</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237,861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9"/>
              </w:rPr>
              <w:t>124,776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4"/>
              <w:spacing w:after="0"/>
              <w:rPr>
                <w:sz w:val="20"/>
                <w:szCs w:val="20"/>
                <w:color w:val="auto"/>
              </w:rPr>
            </w:pPr>
            <w:r>
              <w:rPr>
                <w:rFonts w:ascii="Arial" w:cs="Arial" w:eastAsia="Arial" w:hAnsi="Arial"/>
                <w:sz w:val="15"/>
                <w:szCs w:val="15"/>
                <w:color w:val="auto"/>
              </w:rPr>
              <w:t>747,441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510,484</w:t>
            </w:r>
          </w:p>
        </w:tc>
      </w:tr>
      <w:tr>
        <w:trPr>
          <w:trHeight w:val="201"/>
        </w:trPr>
        <w:tc>
          <w:tcPr>
            <w:tcW w:w="5480" w:type="dxa"/>
            <w:vAlign w:val="bottom"/>
          </w:tcPr>
          <w:p>
            <w:pPr>
              <w:spacing w:after="0"/>
              <w:rPr>
                <w:sz w:val="20"/>
                <w:szCs w:val="20"/>
                <w:color w:val="auto"/>
              </w:rPr>
            </w:pPr>
            <w:r>
              <w:rPr>
                <w:rFonts w:ascii="Arial" w:cs="Arial" w:eastAsia="Arial" w:hAnsi="Arial"/>
                <w:sz w:val="15"/>
                <w:szCs w:val="15"/>
                <w:color w:val="auto"/>
              </w:rPr>
              <w:t>PrimaLoft</w:t>
            </w:r>
          </w:p>
        </w:tc>
        <w:tc>
          <w:tcPr>
            <w:tcW w:w="300" w:type="dxa"/>
            <w:vAlign w:val="bottom"/>
          </w:tcPr>
          <w:p>
            <w:pPr>
              <w:spacing w:after="0"/>
              <w:rPr>
                <w:sz w:val="17"/>
                <w:szCs w:val="17"/>
                <w:color w:val="auto"/>
              </w:rPr>
            </w:pPr>
          </w:p>
        </w:tc>
        <w:tc>
          <w:tcPr>
            <w:tcW w:w="1020" w:type="dxa"/>
            <w:vAlign w:val="bottom"/>
            <w:gridSpan w:val="2"/>
          </w:tcPr>
          <w:p>
            <w:pPr>
              <w:jc w:val="right"/>
              <w:ind w:right="4"/>
              <w:spacing w:after="0"/>
              <w:rPr>
                <w:sz w:val="20"/>
                <w:szCs w:val="20"/>
                <w:color w:val="auto"/>
              </w:rPr>
            </w:pPr>
            <w:r>
              <w:rPr>
                <w:rFonts w:ascii="Arial" w:cs="Arial" w:eastAsia="Arial" w:hAnsi="Arial"/>
                <w:sz w:val="15"/>
                <w:szCs w:val="15"/>
                <w:color w:val="auto"/>
              </w:rPr>
              <w:t>1,871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1,381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4"/>
          </w:tcPr>
          <w:p>
            <w:pPr>
              <w:jc w:val="right"/>
              <w:ind w:right="4"/>
              <w:spacing w:after="0"/>
              <w:rPr>
                <w:sz w:val="20"/>
                <w:szCs w:val="20"/>
                <w:color w:val="auto"/>
              </w:rPr>
            </w:pPr>
            <w:r>
              <w:rPr>
                <w:rFonts w:ascii="Arial" w:cs="Arial" w:eastAsia="Arial" w:hAnsi="Arial"/>
                <w:sz w:val="15"/>
                <w:szCs w:val="15"/>
                <w:color w:val="auto"/>
              </w:rPr>
              <w:t>268,527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288,212</w:t>
            </w:r>
          </w:p>
        </w:tc>
      </w:tr>
      <w:tr>
        <w:trPr>
          <w:trHeight w:val="204"/>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The Honey Pot Co.</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18,579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4"/>
              <w:spacing w:after="0"/>
              <w:rPr>
                <w:sz w:val="20"/>
                <w:szCs w:val="20"/>
                <w:color w:val="auto"/>
              </w:rPr>
            </w:pPr>
            <w:r>
              <w:rPr>
                <w:rFonts w:ascii="Arial" w:cs="Arial" w:eastAsia="Arial" w:hAnsi="Arial"/>
                <w:sz w:val="15"/>
                <w:szCs w:val="15"/>
                <w:color w:val="auto"/>
              </w:rPr>
              <w:t>284,208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5480" w:type="dxa"/>
            <w:vAlign w:val="bottom"/>
          </w:tcPr>
          <w:p>
            <w:pPr>
              <w:spacing w:after="0"/>
              <w:rPr>
                <w:sz w:val="20"/>
                <w:szCs w:val="20"/>
                <w:color w:val="auto"/>
              </w:rPr>
            </w:pPr>
            <w:r>
              <w:rPr>
                <w:rFonts w:ascii="Arial" w:cs="Arial" w:eastAsia="Arial" w:hAnsi="Arial"/>
                <w:sz w:val="15"/>
                <w:szCs w:val="15"/>
                <w:color w:val="auto"/>
              </w:rPr>
              <w:t>Velocity</w:t>
            </w:r>
          </w:p>
        </w:tc>
        <w:tc>
          <w:tcPr>
            <w:tcW w:w="300" w:type="dxa"/>
            <w:vAlign w:val="bottom"/>
          </w:tcPr>
          <w:p>
            <w:pPr>
              <w:spacing w:after="0"/>
              <w:rPr>
                <w:sz w:val="17"/>
                <w:szCs w:val="17"/>
                <w:color w:val="auto"/>
              </w:rPr>
            </w:pPr>
          </w:p>
        </w:tc>
        <w:tc>
          <w:tcPr>
            <w:tcW w:w="1020" w:type="dxa"/>
            <w:vAlign w:val="bottom"/>
            <w:gridSpan w:val="2"/>
          </w:tcPr>
          <w:p>
            <w:pPr>
              <w:jc w:val="right"/>
              <w:ind w:right="4"/>
              <w:spacing w:after="0"/>
              <w:rPr>
                <w:sz w:val="20"/>
                <w:szCs w:val="20"/>
                <w:color w:val="auto"/>
              </w:rPr>
            </w:pPr>
            <w:r>
              <w:rPr>
                <w:rFonts w:ascii="Arial" w:cs="Arial" w:eastAsia="Arial" w:hAnsi="Arial"/>
                <w:sz w:val="15"/>
                <w:szCs w:val="15"/>
                <w:color w:val="auto"/>
              </w:rPr>
              <w:t>7,815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24,458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gridSpan w:val="3"/>
          </w:tcPr>
          <w:p>
            <w:pPr>
              <w:jc w:val="right"/>
              <w:ind w:right="4"/>
              <w:spacing w:after="0"/>
              <w:rPr>
                <w:sz w:val="20"/>
                <w:szCs w:val="20"/>
                <w:color w:val="auto"/>
              </w:rPr>
            </w:pPr>
            <w:r>
              <w:rPr>
                <w:rFonts w:ascii="Arial" w:cs="Arial" w:eastAsia="Arial" w:hAnsi="Arial"/>
                <w:sz w:val="15"/>
                <w:szCs w:val="15"/>
                <w:color w:val="auto"/>
              </w:rPr>
              <w:t>90,736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207,609</w:t>
            </w:r>
          </w:p>
        </w:tc>
      </w:tr>
      <w:tr>
        <w:trPr>
          <w:trHeight w:val="204"/>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Altor Solutions</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45,734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35,232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4"/>
              <w:spacing w:after="0"/>
              <w:rPr>
                <w:sz w:val="20"/>
                <w:szCs w:val="20"/>
                <w:color w:val="auto"/>
              </w:rPr>
            </w:pPr>
            <w:r>
              <w:rPr>
                <w:rFonts w:ascii="Arial" w:cs="Arial" w:eastAsia="Arial" w:hAnsi="Arial"/>
                <w:sz w:val="15"/>
                <w:szCs w:val="15"/>
                <w:color w:val="auto"/>
              </w:rPr>
              <w:t>309,174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186,683</w:t>
            </w:r>
          </w:p>
        </w:tc>
      </w:tr>
      <w:tr>
        <w:trPr>
          <w:trHeight w:val="201"/>
        </w:trPr>
        <w:tc>
          <w:tcPr>
            <w:tcW w:w="5480" w:type="dxa"/>
            <w:vAlign w:val="bottom"/>
          </w:tcPr>
          <w:p>
            <w:pPr>
              <w:spacing w:after="0"/>
              <w:rPr>
                <w:sz w:val="20"/>
                <w:szCs w:val="20"/>
                <w:color w:val="auto"/>
              </w:rPr>
            </w:pPr>
            <w:r>
              <w:rPr>
                <w:rFonts w:ascii="Arial" w:cs="Arial" w:eastAsia="Arial" w:hAnsi="Arial"/>
                <w:sz w:val="15"/>
                <w:szCs w:val="15"/>
                <w:color w:val="auto"/>
              </w:rPr>
              <w:t>Arnold</w:t>
            </w:r>
          </w:p>
        </w:tc>
        <w:tc>
          <w:tcPr>
            <w:tcW w:w="300" w:type="dxa"/>
            <w:vAlign w:val="bottom"/>
          </w:tcPr>
          <w:p>
            <w:pPr>
              <w:spacing w:after="0"/>
              <w:rPr>
                <w:sz w:val="17"/>
                <w:szCs w:val="17"/>
                <w:color w:val="auto"/>
              </w:rPr>
            </w:pPr>
          </w:p>
        </w:tc>
        <w:tc>
          <w:tcPr>
            <w:tcW w:w="1020" w:type="dxa"/>
            <w:vAlign w:val="bottom"/>
            <w:gridSpan w:val="2"/>
          </w:tcPr>
          <w:p>
            <w:pPr>
              <w:jc w:val="right"/>
              <w:ind w:right="4"/>
              <w:spacing w:after="0"/>
              <w:rPr>
                <w:sz w:val="20"/>
                <w:szCs w:val="20"/>
                <w:color w:val="auto"/>
              </w:rPr>
            </w:pPr>
            <w:r>
              <w:rPr>
                <w:rFonts w:ascii="Arial" w:cs="Arial" w:eastAsia="Arial" w:hAnsi="Arial"/>
                <w:sz w:val="15"/>
                <w:szCs w:val="15"/>
                <w:color w:val="auto"/>
              </w:rPr>
              <w:t>24,912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25,977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4"/>
          </w:tcPr>
          <w:p>
            <w:pPr>
              <w:jc w:val="right"/>
              <w:ind w:right="4"/>
              <w:spacing w:after="0"/>
              <w:rPr>
                <w:sz w:val="20"/>
                <w:szCs w:val="20"/>
                <w:color w:val="auto"/>
              </w:rPr>
            </w:pPr>
            <w:r>
              <w:rPr>
                <w:rFonts w:ascii="Arial" w:cs="Arial" w:eastAsia="Arial" w:hAnsi="Arial"/>
                <w:sz w:val="15"/>
                <w:szCs w:val="15"/>
                <w:color w:val="auto"/>
              </w:rPr>
              <w:t>126,035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110,883</w:t>
            </w:r>
          </w:p>
        </w:tc>
      </w:tr>
      <w:tr>
        <w:trPr>
          <w:trHeight w:val="204"/>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Sterno</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52,284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51,740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4"/>
              <w:spacing w:after="0"/>
              <w:rPr>
                <w:sz w:val="20"/>
                <w:szCs w:val="20"/>
                <w:color w:val="auto"/>
              </w:rPr>
            </w:pPr>
            <w:r>
              <w:rPr>
                <w:rFonts w:ascii="Arial" w:cs="Arial" w:eastAsia="Arial" w:hAnsi="Arial"/>
                <w:sz w:val="15"/>
                <w:szCs w:val="15"/>
                <w:color w:val="auto"/>
              </w:rPr>
              <w:t>145,647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174,166</w:t>
            </w:r>
          </w:p>
        </w:tc>
      </w:tr>
      <w:tr>
        <w:trPr>
          <w:trHeight w:val="201"/>
        </w:trPr>
        <w:tc>
          <w:tcPr>
            <w:tcW w:w="5480" w:type="dxa"/>
            <w:vAlign w:val="bottom"/>
          </w:tcPr>
          <w:p>
            <w:pPr>
              <w:spacing w:after="0"/>
              <w:rPr>
                <w:sz w:val="20"/>
                <w:szCs w:val="20"/>
                <w:color w:val="auto"/>
              </w:rPr>
            </w:pPr>
            <w:r>
              <w:rPr>
                <w:rFonts w:ascii="Arial" w:cs="Arial" w:eastAsia="Arial" w:hAnsi="Arial"/>
                <w:sz w:val="15"/>
                <w:szCs w:val="15"/>
                <w:color w:val="auto"/>
              </w:rPr>
              <w:t>Sales allowance accounts</w:t>
            </w:r>
          </w:p>
        </w:tc>
        <w:tc>
          <w:tcPr>
            <w:tcW w:w="3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(6,488)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(7,201)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color w:val="auto"/>
              </w:rPr>
              <w:t>444,386</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99"/>
              </w:rPr>
              <w:t>308,183</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gridSpan w:val="4"/>
            <w:shd w:val="clear" w:color="auto" w:fill="CCEEFF"/>
          </w:tcPr>
          <w:p>
            <w:pPr>
              <w:jc w:val="right"/>
              <w:ind w:right="4"/>
              <w:spacing w:after="0"/>
              <w:rPr>
                <w:sz w:val="20"/>
                <w:szCs w:val="20"/>
                <w:color w:val="auto"/>
              </w:rPr>
            </w:pPr>
            <w:r>
              <w:rPr>
                <w:rFonts w:ascii="Arial" w:cs="Arial" w:eastAsia="Arial" w:hAnsi="Arial"/>
                <w:sz w:val="15"/>
                <w:szCs w:val="15"/>
                <w:color w:val="auto"/>
              </w:rPr>
              <w:t>2,604,882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2,119,330</w:t>
            </w:r>
          </w:p>
        </w:tc>
      </w:tr>
      <w:tr>
        <w:trPr>
          <w:trHeight w:val="203"/>
        </w:trPr>
        <w:tc>
          <w:tcPr>
            <w:tcW w:w="5480" w:type="dxa"/>
            <w:vAlign w:val="bottom"/>
          </w:tcPr>
          <w:p>
            <w:pPr>
              <w:spacing w:after="0"/>
              <w:rPr>
                <w:sz w:val="20"/>
                <w:szCs w:val="20"/>
                <w:color w:val="auto"/>
              </w:rPr>
            </w:pPr>
            <w:r>
              <w:rPr>
                <w:rFonts w:ascii="Arial" w:cs="Arial" w:eastAsia="Arial" w:hAnsi="Arial"/>
                <w:sz w:val="15"/>
                <w:szCs w:val="15"/>
                <w:b w:val="1"/>
                <w:bCs w:val="1"/>
                <w:color w:val="auto"/>
              </w:rPr>
              <w:t>Reconciliation of segment to consolidated totals:</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5480" w:type="dxa"/>
            <w:vAlign w:val="bottom"/>
            <w:shd w:val="clear" w:color="auto" w:fill="CCEEFF"/>
          </w:tcPr>
          <w:p>
            <w:pPr>
              <w:spacing w:after="0" w:line="203" w:lineRule="exact"/>
              <w:rPr>
                <w:sz w:val="20"/>
                <w:szCs w:val="20"/>
                <w:color w:val="auto"/>
              </w:rPr>
            </w:pPr>
            <w:r>
              <w:rPr>
                <w:rFonts w:ascii="Arial" w:cs="Arial" w:eastAsia="Arial" w:hAnsi="Arial"/>
                <w:sz w:val="15"/>
                <w:szCs w:val="15"/>
                <w:color w:val="auto"/>
              </w:rPr>
              <w:t xml:space="preserve">Corporate and other identifiable assets </w:t>
            </w:r>
            <w:r>
              <w:rPr>
                <w:rFonts w:ascii="Arial" w:cs="Arial" w:eastAsia="Arial" w:hAnsi="Arial"/>
                <w:sz w:val="19"/>
                <w:szCs w:val="19"/>
                <w:b w:val="1"/>
                <w:bCs w:val="1"/>
                <w:color w:val="auto"/>
                <w:vertAlign w:val="superscript"/>
              </w:rPr>
              <w:t>(2)</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4"/>
              <w:spacing w:after="0"/>
              <w:rPr>
                <w:sz w:val="20"/>
                <w:szCs w:val="20"/>
                <w:color w:val="auto"/>
              </w:rPr>
            </w:pPr>
            <w:r>
              <w:rPr>
                <w:rFonts w:ascii="Arial" w:cs="Arial" w:eastAsia="Arial" w:hAnsi="Arial"/>
                <w:sz w:val="15"/>
                <w:szCs w:val="15"/>
                <w:color w:val="auto"/>
              </w:rPr>
              <w:t>20,901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404,762</w:t>
            </w:r>
          </w:p>
        </w:tc>
      </w:tr>
      <w:tr>
        <w:trPr>
          <w:trHeight w:val="201"/>
        </w:trPr>
        <w:tc>
          <w:tcPr>
            <w:tcW w:w="5480" w:type="dxa"/>
            <w:vAlign w:val="bottom"/>
          </w:tcPr>
          <w:p>
            <w:pPr>
              <w:spacing w:after="0"/>
              <w:rPr>
                <w:sz w:val="20"/>
                <w:szCs w:val="20"/>
                <w:color w:val="auto"/>
              </w:rPr>
            </w:pPr>
            <w:r>
              <w:rPr>
                <w:rFonts w:ascii="Arial" w:cs="Arial" w:eastAsia="Arial" w:hAnsi="Arial"/>
                <w:sz w:val="15"/>
                <w:szCs w:val="15"/>
                <w:color w:val="auto"/>
              </w:rPr>
              <w:t>Assets of discontinued operations</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124,798</w:t>
            </w:r>
          </w:p>
        </w:tc>
      </w:tr>
      <w:tr>
        <w:trPr>
          <w:trHeight w:val="222"/>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color w:val="auto"/>
              </w:rPr>
              <w:t>444,386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99"/>
              </w:rPr>
              <w:t>308,183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4"/>
            <w:shd w:val="clear" w:color="auto" w:fill="CCEEFF"/>
          </w:tcPr>
          <w:p>
            <w:pPr>
              <w:jc w:val="right"/>
              <w:ind w:right="4"/>
              <w:spacing w:after="0"/>
              <w:rPr>
                <w:sz w:val="20"/>
                <w:szCs w:val="20"/>
                <w:color w:val="auto"/>
              </w:rPr>
            </w:pPr>
            <w:r>
              <w:rPr>
                <w:rFonts w:ascii="Arial" w:cs="Arial" w:eastAsia="Arial" w:hAnsi="Arial"/>
                <w:sz w:val="15"/>
                <w:szCs w:val="15"/>
                <w:color w:val="auto"/>
              </w:rPr>
              <w:t>2,625,783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2,648,890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line="222" w:lineRule="auto"/>
        <w:tabs>
          <w:tab w:leader="none" w:pos="302" w:val="left"/>
        </w:tabs>
        <w:numPr>
          <w:ilvl w:val="0"/>
          <w:numId w:val="87"/>
        </w:numPr>
        <w:rPr>
          <w:rFonts w:ascii="Arial" w:cs="Arial" w:eastAsia="Arial" w:hAnsi="Arial"/>
          <w:sz w:val="23"/>
          <w:szCs w:val="23"/>
          <w:b w:val="1"/>
          <w:bCs w:val="1"/>
          <w:color w:val="auto"/>
          <w:vertAlign w:val="superscript"/>
        </w:rPr>
      </w:pPr>
      <w:r>
        <w:rPr>
          <w:rFonts w:ascii="Arial" w:cs="Arial" w:eastAsia="Arial" w:hAnsi="Arial"/>
          <w:sz w:val="17"/>
          <w:szCs w:val="17"/>
          <w:color w:val="auto"/>
        </w:rPr>
        <w:t>Does not include accounts receivable balances per schedule above or goodwill balances - refer to "</w:t>
      </w:r>
      <w:r>
        <w:rPr>
          <w:rFonts w:ascii="Arial" w:cs="Arial" w:eastAsia="Arial" w:hAnsi="Arial"/>
          <w:sz w:val="17"/>
          <w:szCs w:val="17"/>
          <w:u w:val="single" w:color="auto"/>
          <w:color w:val="0000FF"/>
        </w:rPr>
        <w:t>Note G - Goodwill and Intangible Assets</w:t>
      </w:r>
      <w:r>
        <w:rPr>
          <w:rFonts w:ascii="Arial" w:cs="Arial" w:eastAsia="Arial" w:hAnsi="Arial"/>
          <w:sz w:val="17"/>
          <w:szCs w:val="17"/>
          <w:color w:val="auto"/>
        </w:rPr>
        <w:t>" for a schedule of goodwill by segment.</w:t>
      </w:r>
    </w:p>
    <w:p>
      <w:pPr>
        <w:spacing w:after="0" w:line="113" w:lineRule="exact"/>
        <w:rPr>
          <w:rFonts w:ascii="Arial" w:cs="Arial" w:eastAsia="Arial" w:hAnsi="Arial"/>
          <w:sz w:val="23"/>
          <w:szCs w:val="23"/>
          <w:b w:val="1"/>
          <w:bCs w:val="1"/>
          <w:color w:val="auto"/>
          <w:vertAlign w:val="superscript"/>
        </w:rPr>
      </w:pPr>
    </w:p>
    <w:p>
      <w:pPr>
        <w:ind w:left="380" w:hanging="372"/>
        <w:spacing w:after="0"/>
        <w:tabs>
          <w:tab w:leader="none" w:pos="380" w:val="left"/>
        </w:tabs>
        <w:numPr>
          <w:ilvl w:val="0"/>
          <w:numId w:val="87"/>
        </w:numPr>
        <w:rPr>
          <w:rFonts w:ascii="Arial" w:cs="Arial" w:eastAsia="Arial" w:hAnsi="Arial"/>
          <w:sz w:val="22"/>
          <w:szCs w:val="22"/>
          <w:b w:val="1"/>
          <w:bCs w:val="1"/>
          <w:color w:val="auto"/>
          <w:vertAlign w:val="superscript"/>
        </w:rPr>
      </w:pPr>
      <w:r>
        <w:rPr>
          <w:rFonts w:ascii="Arial" w:cs="Arial" w:eastAsia="Arial" w:hAnsi="Arial"/>
          <w:sz w:val="17"/>
          <w:szCs w:val="17"/>
          <w:color w:val="auto"/>
        </w:rPr>
        <w:t>Corporate assets at December 31, 2023 consists primarily of cash related to the proceeds received from the sale of Marucci in November 2023.</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Revenues are attributable to countries based on the location of customers. Revenue attributable to any individual foreign country was not material in 2024, 2023 or 2022.</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Assets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Several of the Company's operating segments have subsidiaries with assets located outside of the United States. The following table presents identifiable assets by geographic area:</w:t>
      </w:r>
    </w:p>
    <w:p>
      <w:pPr>
        <w:spacing w:after="0" w:line="233" w:lineRule="exact"/>
        <w:rPr>
          <w:sz w:val="20"/>
          <w:szCs w:val="20"/>
          <w:color w:val="auto"/>
        </w:rPr>
      </w:pPr>
    </w:p>
    <w:tbl>
      <w:tblPr>
        <w:tblLayout w:type="fixed"/>
        <w:tblInd w:w="1600" w:type="dxa"/>
        <w:tblCellMar>
          <w:top w:w="0" w:type="dxa"/>
          <w:left w:w="0" w:type="dxa"/>
          <w:bottom w:w="0" w:type="dxa"/>
          <w:right w:w="0" w:type="dxa"/>
        </w:tblCellMar>
      </w:tblPr>
      <w:tr>
        <w:trPr>
          <w:trHeight w:val="20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Identifiable Assets</w:t>
            </w: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1060" w:type="dxa"/>
            <w:vAlign w:val="bottom"/>
            <w:tcBorders>
              <w:bottom w:val="single" w:sz="8" w:color="auto"/>
            </w:tcBorders>
          </w:tcPr>
          <w:p>
            <w:pPr>
              <w:spacing w:after="0"/>
              <w:rPr>
                <w:sz w:val="18"/>
                <w:szCs w:val="18"/>
                <w:color w:val="auto"/>
              </w:rPr>
            </w:pPr>
          </w:p>
        </w:tc>
      </w:tr>
      <w:tr>
        <w:trPr>
          <w:trHeight w:val="196"/>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line="195" w:lineRule="exact"/>
              <w:rPr>
                <w:sz w:val="20"/>
                <w:szCs w:val="20"/>
                <w:color w:val="auto"/>
              </w:rPr>
            </w:pPr>
            <w:r>
              <w:rPr>
                <w:rFonts w:ascii="Arial" w:cs="Arial" w:eastAsia="Arial" w:hAnsi="Arial"/>
                <w:sz w:val="15"/>
                <w:szCs w:val="15"/>
                <w:b w:val="1"/>
                <w:bCs w:val="1"/>
                <w:color w:val="auto"/>
                <w:w w:val="97"/>
              </w:rPr>
              <w:t>2023</w:t>
            </w:r>
            <w:r>
              <w:rPr>
                <w:rFonts w:ascii="Arial" w:cs="Arial" w:eastAsia="Arial" w:hAnsi="Arial"/>
                <w:sz w:val="22"/>
                <w:szCs w:val="22"/>
                <w:b w:val="1"/>
                <w:bCs w:val="1"/>
                <w:color w:val="auto"/>
                <w:w w:val="97"/>
                <w:vertAlign w:val="superscript"/>
              </w:rPr>
              <w:t>(1)</w:t>
            </w:r>
          </w:p>
        </w:tc>
      </w:tr>
      <w:tr>
        <w:trPr>
          <w:trHeight w:val="196"/>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2,522,586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2,432,343</w:t>
            </w:r>
          </w:p>
        </w:tc>
      </w:tr>
      <w:tr>
        <w:trPr>
          <w:trHeight w:val="201"/>
        </w:trPr>
        <w:tc>
          <w:tcPr>
            <w:tcW w:w="4840" w:type="dxa"/>
            <w:vAlign w:val="bottom"/>
          </w:tcPr>
          <w:p>
            <w:pPr>
              <w:ind w:left="20"/>
              <w:spacing w:after="0"/>
              <w:rPr>
                <w:sz w:val="20"/>
                <w:szCs w:val="20"/>
                <w:color w:val="auto"/>
              </w:rPr>
            </w:pPr>
            <w:r>
              <w:rPr>
                <w:rFonts w:ascii="Arial" w:cs="Arial" w:eastAsia="Arial" w:hAnsi="Arial"/>
                <w:sz w:val="15"/>
                <w:szCs w:val="15"/>
                <w:color w:val="auto"/>
              </w:rPr>
              <w:t>Europe</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64,046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58,270</w:t>
            </w: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international</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39,150</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33,038</w:t>
            </w:r>
          </w:p>
        </w:tc>
      </w:tr>
      <w:tr>
        <w:trPr>
          <w:trHeight w:val="197"/>
        </w:trPr>
        <w:tc>
          <w:tcPr>
            <w:tcW w:w="4840" w:type="dxa"/>
            <w:vAlign w:val="bottom"/>
          </w:tcPr>
          <w:p>
            <w:pPr>
              <w:ind w:left="280"/>
              <w:spacing w:after="0"/>
              <w:rPr>
                <w:sz w:val="20"/>
                <w:szCs w:val="20"/>
                <w:color w:val="auto"/>
              </w:rPr>
            </w:pPr>
            <w:r>
              <w:rPr>
                <w:rFonts w:ascii="Arial" w:cs="Arial" w:eastAsia="Arial" w:hAnsi="Arial"/>
                <w:sz w:val="15"/>
                <w:szCs w:val="15"/>
                <w:color w:val="auto"/>
              </w:rPr>
              <w:t>Total identifiable assets</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2,625,782</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2,523,651</w:t>
            </w:r>
          </w:p>
        </w:tc>
      </w:tr>
      <w:tr>
        <w:trPr>
          <w:trHeight w:val="21"/>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840" w:hanging="184"/>
        <w:spacing w:after="0"/>
        <w:tabs>
          <w:tab w:leader="none" w:pos="840" w:val="left"/>
        </w:tabs>
        <w:numPr>
          <w:ilvl w:val="0"/>
          <w:numId w:val="88"/>
        </w:numPr>
        <w:rPr>
          <w:rFonts w:ascii="Arial" w:cs="Arial" w:eastAsia="Arial" w:hAnsi="Arial"/>
          <w:sz w:val="22"/>
          <w:szCs w:val="22"/>
          <w:b w:val="1"/>
          <w:bCs w:val="1"/>
          <w:color w:val="auto"/>
          <w:vertAlign w:val="superscript"/>
        </w:rPr>
      </w:pPr>
      <w:r>
        <w:rPr>
          <w:rFonts w:ascii="Arial" w:cs="Arial" w:eastAsia="Arial" w:hAnsi="Arial"/>
          <w:sz w:val="17"/>
          <w:szCs w:val="17"/>
          <w:color w:val="auto"/>
        </w:rPr>
        <w:t>Does not include assets of discontinued operations for the year ended December 31, 2023.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Unaudited Quarterly Financial Data</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the unaudited quarterly financial data. This information has been prepared on a basis consistent with that of the audited consolidated financial statements and all necessary material adjustments, consisting of normal recurring accruals and adjustments, have been included to present fairly the unaudited quarterly financial data. The quarterly results of operations for these periods are not necessarily indicative of future results of operations. Typically, the first quarter of each fiscal year has the lower results than the remainder of the year, representing the Company's weakest quarter due to seasonality at our businesses. The per share calculations for each of the quarters are based on the weighted average number of shares for each period using the two class method, which requires companies to allocate participating securities that have rights to earnings that otherwise would have been available only to common shareholders as a separate class of securities in calculating earnings per share; therefore, the sum of the quarters will not equal to the full year per share amount.</w:t>
      </w:r>
    </w:p>
    <w:p>
      <w:pPr>
        <w:spacing w:after="0" w:line="49"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472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64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2024</w:t>
            </w:r>
          </w:p>
        </w:tc>
        <w:tc>
          <w:tcPr>
            <w:tcW w:w="162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2024</w:t>
            </w:r>
          </w:p>
        </w:tc>
        <w:tc>
          <w:tcPr>
            <w:tcW w:w="1260" w:type="dxa"/>
            <w:vAlign w:val="bottom"/>
            <w:gridSpan w:val="3"/>
          </w:tcPr>
          <w:p>
            <w:pPr>
              <w:ind w:left="80"/>
              <w:spacing w:after="0"/>
              <w:rPr>
                <w:sz w:val="20"/>
                <w:szCs w:val="20"/>
                <w:color w:val="auto"/>
              </w:rPr>
            </w:pPr>
            <w:r>
              <w:rPr>
                <w:rFonts w:ascii="Arial" w:cs="Arial" w:eastAsia="Arial" w:hAnsi="Arial"/>
                <w:sz w:val="15"/>
                <w:szCs w:val="15"/>
                <w:b w:val="1"/>
                <w:bCs w:val="1"/>
                <w:color w:val="auto"/>
              </w:rPr>
              <w:t>June 30, 2024</w:t>
            </w:r>
          </w:p>
        </w:tc>
        <w:tc>
          <w:tcPr>
            <w:tcW w:w="1420" w:type="dxa"/>
            <w:vAlign w:val="bottom"/>
            <w:gridSpan w:val="2"/>
          </w:tcPr>
          <w:p>
            <w:pPr>
              <w:jc w:val="right"/>
              <w:ind w:right="6"/>
              <w:spacing w:after="0"/>
              <w:rPr>
                <w:sz w:val="20"/>
                <w:szCs w:val="20"/>
                <w:color w:val="auto"/>
              </w:rPr>
            </w:pPr>
            <w:r>
              <w:rPr>
                <w:rFonts w:ascii="Arial" w:cs="Arial" w:eastAsia="Arial" w:hAnsi="Arial"/>
                <w:sz w:val="15"/>
                <w:szCs w:val="15"/>
                <w:b w:val="1"/>
                <w:bCs w:val="1"/>
                <w:color w:val="auto"/>
              </w:rPr>
              <w:t xml:space="preserve">March 31, 2024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155"/>
        </w:trPr>
        <w:tc>
          <w:tcPr>
            <w:tcW w:w="4720" w:type="dxa"/>
            <w:vAlign w:val="bottom"/>
            <w:tcBorders>
              <w:bottom w:val="single" w:sz="8" w:color="CCEEFF"/>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46"/>
              <w:spacing w:after="0"/>
              <w:rPr>
                <w:sz w:val="20"/>
                <w:szCs w:val="20"/>
                <w:color w:val="auto"/>
              </w:rPr>
            </w:pPr>
            <w:r>
              <w:rPr>
                <w:rFonts w:ascii="Arial" w:cs="Arial" w:eastAsia="Arial" w:hAnsi="Arial"/>
                <w:sz w:val="10"/>
                <w:szCs w:val="10"/>
                <w:b w:val="1"/>
                <w:bCs w:val="1"/>
                <w:color w:val="auto"/>
              </w:rPr>
              <w:t>(4)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26"/>
              <w:spacing w:after="0"/>
              <w:rPr>
                <w:sz w:val="20"/>
                <w:szCs w:val="20"/>
                <w:color w:val="auto"/>
              </w:rPr>
            </w:pPr>
            <w:r>
              <w:rPr>
                <w:rFonts w:ascii="Arial" w:cs="Arial" w:eastAsia="Arial" w:hAnsi="Arial"/>
                <w:sz w:val="10"/>
                <w:szCs w:val="10"/>
                <w:b w:val="1"/>
                <w:bCs w:val="1"/>
                <w:color w:val="auto"/>
              </w:rPr>
              <w:t>(3)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46"/>
              <w:spacing w:after="0"/>
              <w:rPr>
                <w:sz w:val="20"/>
                <w:szCs w:val="20"/>
                <w:color w:val="auto"/>
              </w:rPr>
            </w:pPr>
            <w:r>
              <w:rPr>
                <w:rFonts w:ascii="Arial" w:cs="Arial" w:eastAsia="Arial" w:hAnsi="Arial"/>
                <w:sz w:val="10"/>
                <w:szCs w:val="10"/>
                <w:b w:val="1"/>
                <w:bCs w:val="1"/>
                <w:color w:val="auto"/>
              </w:rPr>
              <w:t>(3)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Total revenues</w:t>
            </w: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620,255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560,868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514,038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503,072</w:t>
            </w:r>
          </w:p>
        </w:tc>
        <w:tc>
          <w:tcPr>
            <w:tcW w:w="0" w:type="dxa"/>
            <w:vAlign w:val="bottom"/>
          </w:tcPr>
          <w:p>
            <w:pPr>
              <w:spacing w:after="0"/>
              <w:rPr>
                <w:sz w:val="1"/>
                <w:szCs w:val="1"/>
                <w:color w:val="auto"/>
              </w:rPr>
            </w:pPr>
          </w:p>
        </w:tc>
      </w:tr>
      <w:tr>
        <w:trPr>
          <w:trHeight w:val="201"/>
        </w:trPr>
        <w:tc>
          <w:tcPr>
            <w:tcW w:w="4720" w:type="dxa"/>
            <w:vAlign w:val="bottom"/>
          </w:tcPr>
          <w:p>
            <w:pPr>
              <w:spacing w:after="0"/>
              <w:rPr>
                <w:sz w:val="20"/>
                <w:szCs w:val="20"/>
                <w:color w:val="auto"/>
              </w:rPr>
            </w:pPr>
            <w:r>
              <w:rPr>
                <w:rFonts w:ascii="Arial" w:cs="Arial" w:eastAsia="Arial" w:hAnsi="Arial"/>
                <w:sz w:val="15"/>
                <w:szCs w:val="15"/>
                <w:color w:val="auto"/>
              </w:rPr>
              <w:t>Gross profit</w:t>
            </w:r>
          </w:p>
        </w:tc>
        <w:tc>
          <w:tcPr>
            <w:tcW w:w="400" w:type="dxa"/>
            <w:vAlign w:val="bottom"/>
          </w:tcPr>
          <w:p>
            <w:pPr>
              <w:spacing w:after="0"/>
              <w:rPr>
                <w:sz w:val="17"/>
                <w:szCs w:val="17"/>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271,017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260,753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240,721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227,869</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60,573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71,203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58,781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39,574</w:t>
            </w:r>
          </w:p>
        </w:tc>
        <w:tc>
          <w:tcPr>
            <w:tcW w:w="0" w:type="dxa"/>
            <w:vAlign w:val="bottom"/>
          </w:tcPr>
          <w:p>
            <w:pPr>
              <w:spacing w:after="0"/>
              <w:rPr>
                <w:sz w:val="1"/>
                <w:szCs w:val="1"/>
                <w:color w:val="auto"/>
              </w:rPr>
            </w:pPr>
          </w:p>
        </w:tc>
      </w:tr>
      <w:tr>
        <w:trPr>
          <w:trHeight w:val="201"/>
        </w:trPr>
        <w:tc>
          <w:tcPr>
            <w:tcW w:w="4720" w:type="dxa"/>
            <w:vAlign w:val="bottom"/>
          </w:tcPr>
          <w:p>
            <w:pPr>
              <w:spacing w:after="0"/>
              <w:rPr>
                <w:sz w:val="20"/>
                <w:szCs w:val="20"/>
                <w:color w:val="auto"/>
              </w:rPr>
            </w:pPr>
            <w:r>
              <w:rPr>
                <w:rFonts w:ascii="Arial" w:cs="Arial" w:eastAsia="Arial" w:hAnsi="Arial"/>
                <w:sz w:val="15"/>
                <w:szCs w:val="15"/>
                <w:color w:val="auto"/>
              </w:rPr>
              <w:t>Income (loss) from continuing operations</w:t>
            </w:r>
          </w:p>
        </w:tc>
        <w:tc>
          <w:tcPr>
            <w:tcW w:w="400" w:type="dxa"/>
            <w:vAlign w:val="bottom"/>
          </w:tcPr>
          <w:p>
            <w:pPr>
              <w:spacing w:after="0"/>
              <w:rPr>
                <w:sz w:val="17"/>
                <w:szCs w:val="17"/>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8,594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22,560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(20,636)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(5,646)</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Income (loss) from discontinued operations</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1,107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w:t>
            </w:r>
          </w:p>
        </w:tc>
        <w:tc>
          <w:tcPr>
            <w:tcW w:w="0" w:type="dxa"/>
            <w:vAlign w:val="bottom"/>
          </w:tcPr>
          <w:p>
            <w:pPr>
              <w:spacing w:after="0"/>
              <w:rPr>
                <w:sz w:val="1"/>
                <w:szCs w:val="1"/>
                <w:color w:val="auto"/>
              </w:rPr>
            </w:pPr>
          </w:p>
        </w:tc>
      </w:tr>
      <w:tr>
        <w:trPr>
          <w:trHeight w:val="201"/>
        </w:trPr>
        <w:tc>
          <w:tcPr>
            <w:tcW w:w="4720" w:type="dxa"/>
            <w:vAlign w:val="bottom"/>
          </w:tcPr>
          <w:p>
            <w:pPr>
              <w:spacing w:after="0"/>
              <w:rPr>
                <w:sz w:val="20"/>
                <w:szCs w:val="20"/>
                <w:color w:val="auto"/>
              </w:rPr>
            </w:pPr>
            <w:r>
              <w:rPr>
                <w:rFonts w:ascii="Arial" w:cs="Arial" w:eastAsia="Arial" w:hAnsi="Arial"/>
                <w:sz w:val="15"/>
                <w:szCs w:val="15"/>
                <w:color w:val="auto"/>
              </w:rPr>
              <w:t>Gain on sale of discontinued operations, net of tax</w:t>
            </w:r>
          </w:p>
        </w:tc>
        <w:tc>
          <w:tcPr>
            <w:tcW w:w="400" w:type="dxa"/>
            <w:vAlign w:val="bottom"/>
          </w:tcPr>
          <w:p>
            <w:pPr>
              <w:spacing w:after="0"/>
              <w:rPr>
                <w:sz w:val="17"/>
                <w:szCs w:val="17"/>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8,612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3,345</w:t>
            </w:r>
          </w:p>
        </w:tc>
        <w:tc>
          <w:tcPr>
            <w:tcW w:w="0" w:type="dxa"/>
            <w:vAlign w:val="bottom"/>
          </w:tcPr>
          <w:p>
            <w:pPr>
              <w:spacing w:after="0"/>
              <w:rPr>
                <w:sz w:val="1"/>
                <w:szCs w:val="1"/>
                <w:color w:val="auto"/>
              </w:rPr>
            </w:pPr>
          </w:p>
        </w:tc>
      </w:tr>
      <w:tr>
        <w:trPr>
          <w:trHeight w:val="197"/>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(loss) attributable to Holdings</w:t>
            </w: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11,921</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22,064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(19,529)</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(1,648)</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Basic and fully diluted income (loss) per share attributable to</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Holdings: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720" w:type="dxa"/>
            <w:vAlign w:val="bottom"/>
          </w:tcPr>
          <w:p>
            <w:pPr>
              <w:ind w:left="80"/>
              <w:spacing w:after="0"/>
              <w:rPr>
                <w:sz w:val="20"/>
                <w:szCs w:val="20"/>
                <w:color w:val="auto"/>
              </w:rPr>
            </w:pPr>
            <w:r>
              <w:rPr>
                <w:rFonts w:ascii="Arial" w:cs="Arial" w:eastAsia="Arial" w:hAnsi="Arial"/>
                <w:sz w:val="15"/>
                <w:szCs w:val="15"/>
                <w:color w:val="auto"/>
              </w:rPr>
              <w:t>Continuing operations</w:t>
            </w: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(0.10)</w:t>
            </w:r>
          </w:p>
        </w:tc>
        <w:tc>
          <w:tcPr>
            <w:tcW w:w="100" w:type="dxa"/>
            <w:vAlign w:val="bottom"/>
          </w:tcPr>
          <w:p>
            <w:pPr>
              <w:spacing w:after="0"/>
              <w:rPr>
                <w:sz w:val="17"/>
                <w:szCs w:val="17"/>
                <w:color w:val="auto"/>
              </w:rPr>
            </w:pP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0.09</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(0.46)</w:t>
            </w:r>
          </w:p>
        </w:tc>
        <w:tc>
          <w:tcPr>
            <w:tcW w:w="10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(0.90)</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Discontinued operations</w:t>
            </w: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0.04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0.01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128"/>
        </w:trPr>
        <w:tc>
          <w:tcPr>
            <w:tcW w:w="4720" w:type="dxa"/>
            <w:vAlign w:val="bottom"/>
          </w:tcPr>
          <w:p>
            <w:pPr>
              <w:spacing w:after="0" w:line="129" w:lineRule="exact"/>
              <w:rPr>
                <w:sz w:val="20"/>
                <w:szCs w:val="20"/>
                <w:color w:val="auto"/>
              </w:rPr>
            </w:pPr>
            <w:r>
              <w:rPr>
                <w:rFonts w:ascii="Arial" w:cs="Arial" w:eastAsia="Arial" w:hAnsi="Arial"/>
                <w:sz w:val="14"/>
                <w:szCs w:val="14"/>
                <w:color w:val="auto"/>
              </w:rPr>
              <w:t>Basic and fully diluted income (loss) per share attributable to</w:t>
            </w:r>
          </w:p>
        </w:tc>
        <w:tc>
          <w:tcPr>
            <w:tcW w:w="400" w:type="dxa"/>
            <w:vAlign w:val="bottom"/>
            <w:vMerge w:val="restart"/>
          </w:tcPr>
          <w:p>
            <w:pPr>
              <w:jc w:val="right"/>
              <w:ind w:right="224"/>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(0.06)</w:t>
            </w:r>
          </w:p>
        </w:tc>
        <w:tc>
          <w:tcPr>
            <w:tcW w:w="100" w:type="dxa"/>
            <w:vAlign w:val="bottom"/>
          </w:tcPr>
          <w:p>
            <w:pPr>
              <w:spacing w:after="0"/>
              <w:rPr>
                <w:sz w:val="11"/>
                <w:szCs w:val="11"/>
                <w:color w:val="auto"/>
              </w:rPr>
            </w:pPr>
          </w:p>
        </w:tc>
        <w:tc>
          <w:tcPr>
            <w:tcW w:w="400" w:type="dxa"/>
            <w:vAlign w:val="bottom"/>
            <w:vMerge w:val="restart"/>
          </w:tcPr>
          <w:p>
            <w:pPr>
              <w:jc w:val="right"/>
              <w:ind w:right="224"/>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ind w:right="6"/>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1"/>
                <w:szCs w:val="11"/>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5"/>
                <w:szCs w:val="15"/>
                <w:color w:val="auto"/>
                <w:w w:val="95"/>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(0.45)</w:t>
            </w:r>
          </w:p>
        </w:tc>
        <w:tc>
          <w:tcPr>
            <w:tcW w:w="100" w:type="dxa"/>
            <w:vAlign w:val="bottom"/>
          </w:tcPr>
          <w:p>
            <w:pPr>
              <w:spacing w:after="0"/>
              <w:rPr>
                <w:sz w:val="11"/>
                <w:szCs w:val="11"/>
                <w:color w:val="auto"/>
              </w:rPr>
            </w:pPr>
          </w:p>
        </w:tc>
        <w:tc>
          <w:tcPr>
            <w:tcW w:w="380" w:type="dxa"/>
            <w:vAlign w:val="bottom"/>
            <w:vMerge w:val="restart"/>
          </w:tcPr>
          <w:p>
            <w:pPr>
              <w:jc w:val="right"/>
              <w:ind w:right="204"/>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(0.85)</w:t>
            </w:r>
          </w:p>
        </w:tc>
        <w:tc>
          <w:tcPr>
            <w:tcW w:w="0" w:type="dxa"/>
            <w:vAlign w:val="bottom"/>
          </w:tcPr>
          <w:p>
            <w:pPr>
              <w:spacing w:after="0"/>
              <w:rPr>
                <w:sz w:val="1"/>
                <w:szCs w:val="1"/>
                <w:color w:val="auto"/>
              </w:rPr>
            </w:pPr>
          </w:p>
        </w:tc>
      </w:tr>
      <w:tr>
        <w:trPr>
          <w:trHeight w:val="194"/>
        </w:trPr>
        <w:tc>
          <w:tcPr>
            <w:tcW w:w="4720" w:type="dxa"/>
            <w:vAlign w:val="bottom"/>
          </w:tcPr>
          <w:p>
            <w:pPr>
              <w:spacing w:after="0"/>
              <w:rPr>
                <w:sz w:val="20"/>
                <w:szCs w:val="20"/>
                <w:color w:val="auto"/>
              </w:rPr>
            </w:pPr>
            <w:r>
              <w:rPr>
                <w:rFonts w:ascii="Arial" w:cs="Arial" w:eastAsia="Arial" w:hAnsi="Arial"/>
                <w:sz w:val="15"/>
                <w:szCs w:val="15"/>
                <w:color w:val="auto"/>
              </w:rPr>
              <w:t>Holdings</w:t>
            </w:r>
          </w:p>
        </w:tc>
        <w:tc>
          <w:tcPr>
            <w:tcW w:w="4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260" w:hanging="252"/>
        <w:spacing w:after="0" w:line="230" w:lineRule="auto"/>
        <w:tabs>
          <w:tab w:leader="none" w:pos="218" w:val="left"/>
        </w:tabs>
        <w:numPr>
          <w:ilvl w:val="0"/>
          <w:numId w:val="89"/>
        </w:numPr>
        <w:rPr>
          <w:rFonts w:ascii="Arial" w:cs="Arial" w:eastAsia="Arial" w:hAnsi="Arial"/>
          <w:sz w:val="23"/>
          <w:szCs w:val="23"/>
          <w:b w:val="1"/>
          <w:bCs w:val="1"/>
          <w:color w:val="auto"/>
          <w:vertAlign w:val="superscript"/>
        </w:rPr>
      </w:pPr>
      <w:r>
        <w:rPr>
          <w:rFonts w:ascii="Arial" w:cs="Arial" w:eastAsia="Arial" w:hAnsi="Arial"/>
          <w:sz w:val="16"/>
          <w:szCs w:val="16"/>
          <w:color w:val="auto"/>
        </w:rPr>
        <w:t>The Company sold its Marucci operating segment in the fourth quarter of 2023. In the first quarter of 2024, the LLC received a net working capital settlement of approximately $3.3 million related to Marucci, which was recognized as an additional gain on sale of discontinued operations, net of taxes. All prior periods are presented as discontinued operations.</w:t>
      </w:r>
    </w:p>
    <w:p>
      <w:pPr>
        <w:spacing w:after="0" w:line="82" w:lineRule="exact"/>
        <w:rPr>
          <w:rFonts w:ascii="Arial" w:cs="Arial" w:eastAsia="Arial" w:hAnsi="Arial"/>
          <w:sz w:val="23"/>
          <w:szCs w:val="23"/>
          <w:b w:val="1"/>
          <w:bCs w:val="1"/>
          <w:color w:val="auto"/>
          <w:vertAlign w:val="superscript"/>
        </w:rPr>
      </w:pPr>
    </w:p>
    <w:p>
      <w:pPr>
        <w:ind w:left="260" w:hanging="252"/>
        <w:spacing w:after="0" w:line="235" w:lineRule="auto"/>
        <w:tabs>
          <w:tab w:leader="none" w:pos="374" w:val="left"/>
        </w:tabs>
        <w:numPr>
          <w:ilvl w:val="0"/>
          <w:numId w:val="89"/>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Company recorded goodwill impairment of $8.2 million in the first quarter of 2024. Refer to "</w:t>
      </w:r>
      <w:r>
        <w:rPr>
          <w:rFonts w:ascii="Arial" w:cs="Arial" w:eastAsia="Arial" w:hAnsi="Arial"/>
          <w:sz w:val="16"/>
          <w:szCs w:val="16"/>
          <w:u w:val="single" w:color="auto"/>
          <w:color w:val="0000FF"/>
        </w:rPr>
        <w:t>Note G - Goodwill and Intangible Assets</w:t>
      </w:r>
      <w:r>
        <w:rPr>
          <w:rFonts w:ascii="Arial" w:cs="Arial" w:eastAsia="Arial" w:hAnsi="Arial"/>
          <w:sz w:val="16"/>
          <w:szCs w:val="16"/>
          <w:color w:val="auto"/>
        </w:rPr>
        <w:t>" for further description.</w:t>
      </w:r>
    </w:p>
    <w:p>
      <w:pPr>
        <w:spacing w:after="0" w:line="82" w:lineRule="exact"/>
        <w:rPr>
          <w:rFonts w:ascii="Arial" w:cs="Arial" w:eastAsia="Arial" w:hAnsi="Arial"/>
          <w:sz w:val="21"/>
          <w:szCs w:val="21"/>
          <w:b w:val="1"/>
          <w:bCs w:val="1"/>
          <w:color w:val="auto"/>
          <w:vertAlign w:val="superscript"/>
        </w:rPr>
      </w:pPr>
    </w:p>
    <w:p>
      <w:pPr>
        <w:ind w:left="260" w:right="20" w:hanging="252"/>
        <w:spacing w:after="0" w:line="235" w:lineRule="auto"/>
        <w:tabs>
          <w:tab w:leader="none" w:pos="332" w:val="left"/>
        </w:tabs>
        <w:numPr>
          <w:ilvl w:val="0"/>
          <w:numId w:val="89"/>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Company recorded a loss of $24.6 million on the sale of Crosman in the second quarter of 2024, and a gain of $0.4 million in the third quarter of 2024 related to the working capital settlement.</w:t>
      </w:r>
    </w:p>
    <w:p>
      <w:pPr>
        <w:spacing w:after="0" w:line="82" w:lineRule="exact"/>
        <w:rPr>
          <w:rFonts w:ascii="Arial" w:cs="Arial" w:eastAsia="Arial" w:hAnsi="Arial"/>
          <w:sz w:val="21"/>
          <w:szCs w:val="21"/>
          <w:b w:val="1"/>
          <w:bCs w:val="1"/>
          <w:color w:val="auto"/>
          <w:vertAlign w:val="superscript"/>
        </w:rPr>
      </w:pPr>
    </w:p>
    <w:p>
      <w:pPr>
        <w:ind w:left="260" w:hanging="252"/>
        <w:spacing w:after="0" w:line="241" w:lineRule="auto"/>
        <w:tabs>
          <w:tab w:leader="none" w:pos="175" w:val="left"/>
        </w:tabs>
        <w:numPr>
          <w:ilvl w:val="0"/>
          <w:numId w:val="89"/>
        </w:numPr>
        <w:rPr>
          <w:rFonts w:ascii="Arial" w:cs="Arial" w:eastAsia="Arial" w:hAnsi="Arial"/>
          <w:sz w:val="20"/>
          <w:szCs w:val="20"/>
          <w:b w:val="1"/>
          <w:bCs w:val="1"/>
          <w:color w:val="auto"/>
          <w:vertAlign w:val="superscript"/>
        </w:rPr>
      </w:pPr>
      <w:r>
        <w:rPr>
          <w:rFonts w:ascii="Arial" w:cs="Arial" w:eastAsia="Arial" w:hAnsi="Arial"/>
          <w:sz w:val="15"/>
          <w:szCs w:val="15"/>
          <w:color w:val="auto"/>
        </w:rPr>
        <w:t>The Company sold its Ergo operating segment in the fourth quarter of 2024, recording a pre-tax gain on sale of $6.1 million. All prior periods are presented as discontinued operations.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64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2023</w:t>
            </w:r>
          </w:p>
        </w:tc>
        <w:tc>
          <w:tcPr>
            <w:tcW w:w="162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2023</w:t>
            </w:r>
          </w:p>
        </w:tc>
        <w:tc>
          <w:tcPr>
            <w:tcW w:w="136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 xml:space="preserve">June 30, 2023 </w:t>
            </w:r>
            <w:r>
              <w:rPr>
                <w:rFonts w:ascii="Arial" w:cs="Arial" w:eastAsia="Arial" w:hAnsi="Arial"/>
                <w:sz w:val="19"/>
                <w:szCs w:val="19"/>
                <w:b w:val="1"/>
                <w:bCs w:val="1"/>
                <w:color w:val="auto"/>
                <w:vertAlign w:val="superscript"/>
              </w:rPr>
              <w:t>(1)</w:t>
            </w:r>
          </w:p>
        </w:tc>
        <w:tc>
          <w:tcPr>
            <w:tcW w:w="142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 xml:space="preserve">March 31, 2023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162"/>
        </w:trPr>
        <w:tc>
          <w:tcPr>
            <w:tcW w:w="47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Arial" w:cs="Arial" w:eastAsia="Arial" w:hAnsi="Arial"/>
                <w:sz w:val="10"/>
                <w:szCs w:val="10"/>
                <w:b w:val="1"/>
                <w:bCs w:val="1"/>
                <w:color w:val="auto"/>
              </w:rPr>
              <w:t>(1) (2) (3)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46"/>
              <w:spacing w:after="0"/>
              <w:rPr>
                <w:sz w:val="20"/>
                <w:szCs w:val="20"/>
                <w:color w:val="auto"/>
              </w:rPr>
            </w:pPr>
            <w:r>
              <w:rPr>
                <w:rFonts w:ascii="Arial" w:cs="Arial" w:eastAsia="Arial" w:hAnsi="Arial"/>
                <w:sz w:val="10"/>
                <w:szCs w:val="10"/>
                <w:b w:val="1"/>
                <w:bCs w:val="1"/>
                <w:color w:val="auto"/>
              </w:rPr>
              <w:t>(1) (2)</w:t>
            </w:r>
          </w:p>
        </w:tc>
        <w:tc>
          <w:tcPr>
            <w:tcW w:w="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544,915</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497,847</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460,740</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461,515</w:t>
            </w:r>
          </w:p>
        </w:tc>
        <w:tc>
          <w:tcPr>
            <w:tcW w:w="0" w:type="dxa"/>
            <w:vAlign w:val="bottom"/>
          </w:tcPr>
          <w:p>
            <w:pPr>
              <w:spacing w:after="0"/>
              <w:rPr>
                <w:sz w:val="1"/>
                <w:szCs w:val="1"/>
                <w:color w:val="auto"/>
              </w:rPr>
            </w:pPr>
          </w:p>
        </w:tc>
      </w:tr>
      <w:tr>
        <w:trPr>
          <w:trHeight w:val="201"/>
        </w:trPr>
        <w:tc>
          <w:tcPr>
            <w:tcW w:w="476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231,943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210,274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199,837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190,949</w:t>
            </w: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16,085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39,587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34,169</w:t>
            </w:r>
          </w:p>
        </w:tc>
        <w:tc>
          <w:tcPr>
            <w:tcW w:w="0" w:type="dxa"/>
            <w:vAlign w:val="bottom"/>
          </w:tcPr>
          <w:p>
            <w:pPr>
              <w:spacing w:after="0"/>
              <w:rPr>
                <w:sz w:val="1"/>
                <w:szCs w:val="1"/>
                <w:color w:val="auto"/>
              </w:rPr>
            </w:pPr>
          </w:p>
        </w:tc>
      </w:tr>
      <w:tr>
        <w:trPr>
          <w:trHeight w:val="201"/>
        </w:trPr>
        <w:tc>
          <w:tcPr>
            <w:tcW w:w="4760" w:type="dxa"/>
            <w:vAlign w:val="bottom"/>
          </w:tcPr>
          <w:p>
            <w:pPr>
              <w:ind w:left="20"/>
              <w:spacing w:after="0"/>
              <w:rPr>
                <w:sz w:val="20"/>
                <w:szCs w:val="20"/>
                <w:color w:val="auto"/>
              </w:rPr>
            </w:pPr>
            <w:r>
              <w:rPr>
                <w:rFonts w:ascii="Arial" w:cs="Arial" w:eastAsia="Arial" w:hAnsi="Arial"/>
                <w:sz w:val="15"/>
                <w:szCs w:val="15"/>
                <w:color w:val="auto"/>
              </w:rPr>
              <w:t>Income (loss) from continuing operations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(39,891)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(21,661)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4,026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(3,725)</w:t>
            </w: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discontinued operations</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10,233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11,133</w:t>
            </w:r>
          </w:p>
        </w:tc>
        <w:tc>
          <w:tcPr>
            <w:tcW w:w="0" w:type="dxa"/>
            <w:vAlign w:val="bottom"/>
          </w:tcPr>
          <w:p>
            <w:pPr>
              <w:spacing w:after="0"/>
              <w:rPr>
                <w:sz w:val="1"/>
                <w:szCs w:val="1"/>
                <w:color w:val="auto"/>
              </w:rPr>
            </w:pPr>
          </w:p>
        </w:tc>
      </w:tr>
      <w:tr>
        <w:trPr>
          <w:trHeight w:val="201"/>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Gain on sale of discontinued operations, net of tax</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179,530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97,989</w:t>
            </w: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Holdings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137,437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13,606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105,397</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476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Basic and fully diluted income (loss) per share attributable to</w:t>
            </w: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Holdings: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760" w:type="dxa"/>
            <w:vAlign w:val="bottom"/>
          </w:tcPr>
          <w:p>
            <w:pPr>
              <w:ind w:left="120"/>
              <w:spacing w:after="0"/>
              <w:rPr>
                <w:sz w:val="20"/>
                <w:szCs w:val="20"/>
                <w:color w:val="auto"/>
              </w:rPr>
            </w:pPr>
            <w:r>
              <w:rPr>
                <w:rFonts w:ascii="Arial" w:cs="Arial" w:eastAsia="Arial" w:hAnsi="Arial"/>
                <w:sz w:val="15"/>
                <w:szCs w:val="15"/>
                <w:color w:val="auto"/>
              </w:rPr>
              <w:t>Continuing operations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(0.75)</w:t>
            </w:r>
          </w:p>
        </w:tc>
        <w:tc>
          <w:tcPr>
            <w:tcW w:w="12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(0.48)</w:t>
            </w:r>
          </w:p>
        </w:tc>
        <w:tc>
          <w:tcPr>
            <w:tcW w:w="12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(0.47)</w:t>
            </w:r>
          </w:p>
        </w:tc>
        <w:tc>
          <w:tcPr>
            <w:tcW w:w="120" w:type="dxa"/>
            <w:vAlign w:val="bottom"/>
          </w:tcPr>
          <w:p>
            <w:pPr>
              <w:spacing w:after="0"/>
              <w:rPr>
                <w:sz w:val="17"/>
                <w:szCs w:val="17"/>
                <w:color w:val="auto"/>
              </w:rPr>
            </w:pPr>
          </w:p>
        </w:tc>
        <w:tc>
          <w:tcPr>
            <w:tcW w:w="460" w:type="dxa"/>
            <w:vAlign w:val="bottom"/>
          </w:tcPr>
          <w:p>
            <w:pPr>
              <w:jc w:val="right"/>
              <w:ind w:right="28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Discontinued operations</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29"/>
        </w:trPr>
        <w:tc>
          <w:tcPr>
            <w:tcW w:w="4760" w:type="dxa"/>
            <w:vAlign w:val="bottom"/>
          </w:tcPr>
          <w:p>
            <w:pPr>
              <w:ind w:left="20"/>
              <w:spacing w:after="0" w:line="129" w:lineRule="exact"/>
              <w:rPr>
                <w:sz w:val="20"/>
                <w:szCs w:val="20"/>
                <w:color w:val="auto"/>
              </w:rPr>
            </w:pPr>
            <w:r>
              <w:rPr>
                <w:rFonts w:ascii="Arial" w:cs="Arial" w:eastAsia="Arial" w:hAnsi="Arial"/>
                <w:sz w:val="14"/>
                <w:szCs w:val="14"/>
                <w:color w:val="auto"/>
              </w:rPr>
              <w:t>Basic and fully diluted income (loss) per share attributable to</w:t>
            </w:r>
          </w:p>
        </w:tc>
        <w:tc>
          <w:tcPr>
            <w:tcW w:w="320" w:type="dxa"/>
            <w:vAlign w:val="bottom"/>
            <w:vMerge w:val="restart"/>
          </w:tcPr>
          <w:p>
            <w:pPr>
              <w:jc w:val="right"/>
              <w:ind w:right="144"/>
              <w:spacing w:after="0"/>
              <w:rPr>
                <w:sz w:val="20"/>
                <w:szCs w:val="20"/>
                <w:color w:val="auto"/>
              </w:rPr>
            </w:pPr>
            <w:r>
              <w:rPr>
                <w:rFonts w:ascii="Arial" w:cs="Arial" w:eastAsia="Arial" w:hAnsi="Arial"/>
                <w:sz w:val="15"/>
                <w:szCs w:val="15"/>
                <w:color w:val="auto"/>
                <w:w w:val="95"/>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1.70</w:t>
            </w:r>
          </w:p>
        </w:tc>
        <w:tc>
          <w:tcPr>
            <w:tcW w:w="120" w:type="dxa"/>
            <w:vAlign w:val="bottom"/>
          </w:tcPr>
          <w:p>
            <w:pPr>
              <w:spacing w:after="0"/>
              <w:rPr>
                <w:sz w:val="11"/>
                <w:szCs w:val="11"/>
                <w:color w:val="auto"/>
              </w:rPr>
            </w:pPr>
          </w:p>
        </w:tc>
        <w:tc>
          <w:tcPr>
            <w:tcW w:w="360" w:type="dxa"/>
            <w:vAlign w:val="bottom"/>
            <w:vMerge w:val="restart"/>
          </w:tcPr>
          <w:p>
            <w:pPr>
              <w:jc w:val="right"/>
              <w:ind w:right="184"/>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(0.33)</w:t>
            </w:r>
          </w:p>
        </w:tc>
        <w:tc>
          <w:tcPr>
            <w:tcW w:w="120" w:type="dxa"/>
            <w:vAlign w:val="bottom"/>
          </w:tcPr>
          <w:p>
            <w:pPr>
              <w:spacing w:after="0"/>
              <w:rPr>
                <w:sz w:val="11"/>
                <w:szCs w:val="11"/>
                <w:color w:val="auto"/>
              </w:rPr>
            </w:pPr>
          </w:p>
        </w:tc>
        <w:tc>
          <w:tcPr>
            <w:tcW w:w="360" w:type="dxa"/>
            <w:vAlign w:val="bottom"/>
            <w:vMerge w:val="restart"/>
          </w:tcPr>
          <w:p>
            <w:pPr>
              <w:jc w:val="right"/>
              <w:ind w:right="184"/>
              <w:spacing w:after="0"/>
              <w:rPr>
                <w:sz w:val="20"/>
                <w:szCs w:val="20"/>
                <w:color w:val="auto"/>
              </w:rPr>
            </w:pPr>
            <w:r>
              <w:rPr>
                <w:rFonts w:ascii="Arial" w:cs="Arial" w:eastAsia="Arial" w:hAnsi="Arial"/>
                <w:sz w:val="15"/>
                <w:szCs w:val="15"/>
                <w:color w:val="auto"/>
                <w:w w:val="95"/>
              </w:rPr>
              <w:t>$</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(0.35)</w:t>
            </w:r>
          </w:p>
        </w:tc>
        <w:tc>
          <w:tcPr>
            <w:tcW w:w="120" w:type="dxa"/>
            <w:vAlign w:val="bottom"/>
          </w:tcPr>
          <w:p>
            <w:pPr>
              <w:spacing w:after="0"/>
              <w:rPr>
                <w:sz w:val="11"/>
                <w:szCs w:val="11"/>
                <w:color w:val="auto"/>
              </w:rPr>
            </w:pPr>
          </w:p>
        </w:tc>
        <w:tc>
          <w:tcPr>
            <w:tcW w:w="460" w:type="dxa"/>
            <w:vAlign w:val="bottom"/>
            <w:vMerge w:val="restart"/>
          </w:tcPr>
          <w:p>
            <w:pPr>
              <w:jc w:val="right"/>
              <w:ind w:right="284"/>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94"/>
        </w:trPr>
        <w:tc>
          <w:tcPr>
            <w:tcW w:w="4760" w:type="dxa"/>
            <w:vAlign w:val="bottom"/>
          </w:tcPr>
          <w:p>
            <w:pPr>
              <w:ind w:left="20"/>
              <w:spacing w:after="0"/>
              <w:rPr>
                <w:sz w:val="20"/>
                <w:szCs w:val="20"/>
                <w:color w:val="auto"/>
              </w:rPr>
            </w:pPr>
            <w:r>
              <w:rPr>
                <w:rFonts w:ascii="Arial" w:cs="Arial" w:eastAsia="Arial" w:hAnsi="Arial"/>
                <w:sz w:val="15"/>
                <w:szCs w:val="15"/>
                <w:color w:val="auto"/>
              </w:rPr>
              <w:t>Holdings</w:t>
            </w:r>
          </w:p>
        </w:tc>
        <w:tc>
          <w:tcPr>
            <w:tcW w:w="3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260" w:hanging="252"/>
        <w:spacing w:after="0" w:line="233" w:lineRule="auto"/>
        <w:tabs>
          <w:tab w:leader="none" w:pos="218" w:val="left"/>
        </w:tabs>
        <w:numPr>
          <w:ilvl w:val="0"/>
          <w:numId w:val="90"/>
        </w:numPr>
        <w:rPr>
          <w:rFonts w:ascii="Arial" w:cs="Arial" w:eastAsia="Arial" w:hAnsi="Arial"/>
          <w:sz w:val="23"/>
          <w:szCs w:val="23"/>
          <w:b w:val="1"/>
          <w:bCs w:val="1"/>
          <w:color w:val="auto"/>
          <w:vertAlign w:val="superscript"/>
        </w:rPr>
      </w:pPr>
      <w:r>
        <w:rPr>
          <w:rFonts w:ascii="Arial" w:cs="Arial" w:eastAsia="Arial" w:hAnsi="Arial"/>
          <w:sz w:val="16"/>
          <w:szCs w:val="16"/>
          <w:color w:val="auto"/>
        </w:rPr>
        <w:t>The Company sold its ACI operating segment in the first quarter of 2023, recording a gain on sale of $98.0 million, net of an income tax provision of $6.8 million. The Company recorded an additional gain on sale of $2.1 million in the second quarter of 2023 related to the working capital settlement, and in the third quarter of 2023 adjusted the income tax provision to $3.4 million, reflecting the loss at the LLC during the year ended December 31, 2023. All prior periods are presented as discontinued operations.</w:t>
      </w:r>
    </w:p>
    <w:p>
      <w:pPr>
        <w:spacing w:after="0" w:line="98" w:lineRule="exact"/>
        <w:rPr>
          <w:rFonts w:ascii="Arial" w:cs="Arial" w:eastAsia="Arial" w:hAnsi="Arial"/>
          <w:sz w:val="23"/>
          <w:szCs w:val="23"/>
          <w:b w:val="1"/>
          <w:bCs w:val="1"/>
          <w:color w:val="auto"/>
          <w:vertAlign w:val="superscript"/>
        </w:rPr>
      </w:pPr>
    </w:p>
    <w:p>
      <w:pPr>
        <w:ind w:left="260" w:hanging="252"/>
        <w:spacing w:after="0" w:line="227" w:lineRule="auto"/>
        <w:tabs>
          <w:tab w:leader="none" w:pos="332" w:val="left"/>
        </w:tabs>
        <w:numPr>
          <w:ilvl w:val="0"/>
          <w:numId w:val="90"/>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Company recorded goodwill impairment of $32.6 million in the third quarter of 2023 and $56.8 million in the fourth quarter of 2023. Refer to "</w:t>
      </w:r>
      <w:r>
        <w:rPr>
          <w:rFonts w:ascii="Arial" w:cs="Arial" w:eastAsia="Arial" w:hAnsi="Arial"/>
          <w:sz w:val="16"/>
          <w:szCs w:val="16"/>
          <w:u w:val="single" w:color="auto"/>
          <w:color w:val="0000FF"/>
        </w:rPr>
        <w:t>Note 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 Goodwill and Intangible Assets</w:t>
      </w:r>
      <w:r>
        <w:rPr>
          <w:rFonts w:ascii="Arial" w:cs="Arial" w:eastAsia="Arial" w:hAnsi="Arial"/>
          <w:sz w:val="16"/>
          <w:szCs w:val="16"/>
          <w:color w:val="000000"/>
        </w:rPr>
        <w:t>" for further description.</w:t>
      </w:r>
    </w:p>
    <w:p>
      <w:pPr>
        <w:spacing w:after="0" w:line="97" w:lineRule="exact"/>
        <w:rPr>
          <w:rFonts w:ascii="Arial" w:cs="Arial" w:eastAsia="Arial" w:hAnsi="Arial"/>
          <w:sz w:val="21"/>
          <w:szCs w:val="21"/>
          <w:b w:val="1"/>
          <w:bCs w:val="1"/>
          <w:color w:val="auto"/>
          <w:vertAlign w:val="superscript"/>
        </w:rPr>
      </w:pPr>
    </w:p>
    <w:p>
      <w:pPr>
        <w:ind w:left="260" w:right="20" w:hanging="252"/>
        <w:spacing w:after="0" w:line="250" w:lineRule="auto"/>
        <w:tabs>
          <w:tab w:leader="none" w:pos="175" w:val="left"/>
        </w:tabs>
        <w:numPr>
          <w:ilvl w:val="0"/>
          <w:numId w:val="90"/>
        </w:numPr>
        <w:rPr>
          <w:rFonts w:ascii="Arial" w:cs="Arial" w:eastAsia="Arial" w:hAnsi="Arial"/>
          <w:sz w:val="20"/>
          <w:szCs w:val="20"/>
          <w:b w:val="1"/>
          <w:bCs w:val="1"/>
          <w:color w:val="auto"/>
          <w:vertAlign w:val="superscript"/>
        </w:rPr>
      </w:pPr>
      <w:r>
        <w:rPr>
          <w:rFonts w:ascii="Arial" w:cs="Arial" w:eastAsia="Arial" w:hAnsi="Arial"/>
          <w:sz w:val="15"/>
          <w:szCs w:val="15"/>
          <w:color w:val="auto"/>
        </w:rPr>
        <w:t xml:space="preserve">The Company sold its Marucci operating segment in the fourth quarter of 2023, recording a pre-tax gain on sale of $241.4 million. We recorded an income tax provision related to the gain on sale of both Marucci and ACI of $65.3 million, which includes a uncertain tax position reserve of $27.9 million. Refer to </w:t>
      </w:r>
      <w:r>
        <w:rPr>
          <w:rFonts w:ascii="Arial" w:cs="Arial" w:eastAsia="Arial" w:hAnsi="Arial"/>
          <w:sz w:val="15"/>
          <w:szCs w:val="15"/>
          <w:u w:val="single" w:color="auto"/>
          <w:color w:val="0000FF"/>
        </w:rPr>
        <w:t>Note K - Income Taxes</w:t>
      </w:r>
      <w:r>
        <w:rPr>
          <w:rFonts w:ascii="Arial" w:cs="Arial" w:eastAsia="Arial" w:hAnsi="Arial"/>
          <w:sz w:val="15"/>
          <w:szCs w:val="15"/>
          <w:color w:val="0000FF"/>
        </w:rPr>
        <w:t xml:space="preserve"> </w:t>
      </w:r>
      <w:r>
        <w:rPr>
          <w:rFonts w:ascii="Arial" w:cs="Arial" w:eastAsia="Arial" w:hAnsi="Arial"/>
          <w:sz w:val="15"/>
          <w:szCs w:val="15"/>
          <w:color w:val="000000"/>
        </w:rPr>
        <w:t>for a description of the reserve. All prior periods are presented as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-130810</wp:posOffset>
            </wp:positionV>
            <wp:extent cx="1474470" cy="1200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9">
                      <a:extLst>
                        <a:ext uri="{28A0092B-C50C-407E-A947-70E740481C1C}"/>
                      </a:extLst>
                    </a:blip>
                    <a:srcRect/>
                    <a:stretch>
                      <a:fillRect/>
                    </a:stretch>
                  </pic:blipFill>
                  <pic:spPr bwMode="auto">
                    <a:xfrm>
                      <a:off x="0" y="0"/>
                      <a:ext cx="1474470" cy="1200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Subsequent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Credit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9, 2025, the LLC entered into a First Incremental Facility Amendment (the “Amendment”) to its existing Credit Agreement (as defined below). The Amendment was by and among the LLC, the lenders party thereto (the “Lenders”), and Bank of America, N.A., as administrative agent for the Lenders (the “Administrative Agent”).</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 modifies the LLC’s Third Amended and Restated Credit Agreement, dated as of July 12, 2022, as amended, among the LLC, the Lenders, the Administrative Agent and the other financial institutions party thereto (the “Credit Agreement”), to provide for (a) an additional advance of the term loan in the aggregate amount of $200 million (the “Incremental Term Loan”) on the date of the Amendment, and (b) delayed draw term loan commitments in the aggregate amount of $100 million (the “Incremental Delayed Draw Term Loan Commitments,” and the loan drawn thereunder is referred to herein as the “Incremental Delayed Draw Term Loan”), which may be reduced or terminated by the LLC upon five business days’ notice and pursuant to which the Company may make no more than two draws by July 9, 2025. The proceeds from the Incremental Term Loan and the Incremental Delayed Draw Term Loan will be used for new acquisitions, working capital, capital expenditures and other general corporate purposes.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Incremental Term Loan, along with the existing term loan under the Credit Agreement, will require quarterly repayments of principal amounts ranging from $3.75 million to $11.25 million, commencing March 31, 2025, with a final payment of principal and interest due on July 12, 2027.</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LLC will pay to the Administrative Agent, for the account of each Lender in accordance with its applicable percentage of the Incremental Delayed Draw Term Loan Commitments, a commitment fee equal to the product of (i) a rate ranging from 0.25% to 0.45% per annum, based on the Consolidated Total Leverage Ratio, times (ii) the actual daily amount by which the Incremental Delayed Draw Term Loan Commitments exceed the Incremental Delayed Draw Term Loan. Such commitment fee only accrues during the period when the Incremental Delayed Draw Term Loan Commitments are available (the “Availability Period”), which is the period from January 9, 2025 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the earlier of (a) July 9, 2025 and (b) the date on which the Incremental Delayed Draw Term Loan Commitments have been terminated.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Commencing on the first quarter ending after the earlier of (i) the date Incremental Delayed Draw Term Loan is fully drawn and (ii) the end of the Availability Period, the LLC will be required to make quarterly repayments of principal amounts ranging from 0.625% to 1.875% of the drawn Incremental Delayed Draw Term Loan (which amounts will be reduced by certain prepayment, if any), unless such loan is accelerated sooner.</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Amendment contains customary representations and warranties. All other material terms and conditions of the Credit Agreement were unchanged.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Management Services Agreement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15, 2025, the LLC and the Manager amended the Sixth Amended and Restated Management Services Agreement dated as of September 30, 2014 and originally effective as of May 16, 2006 (the “Existing Agreement”), by entering into a Seventh Amended and Restated Management Services Agreement (the “MSA Amendment”), which restructures the management fee under the Existing Agreement to consist of a base management fee and an incentive management fee. Pursuant to the MSA Amendment, the base management fee will be</w:t>
      </w:r>
    </w:p>
    <w:p>
      <w:pPr>
        <w:spacing w:after="0" w:line="2" w:lineRule="exact"/>
        <w:rPr>
          <w:sz w:val="20"/>
          <w:szCs w:val="20"/>
          <w:color w:val="auto"/>
        </w:rPr>
      </w:pPr>
    </w:p>
    <w:p>
      <w:pPr>
        <w:jc w:val="both"/>
        <w:ind w:firstLine="8"/>
        <w:spacing w:after="0" w:line="252" w:lineRule="auto"/>
        <w:tabs>
          <w:tab w:leader="none" w:pos="2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2% the Company’s adjusted net assets when the adjusted net assets are less than or equal to $3.5 billion (the “Initial Threshold Fee”),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Board. The Amendment also eliminates the payment of integration services fee by the Company’s subsidiaries to the Manager and excludes excess cash held by the Company and the Company’s subsidiaries, subject to certain exceptions, from the calculation of the adjusted net assets of the Company, along with certain other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7" w:name="page198"/>
    <w:bookmarkEnd w:id="197"/>
    <w:p>
      <w:pPr>
        <w:jc w:val="center"/>
        <w:ind w:right="-59"/>
        <w:spacing w:after="0"/>
        <w:rPr>
          <w:sz w:val="20"/>
          <w:szCs w:val="20"/>
          <w:color w:val="auto"/>
        </w:rPr>
      </w:pPr>
      <w:r>
        <w:rPr>
          <w:rFonts w:ascii="Arial" w:cs="Arial" w:eastAsia="Arial" w:hAnsi="Arial"/>
          <w:sz w:val="20"/>
          <w:szCs w:val="20"/>
          <w:b w:val="1"/>
          <w:bCs w:val="1"/>
          <w:color w:val="auto"/>
        </w:rPr>
        <w:t>SCHEDULE II – VALUATION AND QUALIFYING ACCOUNTS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rPr>
              <w:t>Balance at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Additions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rPr>
              <w:t>Charge to costs</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Balance at</w:t>
            </w:r>
          </w:p>
        </w:tc>
        <w:tc>
          <w:tcPr>
            <w:tcW w:w="0" w:type="dxa"/>
            <w:vAlign w:val="bottom"/>
          </w:tcPr>
          <w:p>
            <w:pPr>
              <w:spacing w:after="0"/>
              <w:rPr>
                <w:sz w:val="1"/>
                <w:szCs w:val="1"/>
                <w:color w:val="auto"/>
              </w:rPr>
            </w:pPr>
          </w:p>
        </w:tc>
      </w:tr>
      <w:tr>
        <w:trPr>
          <w:trHeight w:val="154"/>
        </w:trPr>
        <w:tc>
          <w:tcPr>
            <w:tcW w:w="424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thousands)</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line="154" w:lineRule="exact"/>
              <w:rPr>
                <w:sz w:val="20"/>
                <w:szCs w:val="20"/>
                <w:color w:val="auto"/>
              </w:rPr>
            </w:pPr>
            <w:r>
              <w:rPr>
                <w:rFonts w:ascii="Arial" w:cs="Arial" w:eastAsia="Arial" w:hAnsi="Arial"/>
                <w:sz w:val="15"/>
                <w:szCs w:val="15"/>
                <w:b w:val="1"/>
                <w:bCs w:val="1"/>
                <w:color w:val="auto"/>
              </w:rPr>
              <w:t>beginning</w:t>
            </w:r>
          </w:p>
        </w:tc>
        <w:tc>
          <w:tcPr>
            <w:tcW w:w="16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9"/>
                <w:szCs w:val="19"/>
                <w:b w:val="1"/>
                <w:bCs w:val="1"/>
                <w:color w:val="auto"/>
                <w:vertAlign w:val="superscript"/>
              </w:rPr>
              <w:t>(1)</w:t>
            </w:r>
          </w:p>
        </w:tc>
        <w:tc>
          <w:tcPr>
            <w:tcW w:w="18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Deductions</w:t>
            </w: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of Year</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and expense</w:t>
            </w: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04"/>
              <w:spacing w:after="0"/>
              <w:rPr>
                <w:sz w:val="20"/>
                <w:szCs w:val="20"/>
                <w:color w:val="auto"/>
              </w:rPr>
            </w:pPr>
            <w:r>
              <w:rPr>
                <w:rFonts w:ascii="Arial" w:cs="Arial" w:eastAsia="Arial" w:hAnsi="Arial"/>
                <w:sz w:val="15"/>
                <w:szCs w:val="15"/>
                <w:b w:val="1"/>
                <w:bCs w:val="1"/>
                <w:color w:val="auto"/>
              </w:rPr>
              <w:t>end of Year</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Sales allowance accounts - 2024</w:t>
            </w:r>
          </w:p>
        </w:tc>
        <w:tc>
          <w:tcPr>
            <w:tcW w:w="2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7,201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2,051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6,488</w:t>
            </w:r>
          </w:p>
        </w:tc>
        <w:tc>
          <w:tcPr>
            <w:tcW w:w="0" w:type="dxa"/>
            <w:vAlign w:val="bottom"/>
          </w:tcPr>
          <w:p>
            <w:pPr>
              <w:spacing w:after="0"/>
              <w:rPr>
                <w:sz w:val="1"/>
                <w:szCs w:val="1"/>
                <w:color w:val="auto"/>
              </w:rPr>
            </w:pPr>
          </w:p>
        </w:tc>
      </w:tr>
      <w:tr>
        <w:trPr>
          <w:trHeight w:val="201"/>
        </w:trPr>
        <w:tc>
          <w:tcPr>
            <w:tcW w:w="4240" w:type="dxa"/>
            <w:vAlign w:val="bottom"/>
          </w:tcPr>
          <w:p>
            <w:pPr>
              <w:ind w:left="20"/>
              <w:spacing w:after="0"/>
              <w:rPr>
                <w:sz w:val="20"/>
                <w:szCs w:val="20"/>
                <w:color w:val="auto"/>
              </w:rPr>
            </w:pPr>
            <w:r>
              <w:rPr>
                <w:rFonts w:ascii="Arial" w:cs="Arial" w:eastAsia="Arial" w:hAnsi="Arial"/>
                <w:sz w:val="15"/>
                <w:szCs w:val="15"/>
                <w:color w:val="auto"/>
              </w:rPr>
              <w:t>Sales allowance accounts - 2023</w:t>
            </w:r>
          </w:p>
        </w:tc>
        <w:tc>
          <w:tcPr>
            <w:tcW w:w="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8,308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1,200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7,201</w:t>
            </w:r>
          </w:p>
        </w:tc>
        <w:tc>
          <w:tcPr>
            <w:tcW w:w="0" w:type="dxa"/>
            <w:vAlign w:val="bottom"/>
          </w:tcPr>
          <w:p>
            <w:pPr>
              <w:spacing w:after="0"/>
              <w:rPr>
                <w:sz w:val="1"/>
                <w:szCs w:val="1"/>
                <w:color w:val="auto"/>
              </w:rPr>
            </w:pPr>
          </w:p>
        </w:tc>
      </w:tr>
      <w:tr>
        <w:trPr>
          <w:trHeight w:val="204"/>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Sales allowance accounts - 2022</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11,154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8,308</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Valuation allowance for deferred tax assets - 2024</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36,599</w:t>
            </w:r>
          </w:p>
        </w:tc>
        <w:tc>
          <w:tcPr>
            <w:tcW w:w="0" w:type="dxa"/>
            <w:vAlign w:val="bottom"/>
          </w:tcPr>
          <w:p>
            <w:pPr>
              <w:spacing w:after="0"/>
              <w:rPr>
                <w:sz w:val="1"/>
                <w:szCs w:val="1"/>
                <w:color w:val="auto"/>
              </w:rPr>
            </w:pPr>
          </w:p>
        </w:tc>
      </w:tr>
      <w:tr>
        <w:trPr>
          <w:trHeight w:val="201"/>
        </w:trPr>
        <w:tc>
          <w:tcPr>
            <w:tcW w:w="4240" w:type="dxa"/>
            <w:vAlign w:val="bottom"/>
          </w:tcPr>
          <w:p>
            <w:pPr>
              <w:ind w:left="20"/>
              <w:spacing w:after="0"/>
              <w:rPr>
                <w:sz w:val="20"/>
                <w:szCs w:val="20"/>
                <w:color w:val="auto"/>
              </w:rPr>
            </w:pPr>
            <w:r>
              <w:rPr>
                <w:rFonts w:ascii="Arial" w:cs="Arial" w:eastAsia="Arial" w:hAnsi="Arial"/>
                <w:sz w:val="15"/>
                <w:szCs w:val="15"/>
                <w:color w:val="auto"/>
              </w:rPr>
              <w:t>Valuation allowance for deferred tax assets - 2023</w:t>
            </w:r>
          </w:p>
        </w:tc>
        <w:tc>
          <w:tcPr>
            <w:tcW w:w="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17,162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1,578</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11,924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6,816</w:t>
            </w:r>
          </w:p>
        </w:tc>
        <w:tc>
          <w:tcPr>
            <w:tcW w:w="0" w:type="dxa"/>
            <w:vAlign w:val="bottom"/>
          </w:tcPr>
          <w:p>
            <w:pPr>
              <w:spacing w:after="0"/>
              <w:rPr>
                <w:sz w:val="1"/>
                <w:szCs w:val="1"/>
                <w:color w:val="auto"/>
              </w:rPr>
            </w:pPr>
          </w:p>
        </w:tc>
      </w:tr>
      <w:tr>
        <w:trPr>
          <w:trHeight w:val="204"/>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Valuation allowance for deferred tax assets - 2022</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17,162</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23"/>
          <w:szCs w:val="23"/>
          <w:b w:val="1"/>
          <w:bCs w:val="1"/>
          <w:color w:val="auto"/>
          <w:vertAlign w:val="superscript"/>
        </w:rPr>
      </w:pPr>
      <w:r>
        <w:rPr>
          <w:rFonts w:ascii="Arial" w:cs="Arial" w:eastAsia="Arial" w:hAnsi="Arial"/>
          <w:sz w:val="17"/>
          <w:szCs w:val="17"/>
          <w:color w:val="auto"/>
        </w:rPr>
        <w:t>Represents opening allowance balances related to acquisitions made during the period indicated.</w:t>
      </w:r>
    </w:p>
    <w:p>
      <w:pPr>
        <w:spacing w:after="0" w:line="200" w:lineRule="exact"/>
        <w:rPr>
          <w:rFonts w:ascii="Arial" w:cs="Arial" w:eastAsia="Arial" w:hAnsi="Arial"/>
          <w:sz w:val="23"/>
          <w:szCs w:val="23"/>
          <w:b w:val="1"/>
          <w:bCs w:val="1"/>
          <w:color w:val="auto"/>
          <w:vertAlign w:val="superscript"/>
        </w:rPr>
      </w:pPr>
    </w:p>
    <w:p>
      <w:pPr>
        <w:spacing w:after="0" w:line="200" w:lineRule="exact"/>
        <w:rPr>
          <w:rFonts w:ascii="Arial" w:cs="Arial" w:eastAsia="Arial" w:hAnsi="Arial"/>
          <w:sz w:val="23"/>
          <w:szCs w:val="23"/>
          <w:b w:val="1"/>
          <w:bCs w:val="1"/>
          <w:color w:val="auto"/>
          <w:vertAlign w:val="superscript"/>
        </w:rPr>
      </w:pPr>
    </w:p>
    <w:p>
      <w:pPr>
        <w:spacing w:after="0" w:line="200" w:lineRule="exact"/>
        <w:rPr>
          <w:rFonts w:ascii="Arial" w:cs="Arial" w:eastAsia="Arial" w:hAnsi="Arial"/>
          <w:sz w:val="23"/>
          <w:szCs w:val="23"/>
          <w:b w:val="1"/>
          <w:bCs w:val="1"/>
          <w:color w:val="auto"/>
          <w:vertAlign w:val="superscript"/>
        </w:rPr>
      </w:pPr>
    </w:p>
    <w:p>
      <w:pPr>
        <w:spacing w:after="0" w:line="249" w:lineRule="exact"/>
        <w:rPr>
          <w:rFonts w:ascii="Arial" w:cs="Arial" w:eastAsia="Arial" w:hAnsi="Arial"/>
          <w:sz w:val="23"/>
          <w:szCs w:val="23"/>
          <w:b w:val="1"/>
          <w:bCs w:val="1"/>
          <w:color w:val="auto"/>
          <w:vertAlign w:val="superscript"/>
        </w:rPr>
      </w:pPr>
    </w:p>
    <w:p>
      <w:pPr>
        <w:ind w:left="5500"/>
        <w:spacing w:after="0"/>
        <w:rPr>
          <w:rFonts w:ascii="Arial" w:cs="Arial" w:eastAsia="Arial" w:hAnsi="Arial"/>
          <w:sz w:val="23"/>
          <w:szCs w:val="23"/>
          <w:b w:val="1"/>
          <w:bCs w:val="1"/>
          <w:color w:val="auto"/>
          <w:vertAlign w:val="superscript"/>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7" w:right="39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47"/>
        </w:trPr>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20" w:type="dxa"/>
            <w:vAlign w:val="bottom"/>
            <w:gridSpan w:val="42"/>
          </w:tcPr>
          <w:p>
            <w:pPr>
              <w:ind w:left="3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1163"/>
        </w:trPr>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800" w:type="dxa"/>
            <w:vAlign w:val="bottom"/>
            <w:gridSpan w:val="37"/>
            <w:vMerge w:val="restart"/>
          </w:tcPr>
          <w:p>
            <w:pPr>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28"/>
        </w:trPr>
        <w:tc>
          <w:tcPr>
            <w:tcW w:w="58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800" w:type="dxa"/>
            <w:vAlign w:val="bottom"/>
            <w:gridSpan w:val="3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8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5"/>
                <w:szCs w:val="15"/>
                <w:color w:val="auto"/>
              </w:rPr>
              <w:t>2.1</w:t>
            </w:r>
          </w:p>
        </w:tc>
        <w:tc>
          <w:tcPr>
            <w:tcW w:w="580" w:type="dxa"/>
            <w:vAlign w:val="bottom"/>
          </w:tcPr>
          <w:p>
            <w:pPr>
              <w:spacing w:after="0"/>
              <w:rPr>
                <w:sz w:val="16"/>
                <w:szCs w:val="16"/>
                <w:color w:val="auto"/>
              </w:rPr>
            </w:pPr>
          </w:p>
        </w:tc>
        <w:tc>
          <w:tcPr>
            <w:tcW w:w="10380" w:type="dxa"/>
            <w:vAlign w:val="bottom"/>
            <w:gridSpan w:val="49"/>
          </w:tcPr>
          <w:p>
            <w:pPr>
              <w:spacing w:after="0"/>
              <w:rPr>
                <w:rFonts w:ascii="Arial" w:cs="Arial" w:eastAsia="Arial" w:hAnsi="Arial"/>
                <w:sz w:val="15"/>
                <w:szCs w:val="15"/>
                <w:color w:val="0000FF"/>
              </w:rPr>
            </w:pPr>
            <w:hyperlink r:id="rId159">
              <w:r>
                <w:rPr>
                  <w:rFonts w:ascii="Arial" w:cs="Arial" w:eastAsia="Arial" w:hAnsi="Arial"/>
                  <w:sz w:val="15"/>
                  <w:szCs w:val="15"/>
                  <w:color w:val="0000FF"/>
                </w:rPr>
                <w:t>Stock and Note Purchase Agreement dated as of July 31, 2006, among Compass Group Diversified Holdings LLC, Compass Group Investments,</w:t>
              </w:r>
            </w:hyperlink>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2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159">
              <w:r>
                <w:rPr>
                  <w:rFonts w:ascii="Arial" w:cs="Arial" w:eastAsia="Arial" w:hAnsi="Arial"/>
                  <w:sz w:val="14"/>
                  <w:szCs w:val="14"/>
                  <w:color w:val="0000FF"/>
                </w:rPr>
                <w:t>Inc. and Compass Medical Mattress Partners, LP (incorporated by reference to Exhibit 2.1 of the Form 8-K filed on August 1, 2006 (File No. 000-</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rPr>
            </w:pPr>
            <w:hyperlink r:id="rId159">
              <w:r>
                <w:rPr>
                  <w:rFonts w:ascii="Arial" w:cs="Arial" w:eastAsia="Arial" w:hAnsi="Arial"/>
                  <w:sz w:val="14"/>
                  <w:szCs w:val="14"/>
                  <w:color w:val="0000FF"/>
                </w:rPr>
                <w:t>51937)</w:t>
              </w:r>
              <w:r>
                <w:rPr>
                  <w:rFonts w:ascii="Arial" w:cs="Arial" w:eastAsia="Arial" w:hAnsi="Arial"/>
                  <w:sz w:val="14"/>
                  <w:szCs w:val="14"/>
                  <w:u w:val="single" w:color="auto"/>
                  <w:color w:val="0000FF"/>
                </w:rPr>
                <w:t>)</w:t>
              </w:r>
              <w:r>
                <w:rPr>
                  <w:rFonts w:ascii="Arial" w:cs="Arial" w:eastAsia="Arial" w:hAnsi="Arial"/>
                  <w:sz w:val="14"/>
                  <w:szCs w:val="14"/>
                  <w:color w:val="0000FF"/>
                </w:rPr>
                <w:t>.</w:t>
              </w:r>
            </w:hyperlink>
          </w:p>
        </w:tc>
        <w:tc>
          <w:tcPr>
            <w:tcW w:w="380" w:type="dxa"/>
            <w:vAlign w:val="bottom"/>
            <w:tcBorders>
              <w:top w:val="single" w:sz="8" w:color="0000FF"/>
            </w:tcBorders>
          </w:tcPr>
          <w:p>
            <w:pPr>
              <w:spacing w:after="0"/>
              <w:rPr>
                <w:sz w:val="11"/>
                <w:szCs w:val="11"/>
                <w:color w:val="auto"/>
              </w:rPr>
            </w:pPr>
          </w:p>
        </w:tc>
        <w:tc>
          <w:tcPr>
            <w:tcW w:w="19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18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2.2</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60">
              <w:r>
                <w:rPr>
                  <w:rFonts w:ascii="Arial" w:cs="Arial" w:eastAsia="Arial" w:hAnsi="Arial"/>
                  <w:sz w:val="15"/>
                  <w:szCs w:val="15"/>
                  <w:color w:val="0000FF"/>
                </w:rPr>
                <w:t>Stock Purchase Agreement dated June 24, 2008, among Compass Group Diversified Holdings LLC and the other shareholders party thereto,</w:t>
              </w:r>
            </w:hyperlink>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80" w:type="dxa"/>
            <w:vAlign w:val="bottom"/>
            <w:tcBorders>
              <w:top w:val="single" w:sz="8" w:color="0000FF"/>
              <w:bottom w:val="single" w:sz="8" w:color="0000FF"/>
            </w:tcBorders>
            <w:gridSpan w:val="34"/>
          </w:tcPr>
          <w:p>
            <w:pPr>
              <w:spacing w:after="0" w:line="129" w:lineRule="exact"/>
              <w:rPr>
                <w:rFonts w:ascii="Arial" w:cs="Arial" w:eastAsia="Arial" w:hAnsi="Arial"/>
                <w:sz w:val="14"/>
                <w:szCs w:val="14"/>
                <w:color w:val="0000FF"/>
              </w:rPr>
            </w:pPr>
            <w:hyperlink r:id="rId160">
              <w:r>
                <w:rPr>
                  <w:rFonts w:ascii="Arial" w:cs="Arial" w:eastAsia="Arial" w:hAnsi="Arial"/>
                  <w:sz w:val="14"/>
                  <w:szCs w:val="14"/>
                  <w:color w:val="0000FF"/>
                </w:rPr>
                <w:t>Compass Group Diversified Holdings LLC, as Sellers’ Representative, Aeroglide Holdings, Inc. and Bühler AG (incorporated by reference to Exhibit</w:t>
              </w:r>
            </w:hyperlink>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20" w:type="dxa"/>
            <w:vAlign w:val="bottom"/>
            <w:tcBorders>
              <w:bottom w:val="single" w:sz="8" w:color="0000FF"/>
            </w:tcBorders>
            <w:gridSpan w:val="11"/>
          </w:tcPr>
          <w:p>
            <w:pPr>
              <w:spacing w:after="0" w:line="129" w:lineRule="exact"/>
              <w:rPr>
                <w:rFonts w:ascii="Arial" w:cs="Arial" w:eastAsia="Arial" w:hAnsi="Arial"/>
                <w:sz w:val="14"/>
                <w:szCs w:val="14"/>
                <w:color w:val="0000FF"/>
              </w:rPr>
            </w:pPr>
            <w:hyperlink r:id="rId160">
              <w:r>
                <w:rPr>
                  <w:rFonts w:ascii="Arial" w:cs="Arial" w:eastAsia="Arial" w:hAnsi="Arial"/>
                  <w:sz w:val="14"/>
                  <w:szCs w:val="14"/>
                  <w:color w:val="0000FF"/>
                </w:rPr>
                <w:t>2.</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of the Form 8-K filed on June 26, 2008 (File No. 000-51937)).</w:t>
              </w:r>
            </w:hyperlink>
          </w:p>
        </w:tc>
        <w:tc>
          <w:tcPr>
            <w:tcW w:w="5740" w:type="dxa"/>
            <w:vAlign w:val="bottom"/>
            <w:gridSpan w:val="2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2.3</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61">
              <w:r>
                <w:rPr>
                  <w:rFonts w:ascii="Arial" w:cs="Arial" w:eastAsia="Arial" w:hAnsi="Arial"/>
                  <w:sz w:val="15"/>
                  <w:szCs w:val="15"/>
                  <w:color w:val="0000FF"/>
                </w:rPr>
                <w:t>Stock Purchase Agreement, dated October 17, 2011, by and among Recruit Co., LTD. and RGF Staffing USA, Inc., as Buyers, the shareholders of</w:t>
              </w:r>
            </w:hyperlink>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40" w:type="dxa"/>
            <w:vAlign w:val="bottom"/>
            <w:tcBorders>
              <w:top w:val="single" w:sz="8" w:color="0000FF"/>
              <w:bottom w:val="single" w:sz="8" w:color="0000FF"/>
            </w:tcBorders>
            <w:gridSpan w:val="37"/>
          </w:tcPr>
          <w:p>
            <w:pPr>
              <w:spacing w:after="0" w:line="129" w:lineRule="exact"/>
              <w:rPr>
                <w:rFonts w:ascii="Arial" w:cs="Arial" w:eastAsia="Arial" w:hAnsi="Arial"/>
                <w:sz w:val="14"/>
                <w:szCs w:val="14"/>
                <w:color w:val="0000FF"/>
              </w:rPr>
            </w:pPr>
            <w:hyperlink r:id="rId161">
              <w:r>
                <w:rPr>
                  <w:rFonts w:ascii="Arial" w:cs="Arial" w:eastAsia="Arial" w:hAnsi="Arial"/>
                  <w:sz w:val="14"/>
                  <w:szCs w:val="14"/>
                  <w:color w:val="0000FF"/>
                </w:rPr>
                <w:t>Staffmark Holdings, Inc., as Sellers, Staffmark Holdings, Inc. and Compass Group Diversified Holdings LLC as Seller Representative (incorporated</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80" w:type="dxa"/>
            <w:vAlign w:val="bottom"/>
            <w:tcBorders>
              <w:bottom w:val="single" w:sz="8" w:color="0000FF"/>
            </w:tcBorders>
            <w:gridSpan w:val="15"/>
          </w:tcPr>
          <w:p>
            <w:pPr>
              <w:spacing w:after="0" w:line="129" w:lineRule="exact"/>
              <w:rPr>
                <w:rFonts w:ascii="Arial" w:cs="Arial" w:eastAsia="Arial" w:hAnsi="Arial"/>
                <w:sz w:val="14"/>
                <w:szCs w:val="14"/>
                <w:color w:val="0000FF"/>
              </w:rPr>
            </w:pPr>
            <w:hyperlink r:id="rId161">
              <w:r>
                <w:rPr>
                  <w:rFonts w:ascii="Arial" w:cs="Arial" w:eastAsia="Arial" w:hAnsi="Arial"/>
                  <w:sz w:val="14"/>
                  <w:szCs w:val="14"/>
                  <w:color w:val="0000FF"/>
                </w:rPr>
                <w:t>by reference to Exhibit 2.1 of the Form 8-K filed on October 18, 2011 (File No. 001-34927)).</w:t>
              </w:r>
            </w:hyperlink>
          </w:p>
        </w:tc>
        <w:tc>
          <w:tcPr>
            <w:tcW w:w="4000" w:type="dxa"/>
            <w:vAlign w:val="bottom"/>
            <w:gridSpan w:val="2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2.4</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62">
              <w:r>
                <w:rPr>
                  <w:rFonts w:ascii="Arial" w:cs="Arial" w:eastAsia="Arial" w:hAnsi="Arial"/>
                  <w:sz w:val="15"/>
                  <w:szCs w:val="15"/>
                  <w:color w:val="0000FF"/>
                </w:rPr>
                <w:t>Stock Purchase Agreement dated May 1, 2012, among Candlelight Investment Holdings, Inc., Halo Holding Corporation, Halo Lee Wayne, LLC and</w:t>
              </w:r>
            </w:hyperlink>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320" w:type="dxa"/>
            <w:vAlign w:val="bottom"/>
            <w:tcBorders>
              <w:top w:val="single" w:sz="8" w:color="0000FF"/>
            </w:tcBorders>
            <w:gridSpan w:val="46"/>
          </w:tcPr>
          <w:p>
            <w:pPr>
              <w:spacing w:after="0" w:line="129" w:lineRule="exact"/>
              <w:rPr>
                <w:rFonts w:ascii="Arial" w:cs="Arial" w:eastAsia="Arial" w:hAnsi="Arial"/>
                <w:sz w:val="14"/>
                <w:szCs w:val="14"/>
                <w:color w:val="0000FF"/>
              </w:rPr>
            </w:pPr>
            <w:hyperlink r:id="rId162">
              <w:r>
                <w:rPr>
                  <w:rFonts w:ascii="Arial" w:cs="Arial" w:eastAsia="Arial" w:hAnsi="Arial"/>
                  <w:sz w:val="14"/>
                  <w:szCs w:val="14"/>
                  <w:color w:val="0000FF"/>
                </w:rPr>
                <w:t>each of the holders of equity interests of Halo Lee Wayne, LLC listed on Exhibit A thereto (incorporated by reference to Exhibit 2.1 of the Form 8-K</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6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162">
              <w:r>
                <w:rPr>
                  <w:rFonts w:ascii="Arial" w:cs="Arial" w:eastAsia="Arial" w:hAnsi="Arial"/>
                  <w:sz w:val="14"/>
                  <w:szCs w:val="14"/>
                  <w:color w:val="0000FF"/>
                </w:rPr>
                <w:t>filed on May 2, 2012(File No. 001-34927)).</w:t>
              </w:r>
            </w:hyperlink>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2.5</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63">
              <w:r>
                <w:rPr>
                  <w:rFonts w:ascii="Arial" w:cs="Arial" w:eastAsia="Arial" w:hAnsi="Arial"/>
                  <w:sz w:val="15"/>
                  <w:szCs w:val="15"/>
                  <w:color w:val="0000FF"/>
                </w:rPr>
                <w:t>Stock Purchase Agreement, dated May 8, 2019, by and among (i) Calrissian Holdings, LLC; (ii) CEHI Acquisition Corporation; (iii) Compass Group</w:t>
              </w:r>
            </w:hyperlink>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90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163">
              <w:r>
                <w:rPr>
                  <w:rFonts w:ascii="Arial" w:cs="Arial" w:eastAsia="Arial" w:hAnsi="Arial"/>
                  <w:sz w:val="14"/>
                  <w:szCs w:val="14"/>
                  <w:color w:val="0000FF"/>
                </w:rPr>
                <w:t>Diversified Holdings LLC; (iv) each Stockholder and Optionholder of the Company; and (v) solely for the purposes of Section 9(r) thereof, Harsco</w:t>
              </w:r>
            </w:hyperlink>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40" w:type="dxa"/>
            <w:vAlign w:val="bottom"/>
            <w:tcBorders>
              <w:top w:val="single" w:sz="8" w:color="0000FF"/>
              <w:bottom w:val="single" w:sz="8" w:color="0000FF"/>
            </w:tcBorders>
            <w:gridSpan w:val="19"/>
          </w:tcPr>
          <w:p>
            <w:pPr>
              <w:spacing w:after="0" w:line="129" w:lineRule="exact"/>
              <w:rPr>
                <w:rFonts w:ascii="Arial" w:cs="Arial" w:eastAsia="Arial" w:hAnsi="Arial"/>
                <w:sz w:val="14"/>
                <w:szCs w:val="14"/>
                <w:color w:val="0000FF"/>
              </w:rPr>
            </w:pPr>
            <w:hyperlink r:id="rId163">
              <w:r>
                <w:rPr>
                  <w:rFonts w:ascii="Arial" w:cs="Arial" w:eastAsia="Arial" w:hAnsi="Arial"/>
                  <w:sz w:val="14"/>
                  <w:szCs w:val="14"/>
                  <w:color w:val="0000FF"/>
                </w:rPr>
                <w:t>Corporation (incorporated by reference to Exhibit 2.1 of the Form 8-K filed on May 9, 2019 (File No. 001-34927)).</w:t>
              </w:r>
            </w:hyperlink>
          </w:p>
        </w:tc>
        <w:tc>
          <w:tcPr>
            <w:tcW w:w="214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2.6</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64">
              <w:r>
                <w:rPr>
                  <w:rFonts w:ascii="Arial" w:cs="Arial" w:eastAsia="Arial" w:hAnsi="Arial"/>
                  <w:sz w:val="15"/>
                  <w:szCs w:val="15"/>
                  <w:color w:val="0000FF"/>
                </w:rPr>
                <w:t>Stock Purchase Agreement by and among Compass Group Diversified Holdings LLC, Compass Group Investments, Inc., Compass CS Partners,</w:t>
              </w:r>
            </w:hyperlink>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164">
              <w:r>
                <w:rPr>
                  <w:rFonts w:ascii="Arial" w:cs="Arial" w:eastAsia="Arial" w:hAnsi="Arial"/>
                  <w:sz w:val="14"/>
                  <w:szCs w:val="14"/>
                  <w:color w:val="0000FF"/>
                </w:rPr>
                <w:t>L.P., Compass CS II Partners, L.P., Compass Crosman Partners, L.P., Compass Advanced Partners, L.P. and Compass Silvue Partners, LP</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8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rPr>
            </w:pPr>
            <w:hyperlink r:id="rId164">
              <w:r>
                <w:rPr>
                  <w:rFonts w:ascii="Arial" w:cs="Arial" w:eastAsia="Arial" w:hAnsi="Arial"/>
                  <w:sz w:val="14"/>
                  <w:szCs w:val="14"/>
                  <w:color w:val="0000FF"/>
                </w:rPr>
                <w:t>(incorporated by reference to Exhibit 2.1 of the Form S-1 filed on April 13, 2006 (File No. 333-130326)).</w:t>
              </w:r>
            </w:hyperlink>
          </w:p>
        </w:tc>
        <w:tc>
          <w:tcPr>
            <w:tcW w:w="2460" w:type="dxa"/>
            <w:vAlign w:val="bottom"/>
            <w:tcBorders>
              <w:top w:val="single" w:sz="8" w:color="0000FF"/>
            </w:tcBorders>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2.7</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65">
              <w:r>
                <w:rPr>
                  <w:rFonts w:ascii="Arial" w:cs="Arial" w:eastAsia="Arial" w:hAnsi="Arial"/>
                  <w:sz w:val="15"/>
                  <w:szCs w:val="15"/>
                  <w:color w:val="0000FF"/>
                </w:rPr>
                <w:t>Stock Purchase Agreement, dated July 16, 2021, by and among (i) Liberty Safe Holding Corporation; (ii) Independence Buyer, Inc.; (iii); Compass</w:t>
              </w:r>
            </w:hyperlink>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4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165">
              <w:r>
                <w:rPr>
                  <w:rFonts w:ascii="Arial" w:cs="Arial" w:eastAsia="Arial" w:hAnsi="Arial"/>
                  <w:sz w:val="14"/>
                  <w:szCs w:val="14"/>
                  <w:color w:val="0000FF"/>
                </w:rPr>
                <w:t>Group Diversified Holdings LLC, as the Sellers Representative; and (iv) each Stockholder and Optionholder of Liberty Safe Holding Corporation</w:t>
              </w:r>
            </w:hyperlink>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6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165">
              <w:r>
                <w:rPr>
                  <w:rFonts w:ascii="Arial" w:cs="Arial" w:eastAsia="Arial" w:hAnsi="Arial"/>
                  <w:sz w:val="14"/>
                  <w:szCs w:val="14"/>
                  <w:color w:val="0000FF"/>
                </w:rPr>
                <w:t>(incorporated by reference to Exhibit 2.1 of the Form 8-K filed on July 19, 2021 (File No. 001-34927)).</w:t>
              </w:r>
            </w:hyperlink>
          </w:p>
        </w:tc>
        <w:tc>
          <w:tcPr>
            <w:tcW w:w="2840" w:type="dxa"/>
            <w:vAlign w:val="bottom"/>
            <w:tcBorders>
              <w:top w:val="single" w:sz="8" w:color="0000FF"/>
            </w:tcBorders>
            <w:gridSpan w:val="7"/>
          </w:tcPr>
          <w:p>
            <w:pPr>
              <w:spacing w:after="0"/>
              <w:rPr>
                <w:sz w:val="11"/>
                <w:szCs w:val="11"/>
                <w:color w:val="auto"/>
              </w:rPr>
            </w:pPr>
          </w:p>
        </w:tc>
        <w:tc>
          <w:tcPr>
            <w:tcW w:w="18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5"/>
                <w:szCs w:val="15"/>
                <w:color w:val="auto"/>
              </w:rPr>
              <w:t>2.8</w:t>
            </w:r>
          </w:p>
        </w:tc>
        <w:tc>
          <w:tcPr>
            <w:tcW w:w="580" w:type="dxa"/>
            <w:vAlign w:val="bottom"/>
          </w:tcPr>
          <w:p>
            <w:pPr>
              <w:spacing w:after="0"/>
              <w:rPr>
                <w:sz w:val="16"/>
                <w:szCs w:val="16"/>
                <w:color w:val="auto"/>
              </w:rPr>
            </w:pPr>
          </w:p>
        </w:tc>
        <w:tc>
          <w:tcPr>
            <w:tcW w:w="10380" w:type="dxa"/>
            <w:vAlign w:val="bottom"/>
            <w:gridSpan w:val="49"/>
          </w:tcPr>
          <w:p>
            <w:pPr>
              <w:spacing w:after="0"/>
              <w:rPr>
                <w:rFonts w:ascii="Arial" w:cs="Arial" w:eastAsia="Arial" w:hAnsi="Arial"/>
                <w:sz w:val="15"/>
                <w:szCs w:val="15"/>
                <w:color w:val="0000FF"/>
              </w:rPr>
            </w:pPr>
            <w:hyperlink r:id="rId166">
              <w:r>
                <w:rPr>
                  <w:rFonts w:ascii="Arial" w:cs="Arial" w:eastAsia="Arial" w:hAnsi="Arial"/>
                  <w:sz w:val="15"/>
                  <w:szCs w:val="15"/>
                  <w:color w:val="0000FF"/>
                </w:rPr>
                <w:t>Amendment to Stock Purchase Agreement, dated August 3, 2021, by and among Independence Buyer, Inc. and Compass Group Diversified</w:t>
              </w:r>
            </w:hyperlink>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80" w:type="dxa"/>
            <w:vAlign w:val="bottom"/>
            <w:tcBorders>
              <w:top w:val="single" w:sz="8" w:color="0000FF"/>
            </w:tcBorders>
            <w:gridSpan w:val="21"/>
          </w:tcPr>
          <w:p>
            <w:pPr>
              <w:spacing w:after="0" w:line="135" w:lineRule="exact"/>
              <w:rPr>
                <w:rFonts w:ascii="Arial" w:cs="Arial" w:eastAsia="Arial" w:hAnsi="Arial"/>
                <w:sz w:val="15"/>
                <w:szCs w:val="15"/>
                <w:color w:val="0000FF"/>
              </w:rPr>
            </w:pPr>
            <w:hyperlink r:id="rId166">
              <w:r>
                <w:rPr>
                  <w:rFonts w:ascii="Arial" w:cs="Arial" w:eastAsia="Arial" w:hAnsi="Arial"/>
                  <w:sz w:val="15"/>
                  <w:szCs w:val="15"/>
                  <w:color w:val="0000FF"/>
                </w:rPr>
                <w:t>Holdings LLC, as the Sellers Representative (incorporated by reference to Exhibit 2.1 of the Form 8-K filed on August 3, 2021 (File No. 001-</w:t>
              </w:r>
            </w:hyperlink>
          </w:p>
        </w:tc>
        <w:tc>
          <w:tcPr>
            <w:tcW w:w="500" w:type="dxa"/>
            <w:vAlign w:val="bottom"/>
            <w:gridSpan w:val="8"/>
          </w:tcPr>
          <w:p>
            <w:pPr>
              <w:jc w:val="right"/>
              <w:ind w:right="100"/>
              <w:spacing w:after="0" w:line="135" w:lineRule="exact"/>
              <w:rPr>
                <w:rFonts w:ascii="Arial" w:cs="Arial" w:eastAsia="Arial" w:hAnsi="Arial"/>
                <w:sz w:val="15"/>
                <w:szCs w:val="15"/>
                <w:color w:val="0000FF"/>
                <w:w w:val="91"/>
              </w:rPr>
            </w:pPr>
            <w:hyperlink r:id="rId166">
              <w:r>
                <w:rPr>
                  <w:rFonts w:ascii="Arial" w:cs="Arial" w:eastAsia="Arial" w:hAnsi="Arial"/>
                  <w:sz w:val="15"/>
                  <w:szCs w:val="15"/>
                  <w:color w:val="0000FF"/>
                  <w:w w:val="91"/>
                </w:rPr>
                <w:t>34927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8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166">
              <w:r>
                <w:rPr>
                  <w:rFonts w:ascii="Arial" w:cs="Arial" w:eastAsia="Arial" w:hAnsi="Arial"/>
                  <w:sz w:val="14"/>
                  <w:szCs w:val="14"/>
                  <w:color w:val="0000FF"/>
                </w:rPr>
                <w:t>and Accession No. 0001345126-21-000031)).</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2.9</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67">
              <w:r>
                <w:rPr>
                  <w:rFonts w:ascii="Arial" w:cs="Arial" w:eastAsia="Arial" w:hAnsi="Arial"/>
                  <w:sz w:val="15"/>
                  <w:szCs w:val="15"/>
                  <w:color w:val="0000FF"/>
                </w:rPr>
                <w:t>Agreement and Plan of Merger, dated October 13, 2021, by and among (i) Tempo Automation, Inc.; (ii) Aspen Acquisition Sub, Inc.; (iii) Compass</w:t>
              </w:r>
            </w:hyperlink>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980" w:type="dxa"/>
            <w:vAlign w:val="bottom"/>
            <w:tcBorders>
              <w:top w:val="single" w:sz="8" w:color="0000FF"/>
              <w:bottom w:val="single" w:sz="8" w:color="0000FF"/>
            </w:tcBorders>
            <w:gridSpan w:val="29"/>
          </w:tcPr>
          <w:p>
            <w:pPr>
              <w:spacing w:after="0" w:line="129" w:lineRule="exact"/>
              <w:rPr>
                <w:rFonts w:ascii="Arial" w:cs="Arial" w:eastAsia="Arial" w:hAnsi="Arial"/>
                <w:sz w:val="14"/>
                <w:szCs w:val="14"/>
                <w:color w:val="0000FF"/>
              </w:rPr>
            </w:pPr>
            <w:hyperlink r:id="rId167">
              <w:r>
                <w:rPr>
                  <w:rFonts w:ascii="Arial" w:cs="Arial" w:eastAsia="Arial" w:hAnsi="Arial"/>
                  <w:sz w:val="14"/>
                  <w:szCs w:val="14"/>
                  <w:color w:val="0000FF"/>
                </w:rPr>
                <w:t>AC Holdings, Inc.; and (iv) Compass Group Diversified Holdings LLC, as the Sellers Representative (incorporated by reference to Exhibit 2.1 of the</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100" w:type="dxa"/>
            <w:vAlign w:val="bottom"/>
            <w:tcBorders>
              <w:bottom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0" w:type="dxa"/>
            <w:vAlign w:val="bottom"/>
            <w:gridSpan w:val="40"/>
          </w:tcPr>
          <w:p>
            <w:pPr>
              <w:spacing w:after="0" w:line="129" w:lineRule="exact"/>
              <w:rPr>
                <w:rFonts w:ascii="Arial" w:cs="Arial" w:eastAsia="Arial" w:hAnsi="Arial"/>
                <w:sz w:val="14"/>
                <w:szCs w:val="14"/>
                <w:color w:val="0000FF"/>
              </w:rPr>
            </w:pPr>
            <w:hyperlink r:id="rId167">
              <w:r>
                <w:rPr>
                  <w:rFonts w:ascii="Arial" w:cs="Arial" w:eastAsia="Arial" w:hAnsi="Arial"/>
                  <w:sz w:val="14"/>
                  <w:szCs w:val="14"/>
                  <w:color w:val="0000FF"/>
                </w:rPr>
                <w:t>Form 8-K filed on October 14, 2021 (File No. 001-34927)).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2.10</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68">
              <w:r>
                <w:rPr>
                  <w:rFonts w:ascii="Arial" w:cs="Arial" w:eastAsia="Arial" w:hAnsi="Arial"/>
                  <w:sz w:val="15"/>
                  <w:szCs w:val="15"/>
                  <w:color w:val="0000FF"/>
                </w:rPr>
                <w:t>Agreement and Plan of Merger, dated January 10, 2023, by and among (i) APCT Inc.; (ii) Circuit Merger Sub, Inc.; (iii) Compass AC Holdings, Inc.;</w:t>
              </w:r>
            </w:hyperlink>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40" w:type="dxa"/>
            <w:vAlign w:val="bottom"/>
            <w:tcBorders>
              <w:top w:val="single" w:sz="8" w:color="0000FF"/>
            </w:tcBorders>
            <w:gridSpan w:val="42"/>
          </w:tcPr>
          <w:p>
            <w:pPr>
              <w:spacing w:after="0" w:line="129" w:lineRule="exact"/>
              <w:rPr>
                <w:rFonts w:ascii="Arial" w:cs="Arial" w:eastAsia="Arial" w:hAnsi="Arial"/>
                <w:sz w:val="14"/>
                <w:szCs w:val="14"/>
                <w:color w:val="0000FF"/>
              </w:rPr>
            </w:pPr>
            <w:hyperlink r:id="rId168">
              <w:r>
                <w:rPr>
                  <w:rFonts w:ascii="Arial" w:cs="Arial" w:eastAsia="Arial" w:hAnsi="Arial"/>
                  <w:sz w:val="14"/>
                  <w:szCs w:val="14"/>
                  <w:color w:val="0000FF"/>
                </w:rPr>
                <w:t>and (iv) Compass Group Diversified Holdings LLC, as the Equityholders’ Representative (incorporated by reference to Exhibit 2.1 of the Form 8-K</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6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rPr>
            </w:pPr>
            <w:hyperlink r:id="rId168">
              <w:r>
                <w:rPr>
                  <w:rFonts w:ascii="Arial" w:cs="Arial" w:eastAsia="Arial" w:hAnsi="Arial"/>
                  <w:sz w:val="14"/>
                  <w:szCs w:val="14"/>
                  <w:color w:val="0000FF"/>
                </w:rPr>
                <w:t>filed on January 11, 2023 (File No. 001-34927)).</w:t>
              </w:r>
            </w:hyperlink>
          </w:p>
        </w:tc>
        <w:tc>
          <w:tcPr>
            <w:tcW w:w="6960" w:type="dxa"/>
            <w:vAlign w:val="bottom"/>
            <w:tcBorders>
              <w:top w:val="single" w:sz="8" w:color="0000FF"/>
            </w:tcBorders>
            <w:gridSpan w:val="3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2.11</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69">
              <w:r>
                <w:rPr>
                  <w:rFonts w:ascii="Arial" w:cs="Arial" w:eastAsia="Arial" w:hAnsi="Arial"/>
                  <w:sz w:val="15"/>
                  <w:szCs w:val="15"/>
                  <w:color w:val="0000FF"/>
                </w:rPr>
                <w:t>Agreement and Plan of Merger, dated November 1, 2023, by and among (i) Fox Factory, Inc; (ii) Marucci Merger Sub, Inc.; (iii) Wheelhouse</w:t>
              </w:r>
            </w:hyperlink>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300" w:type="dxa"/>
            <w:vAlign w:val="bottom"/>
            <w:tcBorders>
              <w:top w:val="single" w:sz="8" w:color="0000FF"/>
            </w:tcBorders>
            <w:gridSpan w:val="45"/>
          </w:tcPr>
          <w:p>
            <w:pPr>
              <w:spacing w:after="0" w:line="129" w:lineRule="exact"/>
              <w:rPr>
                <w:rFonts w:ascii="Arial" w:cs="Arial" w:eastAsia="Arial" w:hAnsi="Arial"/>
                <w:sz w:val="14"/>
                <w:szCs w:val="14"/>
                <w:color w:val="0000FF"/>
              </w:rPr>
            </w:pPr>
            <w:hyperlink r:id="rId169">
              <w:r>
                <w:rPr>
                  <w:rFonts w:ascii="Arial" w:cs="Arial" w:eastAsia="Arial" w:hAnsi="Arial"/>
                  <w:sz w:val="14"/>
                  <w:szCs w:val="14"/>
                  <w:color w:val="0000FF"/>
                </w:rPr>
                <w:t>Holdings Inc.; and (iv) Compass Group Diversified Holdings LLC, as the Equityholders’ Representative (incorporated by reference to Exhibit 2.1 of</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8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69">
              <w:r>
                <w:rPr>
                  <w:rFonts w:ascii="Arial" w:cs="Arial" w:eastAsia="Arial" w:hAnsi="Arial"/>
                  <w:sz w:val="14"/>
                  <w:szCs w:val="14"/>
                  <w:color w:val="0000FF"/>
                </w:rPr>
                <w:t>the Form 8-K filed on November 2, 2023 (File No. 001-34927)).</w:t>
              </w:r>
            </w:hyperlink>
          </w:p>
        </w:tc>
        <w:tc>
          <w:tcPr>
            <w:tcW w:w="572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2.12</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70">
              <w:r>
                <w:rPr>
                  <w:rFonts w:ascii="Arial" w:cs="Arial" w:eastAsia="Arial" w:hAnsi="Arial"/>
                  <w:sz w:val="15"/>
                  <w:szCs w:val="15"/>
                  <w:color w:val="0000FF"/>
                </w:rPr>
                <w:t>Agreement and Plan of Merger, dated December 27, 2024, by and among (i) ERGO Acquisition LLC; (ii) Aloha Merger Sub LLC; (iii) EBP Lifestyle</w:t>
              </w:r>
            </w:hyperlink>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20" w:type="dxa"/>
            <w:vAlign w:val="bottom"/>
            <w:tcBorders>
              <w:top w:val="single" w:sz="8" w:color="0000FF"/>
              <w:bottom w:val="single" w:sz="8" w:color="0000FF"/>
            </w:tcBorders>
            <w:gridSpan w:val="31"/>
          </w:tcPr>
          <w:p>
            <w:pPr>
              <w:spacing w:after="0" w:line="129" w:lineRule="exact"/>
              <w:rPr>
                <w:rFonts w:ascii="Arial" w:cs="Arial" w:eastAsia="Arial" w:hAnsi="Arial"/>
                <w:sz w:val="14"/>
                <w:szCs w:val="14"/>
                <w:color w:val="0000FF"/>
              </w:rPr>
            </w:pPr>
            <w:hyperlink r:id="rId170">
              <w:r>
                <w:rPr>
                  <w:rFonts w:ascii="Arial" w:cs="Arial" w:eastAsia="Arial" w:hAnsi="Arial"/>
                  <w:sz w:val="14"/>
                  <w:szCs w:val="14"/>
                  <w:color w:val="0000FF"/>
                </w:rPr>
                <w:t>Brands Holidings, Inc.; and (iv) Compass Group Diversified Holdings LLC, as the stockholder representative (incorporated by reference to Exhibit</w:t>
              </w:r>
            </w:hyperlink>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160" w:type="dxa"/>
            <w:vAlign w:val="bottom"/>
            <w:tcBorders>
              <w:bottom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60" w:type="dxa"/>
            <w:vAlign w:val="bottom"/>
            <w:gridSpan w:val="43"/>
          </w:tcPr>
          <w:p>
            <w:pPr>
              <w:spacing w:after="0" w:line="129" w:lineRule="exact"/>
              <w:rPr>
                <w:rFonts w:ascii="Arial" w:cs="Arial" w:eastAsia="Arial" w:hAnsi="Arial"/>
                <w:sz w:val="14"/>
                <w:szCs w:val="14"/>
                <w:color w:val="0000FF"/>
              </w:rPr>
            </w:pPr>
            <w:hyperlink r:id="rId170">
              <w:r>
                <w:rPr>
                  <w:rFonts w:ascii="Arial" w:cs="Arial" w:eastAsia="Arial" w:hAnsi="Arial"/>
                  <w:sz w:val="14"/>
                  <w:szCs w:val="14"/>
                  <w:color w:val="0000FF"/>
                </w:rPr>
                <w:t>2.</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of the Form 8-K filed on December 30, 2024 (File No. 001-34927)).</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3.1</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71">
              <w:r>
                <w:rPr>
                  <w:rFonts w:ascii="Arial" w:cs="Arial" w:eastAsia="Arial" w:hAnsi="Arial"/>
                  <w:sz w:val="15"/>
                  <w:szCs w:val="15"/>
                  <w:color w:val="0000FF"/>
                </w:rPr>
                <w:t>Certificate of Trust of Compass Diversified Trust (incorporated by reference to Exhibit 3.1 of the Form S-1 filed on December 14, 2005 (File No.</w:t>
              </w:r>
            </w:hyperlink>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171">
              <w:r>
                <w:rPr>
                  <w:rFonts w:ascii="Arial" w:cs="Arial" w:eastAsia="Arial" w:hAnsi="Arial"/>
                  <w:sz w:val="14"/>
                  <w:szCs w:val="14"/>
                  <w:color w:val="0000FF"/>
                </w:rPr>
                <w:t>333-130326)).</w:t>
              </w:r>
            </w:hyperlink>
          </w:p>
        </w:tc>
        <w:tc>
          <w:tcPr>
            <w:tcW w:w="19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18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3.2</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72">
              <w:r>
                <w:rPr>
                  <w:rFonts w:ascii="Arial" w:cs="Arial" w:eastAsia="Arial" w:hAnsi="Arial"/>
                  <w:sz w:val="15"/>
                  <w:szCs w:val="15"/>
                  <w:color w:val="0000FF"/>
                </w:rPr>
                <w:t>Certificate of Amendment to Certificate of Trust of Compass Diversified Trust (incorporated by reference to Exhibit 3.1 of the Form 8-K filed on</w:t>
              </w:r>
            </w:hyperlink>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94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72">
              <w:r>
                <w:rPr>
                  <w:rFonts w:ascii="Arial" w:cs="Arial" w:eastAsia="Arial" w:hAnsi="Arial"/>
                  <w:sz w:val="14"/>
                  <w:szCs w:val="14"/>
                  <w:color w:val="0000FF"/>
                </w:rPr>
                <w:t>September 13, 2007 (File No. 000-51937)).</w:t>
              </w:r>
            </w:hyperlink>
          </w:p>
        </w:tc>
        <w:tc>
          <w:tcPr>
            <w:tcW w:w="7340" w:type="dxa"/>
            <w:vAlign w:val="bottom"/>
            <w:tcBorders>
              <w:top w:val="single" w:sz="8" w:color="0000FF"/>
            </w:tcBorders>
            <w:gridSpan w:val="40"/>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3.3</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71">
              <w:r>
                <w:rPr>
                  <w:rFonts w:ascii="Arial" w:cs="Arial" w:eastAsia="Arial" w:hAnsi="Arial"/>
                  <w:sz w:val="15"/>
                  <w:szCs w:val="15"/>
                  <w:color w:val="0000FF"/>
                </w:rPr>
                <w:t>Certificate of Formation of Compass Group Diversified Holdings LLC (incorporated by reference to Exhibit 3.3 of the Form S-1 filed on</w:t>
              </w:r>
            </w:hyperlink>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98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171">
              <w:r>
                <w:rPr>
                  <w:rFonts w:ascii="Arial" w:cs="Arial" w:eastAsia="Arial" w:hAnsi="Arial"/>
                  <w:sz w:val="14"/>
                  <w:szCs w:val="14"/>
                  <w:color w:val="0000FF"/>
                </w:rPr>
                <w:t>December 14, 2005 (File No. 333-130326)).</w:t>
              </w:r>
            </w:hyperlink>
          </w:p>
        </w:tc>
        <w:tc>
          <w:tcPr>
            <w:tcW w:w="7360" w:type="dxa"/>
            <w:vAlign w:val="bottom"/>
            <w:tcBorders>
              <w:top w:val="single" w:sz="8" w:color="0000FF"/>
            </w:tcBorders>
            <w:gridSpan w:val="4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3.4</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73">
              <w:r>
                <w:rPr>
                  <w:rFonts w:ascii="Arial" w:cs="Arial" w:eastAsia="Arial" w:hAnsi="Arial"/>
                  <w:sz w:val="15"/>
                  <w:szCs w:val="15"/>
                  <w:color w:val="0000FF"/>
                </w:rPr>
                <w:t>Amended and Restated Trust Agreement of Compass Diversified Trust (incorporated by reference to Exhibit 3.5 of the Amendment No. 4 to the</w:t>
              </w:r>
            </w:hyperlink>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360" w:type="dxa"/>
            <w:vAlign w:val="bottom"/>
            <w:tcBorders>
              <w:top w:val="single" w:sz="8" w:color="0000FF"/>
            </w:tcBorders>
            <w:gridSpan w:val="48"/>
          </w:tcPr>
          <w:p>
            <w:pPr>
              <w:spacing w:after="0" w:line="129" w:lineRule="exact"/>
              <w:rPr>
                <w:rFonts w:ascii="Arial" w:cs="Arial" w:eastAsia="Arial" w:hAnsi="Arial"/>
                <w:sz w:val="14"/>
                <w:szCs w:val="14"/>
                <w:color w:val="0000FF"/>
              </w:rPr>
            </w:pPr>
            <w:hyperlink r:id="rId173">
              <w:r>
                <w:rPr>
                  <w:rFonts w:ascii="Arial" w:cs="Arial" w:eastAsia="Arial" w:hAnsi="Arial"/>
                  <w:sz w:val="14"/>
                  <w:szCs w:val="14"/>
                  <w:color w:val="0000FF"/>
                </w:rPr>
                <w:t>Form S-1 filed on April 26, 2006 (File No. 333-130326)).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gridSpan w:val="8"/>
            <w:shd w:val="clear" w:color="auto" w:fill="0000FF"/>
          </w:tcPr>
          <w:p>
            <w:pPr>
              <w:spacing w:after="0" w:line="20" w:lineRule="exact"/>
              <w:rPr>
                <w:sz w:val="1"/>
                <w:szCs w:val="1"/>
                <w:color w:val="auto"/>
              </w:rPr>
            </w:pPr>
          </w:p>
        </w:tc>
        <w:tc>
          <w:tcPr>
            <w:tcW w:w="3100" w:type="dxa"/>
            <w:vAlign w:val="bottom"/>
            <w:gridSpan w:val="9"/>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3.5</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74">
              <w:r>
                <w:rPr>
                  <w:rFonts w:ascii="Arial" w:cs="Arial" w:eastAsia="Arial" w:hAnsi="Arial"/>
                  <w:sz w:val="15"/>
                  <w:szCs w:val="15"/>
                  <w:color w:val="0000FF"/>
                </w:rPr>
                <w:t>Amendment No. 1 to the Amended and Restated Trust Agreement, dated as of April 25, 2006, of Compass Diversified Trust among Compass</w:t>
              </w:r>
            </w:hyperlink>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6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174">
              <w:r>
                <w:rPr>
                  <w:rFonts w:ascii="Arial" w:cs="Arial" w:eastAsia="Arial" w:hAnsi="Arial"/>
                  <w:sz w:val="14"/>
                  <w:szCs w:val="14"/>
                  <w:color w:val="0000FF"/>
                </w:rPr>
                <w:t>Group Diversified Holdings LLC, as Sponsor, The Bank of New York (Delaware), as Delaware Trustee, and the Regular Trustees named therein</w:t>
              </w:r>
            </w:hyperlink>
          </w:p>
        </w:tc>
        <w:tc>
          <w:tcPr>
            <w:tcW w:w="40" w:type="dxa"/>
            <w:vAlign w:val="bottom"/>
            <w:gridSpan w:val="2"/>
          </w:tcPr>
          <w:p>
            <w:pPr>
              <w:spacing w:after="0"/>
              <w:rPr>
                <w:sz w:val="11"/>
                <w:szCs w:val="11"/>
                <w:color w:val="auto"/>
              </w:rPr>
            </w:pPr>
          </w:p>
        </w:tc>
        <w:tc>
          <w:tcPr>
            <w:tcW w:w="280" w:type="dxa"/>
            <w:vAlign w:val="bottom"/>
            <w:gridSpan w:val="14"/>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80" w:type="dxa"/>
            <w:vAlign w:val="bottom"/>
            <w:tcBorders>
              <w:top w:val="single" w:sz="8" w:color="0000FF"/>
              <w:bottom w:val="single" w:sz="8" w:color="0000FF"/>
            </w:tcBorders>
            <w:gridSpan w:val="17"/>
          </w:tcPr>
          <w:p>
            <w:pPr>
              <w:spacing w:after="0" w:line="129" w:lineRule="exact"/>
              <w:rPr>
                <w:rFonts w:ascii="Arial" w:cs="Arial" w:eastAsia="Arial" w:hAnsi="Arial"/>
                <w:sz w:val="14"/>
                <w:szCs w:val="14"/>
                <w:color w:val="0000FF"/>
              </w:rPr>
            </w:pPr>
            <w:hyperlink r:id="rId174">
              <w:r>
                <w:rPr>
                  <w:rFonts w:ascii="Arial" w:cs="Arial" w:eastAsia="Arial" w:hAnsi="Arial"/>
                  <w:sz w:val="14"/>
                  <w:szCs w:val="14"/>
                  <w:color w:val="0000FF"/>
                </w:rPr>
                <w:t>(incorporated by reference to Exhibit 4.1 of the Form 8-K filed on May 29, 2007 (File No. 000-51937)).</w:t>
              </w:r>
            </w:hyperlink>
          </w:p>
        </w:tc>
        <w:tc>
          <w:tcPr>
            <w:tcW w:w="3160" w:type="dxa"/>
            <w:vAlign w:val="bottom"/>
            <w:tcBorders>
              <w:top w:val="single" w:sz="8" w:color="0000FF"/>
            </w:tcBorders>
            <w:gridSpan w:val="15"/>
          </w:tcPr>
          <w:p>
            <w:pPr>
              <w:spacing w:after="0"/>
              <w:rPr>
                <w:sz w:val="11"/>
                <w:szCs w:val="11"/>
                <w:color w:val="auto"/>
              </w:rPr>
            </w:pPr>
          </w:p>
        </w:tc>
        <w:tc>
          <w:tcPr>
            <w:tcW w:w="60" w:type="dxa"/>
            <w:vAlign w:val="bottom"/>
            <w:gridSpan w:val="3"/>
          </w:tcPr>
          <w:p>
            <w:pPr>
              <w:spacing w:after="0"/>
              <w:rPr>
                <w:sz w:val="11"/>
                <w:szCs w:val="11"/>
                <w:color w:val="auto"/>
              </w:rPr>
            </w:pPr>
          </w:p>
        </w:tc>
        <w:tc>
          <w:tcPr>
            <w:tcW w:w="280" w:type="dxa"/>
            <w:vAlign w:val="bottom"/>
            <w:gridSpan w:val="14"/>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3.6</w:t>
            </w:r>
          </w:p>
        </w:tc>
        <w:tc>
          <w:tcPr>
            <w:tcW w:w="580" w:type="dxa"/>
            <w:vAlign w:val="bottom"/>
          </w:tcPr>
          <w:p>
            <w:pPr>
              <w:spacing w:after="0"/>
              <w:rPr>
                <w:sz w:val="17"/>
                <w:szCs w:val="17"/>
                <w:color w:val="auto"/>
              </w:rPr>
            </w:pPr>
          </w:p>
        </w:tc>
        <w:tc>
          <w:tcPr>
            <w:tcW w:w="10380" w:type="dxa"/>
            <w:vAlign w:val="bottom"/>
            <w:gridSpan w:val="49"/>
          </w:tcPr>
          <w:p>
            <w:pPr>
              <w:spacing w:after="0"/>
              <w:rPr>
                <w:rFonts w:ascii="Arial" w:cs="Arial" w:eastAsia="Arial" w:hAnsi="Arial"/>
                <w:sz w:val="15"/>
                <w:szCs w:val="15"/>
                <w:color w:val="0000FF"/>
              </w:rPr>
            </w:pPr>
            <w:hyperlink r:id="rId172">
              <w:r>
                <w:rPr>
                  <w:rFonts w:ascii="Arial" w:cs="Arial" w:eastAsia="Arial" w:hAnsi="Arial"/>
                  <w:sz w:val="15"/>
                  <w:szCs w:val="15"/>
                  <w:color w:val="0000FF"/>
                </w:rPr>
                <w:t>Second Amendment to the Amended and Restated Trust Agreement, dated as of April 25, 2006, as amended on May 23, 2007, of Compass</w:t>
              </w:r>
            </w:hyperlink>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80" w:type="dxa"/>
            <w:vAlign w:val="bottom"/>
            <w:tcBorders>
              <w:top w:val="single" w:sz="8" w:color="0000FF"/>
            </w:tcBorders>
            <w:gridSpan w:val="39"/>
          </w:tcPr>
          <w:p>
            <w:pPr>
              <w:spacing w:after="0" w:line="129" w:lineRule="exact"/>
              <w:rPr>
                <w:rFonts w:ascii="Arial" w:cs="Arial" w:eastAsia="Arial" w:hAnsi="Arial"/>
                <w:sz w:val="14"/>
                <w:szCs w:val="14"/>
                <w:color w:val="0000FF"/>
              </w:rPr>
            </w:pPr>
            <w:hyperlink r:id="rId172">
              <w:r>
                <w:rPr>
                  <w:rFonts w:ascii="Arial" w:cs="Arial" w:eastAsia="Arial" w:hAnsi="Arial"/>
                  <w:sz w:val="14"/>
                  <w:szCs w:val="14"/>
                  <w:color w:val="0000FF"/>
                </w:rPr>
                <w:t>Diversified Trust among Compass Group Diversified Holdings LLC, as Sponsor, The Bank of New York (Delaware), as Delaware Trustee, and the</w:t>
              </w:r>
            </w:hyperlink>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0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172">
              <w:r>
                <w:rPr>
                  <w:rFonts w:ascii="Arial" w:cs="Arial" w:eastAsia="Arial" w:hAnsi="Arial"/>
                  <w:sz w:val="14"/>
                  <w:szCs w:val="14"/>
                  <w:color w:val="0000FF"/>
                </w:rPr>
                <w:t>Regular Trustees named therein (incorporated by reference to Exhibit 3.2 of the Form 8-K filed on September 13, 2007 (File No. 000-51937)).</w:t>
              </w:r>
            </w:hyperlink>
          </w:p>
        </w:tc>
        <w:tc>
          <w:tcPr>
            <w:tcW w:w="280" w:type="dxa"/>
            <w:vAlign w:val="bottom"/>
            <w:gridSpan w:val="1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560" w:type="dxa"/>
            <w:vAlign w:val="bottom"/>
            <w:gridSpan w:val="22"/>
            <w:shd w:val="clear" w:color="auto" w:fill="0000FF"/>
          </w:tcPr>
          <w:p>
            <w:pPr>
              <w:spacing w:after="0" w:line="20" w:lineRule="exact"/>
              <w:rPr>
                <w:sz w:val="1"/>
                <w:szCs w:val="1"/>
                <w:color w:val="auto"/>
              </w:rPr>
            </w:pPr>
          </w:p>
        </w:tc>
        <w:tc>
          <w:tcPr>
            <w:tcW w:w="82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80" w:type="dxa"/>
            <w:vAlign w:val="bottom"/>
          </w:tcPr>
          <w:p>
            <w:pPr>
              <w:spacing w:after="0"/>
              <w:rPr>
                <w:sz w:val="20"/>
                <w:szCs w:val="20"/>
                <w:color w:val="auto"/>
              </w:rPr>
            </w:pPr>
            <w:r>
              <w:rPr>
                <w:rFonts w:ascii="Arial" w:cs="Arial" w:eastAsia="Arial" w:hAnsi="Arial"/>
                <w:sz w:val="15"/>
                <w:szCs w:val="15"/>
                <w:color w:val="auto"/>
              </w:rPr>
              <w:t>3.7</w:t>
            </w:r>
          </w:p>
        </w:tc>
        <w:tc>
          <w:tcPr>
            <w:tcW w:w="580" w:type="dxa"/>
            <w:vAlign w:val="bottom"/>
          </w:tcPr>
          <w:p>
            <w:pPr>
              <w:spacing w:after="0"/>
              <w:rPr>
                <w:sz w:val="16"/>
                <w:szCs w:val="16"/>
                <w:color w:val="auto"/>
              </w:rPr>
            </w:pPr>
          </w:p>
        </w:tc>
        <w:tc>
          <w:tcPr>
            <w:tcW w:w="10380" w:type="dxa"/>
            <w:vAlign w:val="bottom"/>
            <w:gridSpan w:val="49"/>
          </w:tcPr>
          <w:p>
            <w:pPr>
              <w:spacing w:after="0"/>
              <w:rPr>
                <w:rFonts w:ascii="Arial" w:cs="Arial" w:eastAsia="Arial" w:hAnsi="Arial"/>
                <w:sz w:val="15"/>
                <w:szCs w:val="15"/>
                <w:u w:val="single" w:color="auto"/>
                <w:color w:val="0000FF"/>
              </w:rPr>
            </w:pPr>
            <w:hyperlink r:id="rId177">
              <w:r>
                <w:rPr>
                  <w:rFonts w:ascii="Arial" w:cs="Arial" w:eastAsia="Arial" w:hAnsi="Arial"/>
                  <w:sz w:val="15"/>
                  <w:szCs w:val="15"/>
                  <w:u w:val="single" w:color="auto"/>
                  <w:color w:val="0000FF"/>
                </w:rPr>
                <w:t>Third Amendment to the Amended and Restated Trust Agreement dated as of April 25, 2006, as amended on May 25, 2007 and September 14,</w:t>
              </w:r>
            </w:hyperlink>
          </w:p>
        </w:tc>
        <w:tc>
          <w:tcPr>
            <w:tcW w:w="0" w:type="dxa"/>
            <w:vAlign w:val="bottom"/>
          </w:tcPr>
          <w:p>
            <w:pPr>
              <w:spacing w:after="0"/>
              <w:rPr>
                <w:sz w:val="1"/>
                <w:szCs w:val="1"/>
                <w:color w:val="auto"/>
              </w:rPr>
            </w:pPr>
          </w:p>
        </w:tc>
      </w:tr>
    </w:tbl>
    <w:p>
      <w:pPr>
        <w:ind w:left="1160"/>
        <w:spacing w:after="0" w:line="216" w:lineRule="auto"/>
        <w:rPr>
          <w:rFonts w:ascii="Arial" w:cs="Arial" w:eastAsia="Arial" w:hAnsi="Arial"/>
          <w:sz w:val="15"/>
          <w:szCs w:val="15"/>
          <w:u w:val="single" w:color="auto"/>
          <w:color w:val="0000FF"/>
        </w:rPr>
      </w:pPr>
      <w:hyperlink r:id="rId177">
        <w:r>
          <w:rPr>
            <w:rFonts w:ascii="Arial" w:cs="Arial" w:eastAsia="Arial" w:hAnsi="Arial"/>
            <w:sz w:val="15"/>
            <w:szCs w:val="15"/>
            <w:u w:val="single" w:color="auto"/>
            <w:color w:val="0000FF"/>
          </w:rPr>
          <w:t>2007, of Compass Diversified Holdings among Compass Group Diversified Holdings LLC, as Sponsor, The Bank of New York (Delaware), as</w:t>
        </w:r>
      </w:hyperlink>
      <w:r>
        <w:rPr>
          <w:rFonts w:ascii="Arial" w:cs="Arial" w:eastAsia="Arial" w:hAnsi="Arial"/>
          <w:sz w:val="15"/>
          <w:szCs w:val="15"/>
          <w:u w:val="single" w:color="auto"/>
          <w:color w:val="0000FF"/>
        </w:rPr>
        <w:t xml:space="preserve"> </w:t>
      </w:r>
      <w:hyperlink r:id="rId177">
        <w:r>
          <w:rPr>
            <w:rFonts w:ascii="Arial" w:cs="Arial" w:eastAsia="Arial" w:hAnsi="Arial"/>
            <w:sz w:val="15"/>
            <w:szCs w:val="15"/>
            <w:u w:val="single" w:color="auto"/>
            <w:color w:val="0000FF"/>
          </w:rPr>
          <w:t>Delaware Trustee, and the Regular Trustees named therein (incorporated by reference to Exhibit 4.1 of the Form 8-K filed on December 21, 2007</w:t>
        </w:r>
      </w:hyperlink>
    </w:p>
    <w:p>
      <w:pPr>
        <w:ind w:left="1160"/>
        <w:spacing w:after="0"/>
        <w:rPr>
          <w:rFonts w:ascii="Arial" w:cs="Arial" w:eastAsia="Arial" w:hAnsi="Arial"/>
          <w:sz w:val="15"/>
          <w:szCs w:val="15"/>
          <w:u w:val="single" w:color="auto"/>
          <w:color w:val="0000FF"/>
        </w:rPr>
      </w:pPr>
      <w:hyperlink r:id="rId177">
        <w:r>
          <w:rPr>
            <w:rFonts w:ascii="Arial" w:cs="Arial" w:eastAsia="Arial" w:hAnsi="Arial"/>
            <w:sz w:val="15"/>
            <w:szCs w:val="15"/>
            <w:u w:val="single" w:color="auto"/>
            <w:color w:val="0000FF"/>
          </w:rPr>
          <w:t>(File No. 000-51937)).</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445" w:right="37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120" w:type="dxa"/>
            <w:vAlign w:val="bottom"/>
            <w:gridSpan w:val="37"/>
          </w:tcPr>
          <w:p>
            <w:pPr>
              <w:jc w:val="center"/>
              <w:ind w:right="4400"/>
              <w:spacing w:after="0"/>
              <w:rPr>
                <w:sz w:val="20"/>
                <w:szCs w:val="20"/>
                <w:color w:val="auto"/>
              </w:rPr>
            </w:pPr>
            <w:r>
              <w:rPr>
                <w:rFonts w:ascii="Arial" w:cs="Arial" w:eastAsia="Arial" w:hAnsi="Arial"/>
                <w:sz w:val="18"/>
                <w:szCs w:val="18"/>
                <w:b w:val="1"/>
                <w:bCs w:val="1"/>
                <w:color w:val="auto"/>
                <w:w w:val="99"/>
              </w:rPr>
              <w:t>INDEX TO EXHIBITS</w:t>
            </w:r>
          </w:p>
        </w:tc>
        <w:tc>
          <w:tcPr>
            <w:tcW w:w="0" w:type="dxa"/>
            <w:vAlign w:val="bottom"/>
          </w:tcPr>
          <w:p>
            <w:pPr>
              <w:spacing w:after="0"/>
              <w:rPr>
                <w:sz w:val="1"/>
                <w:szCs w:val="1"/>
                <w:color w:val="auto"/>
              </w:rPr>
            </w:pPr>
          </w:p>
        </w:tc>
      </w:tr>
      <w:tr>
        <w:trPr>
          <w:trHeight w:val="1163"/>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restart"/>
          </w:tcPr>
          <w:p>
            <w:pPr>
              <w:spacing w:after="0"/>
              <w:rPr>
                <w:sz w:val="24"/>
                <w:szCs w:val="24"/>
                <w:color w:val="auto"/>
              </w:rPr>
            </w:pPr>
          </w:p>
        </w:tc>
        <w:tc>
          <w:tcPr>
            <w:tcW w:w="5600" w:type="dxa"/>
            <w:vAlign w:val="bottom"/>
            <w:gridSpan w:val="32"/>
            <w:vMerge w:val="restart"/>
          </w:tcPr>
          <w:p>
            <w:pPr>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Number</w:t>
            </w: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5600" w:type="dxa"/>
            <w:vAlign w:val="bottom"/>
            <w:gridSpan w:val="3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20" w:type="dxa"/>
            <w:vAlign w:val="bottom"/>
            <w:tcBorders>
              <w:right w:val="single" w:sz="8" w:color="auto"/>
            </w:tcBorders>
            <w:gridSpan w:val="2"/>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3.8</w:t>
            </w:r>
          </w:p>
        </w:tc>
        <w:tc>
          <w:tcPr>
            <w:tcW w:w="580" w:type="dxa"/>
            <w:vAlign w:val="bottom"/>
          </w:tcPr>
          <w:p>
            <w:pPr>
              <w:spacing w:after="0"/>
              <w:rPr>
                <w:sz w:val="16"/>
                <w:szCs w:val="16"/>
                <w:color w:val="auto"/>
              </w:rPr>
            </w:pPr>
          </w:p>
        </w:tc>
        <w:tc>
          <w:tcPr>
            <w:tcW w:w="10180" w:type="dxa"/>
            <w:vAlign w:val="bottom"/>
            <w:gridSpan w:val="41"/>
          </w:tcPr>
          <w:p>
            <w:pPr>
              <w:spacing w:after="0"/>
              <w:rPr>
                <w:rFonts w:ascii="Arial" w:cs="Arial" w:eastAsia="Arial" w:hAnsi="Arial"/>
                <w:sz w:val="15"/>
                <w:szCs w:val="15"/>
                <w:color w:val="0000FF"/>
              </w:rPr>
            </w:pPr>
            <w:hyperlink r:id="rId178">
              <w:r>
                <w:rPr>
                  <w:rFonts w:ascii="Arial" w:cs="Arial" w:eastAsia="Arial" w:hAnsi="Arial"/>
                  <w:sz w:val="15"/>
                  <w:szCs w:val="15"/>
                  <w:color w:val="0000FF"/>
                </w:rPr>
                <w:t>Fourth Amendment dated as of November 1, 2010 to the Amended and Restated Trust Agreement, as amended effective November 1, 2010, of</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40" w:type="dxa"/>
            <w:vAlign w:val="bottom"/>
            <w:tcBorders>
              <w:top w:val="single" w:sz="8" w:color="0000FF"/>
            </w:tcBorders>
            <w:gridSpan w:val="39"/>
          </w:tcPr>
          <w:p>
            <w:pPr>
              <w:spacing w:after="0" w:line="129" w:lineRule="exact"/>
              <w:rPr>
                <w:rFonts w:ascii="Arial" w:cs="Arial" w:eastAsia="Arial" w:hAnsi="Arial"/>
                <w:sz w:val="14"/>
                <w:szCs w:val="14"/>
                <w:color w:val="0000FF"/>
              </w:rPr>
            </w:pPr>
            <w:hyperlink r:id="rId178">
              <w:r>
                <w:rPr>
                  <w:rFonts w:ascii="Arial" w:cs="Arial" w:eastAsia="Arial" w:hAnsi="Arial"/>
                  <w:sz w:val="14"/>
                  <w:szCs w:val="14"/>
                  <w:color w:val="0000FF"/>
                </w:rPr>
                <w:t>Compass Diversified Holdings, originally effective as of April 25, 2006, by and among Compass Group Diversified Holdings LLC, as Sponsor, The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6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178">
              <w:r>
                <w:rPr>
                  <w:rFonts w:ascii="Arial" w:cs="Arial" w:eastAsia="Arial" w:hAnsi="Arial"/>
                  <w:sz w:val="14"/>
                  <w:szCs w:val="14"/>
                  <w:color w:val="0000FF"/>
                </w:rPr>
                <w:t>Bank of New York (Delaware), as Delaware Trustee, and the Regular Trustees named therein (incorporated by reference to Exhibit 3.1 of the Form</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40" w:type="dxa"/>
            <w:vAlign w:val="bottom"/>
            <w:tcBorders>
              <w:top w:val="single" w:sz="8" w:color="0000FF"/>
            </w:tcBorders>
            <w:gridSpan w:val="34"/>
          </w:tcPr>
          <w:p>
            <w:pPr>
              <w:spacing w:after="0" w:line="142" w:lineRule="exact"/>
              <w:rPr>
                <w:rFonts w:ascii="Arial" w:cs="Arial" w:eastAsia="Arial" w:hAnsi="Arial"/>
                <w:sz w:val="15"/>
                <w:szCs w:val="15"/>
                <w:color w:val="0000FF"/>
              </w:rPr>
            </w:pPr>
            <w:hyperlink r:id="rId178">
              <w:r>
                <w:rPr>
                  <w:rFonts w:ascii="Arial" w:cs="Arial" w:eastAsia="Arial" w:hAnsi="Arial"/>
                  <w:sz w:val="15"/>
                  <w:szCs w:val="15"/>
                  <w:color w:val="0000FF"/>
                </w:rPr>
                <w:t>10-Q filed on November 8, 2010 (File No. 001-34927)).</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3.9</w:t>
            </w:r>
          </w:p>
        </w:tc>
        <w:tc>
          <w:tcPr>
            <w:tcW w:w="580" w:type="dxa"/>
            <w:vAlign w:val="bottom"/>
          </w:tcPr>
          <w:p>
            <w:pPr>
              <w:spacing w:after="0"/>
              <w:rPr>
                <w:sz w:val="15"/>
                <w:szCs w:val="15"/>
                <w:color w:val="auto"/>
              </w:rPr>
            </w:pPr>
          </w:p>
        </w:tc>
        <w:tc>
          <w:tcPr>
            <w:tcW w:w="10180" w:type="dxa"/>
            <w:vAlign w:val="bottom"/>
            <w:gridSpan w:val="41"/>
          </w:tcPr>
          <w:p>
            <w:pPr>
              <w:spacing w:after="0"/>
              <w:rPr>
                <w:rFonts w:ascii="Arial" w:cs="Arial" w:eastAsia="Arial" w:hAnsi="Arial"/>
                <w:sz w:val="15"/>
                <w:szCs w:val="15"/>
                <w:color w:val="0000FF"/>
              </w:rPr>
            </w:pPr>
            <w:hyperlink r:id="rId179">
              <w:r>
                <w:rPr>
                  <w:rFonts w:ascii="Arial" w:cs="Arial" w:eastAsia="Arial" w:hAnsi="Arial"/>
                  <w:sz w:val="15"/>
                  <w:szCs w:val="15"/>
                  <w:color w:val="0000FF"/>
                </w:rPr>
                <w:t>Second Amended and Restated Trust Agreement of the Trust (incorporated by reference to Exhibit 3.1 of the Form 8-K filed on December 7, 2016</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60" w:type="dxa"/>
            <w:vAlign w:val="bottom"/>
            <w:tcBorders>
              <w:top w:val="single" w:sz="8" w:color="0000FF"/>
            </w:tcBorders>
            <w:gridSpan w:val="40"/>
          </w:tcPr>
          <w:p>
            <w:pPr>
              <w:spacing w:after="0" w:line="129" w:lineRule="exact"/>
              <w:rPr>
                <w:rFonts w:ascii="Arial" w:cs="Arial" w:eastAsia="Arial" w:hAnsi="Arial"/>
                <w:sz w:val="14"/>
                <w:szCs w:val="14"/>
                <w:color w:val="0000FF"/>
              </w:rPr>
            </w:pPr>
            <w:hyperlink r:id="rId179">
              <w:r>
                <w:rPr>
                  <w:rFonts w:ascii="Arial" w:cs="Arial" w:eastAsia="Arial" w:hAnsi="Arial"/>
                  <w:sz w:val="14"/>
                  <w:szCs w:val="14"/>
                  <w:color w:val="0000FF"/>
                </w:rPr>
                <w:t>(File No. 001-34927)).</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3.10</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0">
              <w:r>
                <w:rPr>
                  <w:rFonts w:ascii="Arial" w:cs="Arial" w:eastAsia="Arial" w:hAnsi="Arial"/>
                  <w:sz w:val="15"/>
                  <w:szCs w:val="15"/>
                  <w:color w:val="0000FF"/>
                </w:rPr>
                <w:t>Third Amended and Restated Trust Agreement of the Trust (incorporated by reference to Exhibit 3.1 of the Form 8-K filed on August 4, 2021 (File</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8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180">
              <w:r>
                <w:rPr>
                  <w:rFonts w:ascii="Arial" w:cs="Arial" w:eastAsia="Arial" w:hAnsi="Arial"/>
                  <w:sz w:val="14"/>
                  <w:szCs w:val="14"/>
                  <w:color w:val="0000FF"/>
                </w:rPr>
                <w:t>No. 001-34927)).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3.11</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1">
              <w:r>
                <w:rPr>
                  <w:rFonts w:ascii="Arial" w:cs="Arial" w:eastAsia="Arial" w:hAnsi="Arial"/>
                  <w:sz w:val="15"/>
                  <w:szCs w:val="15"/>
                  <w:color w:val="0000FF"/>
                </w:rPr>
                <w:t>First Amendment to the Third Amended and Restated Trust Agreement of the Trust (incorporated by reference to Exhibit 3.1 of the Form 8-K filed</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6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81">
              <w:r>
                <w:rPr>
                  <w:rFonts w:ascii="Arial" w:cs="Arial" w:eastAsia="Arial" w:hAnsi="Arial"/>
                  <w:sz w:val="14"/>
                  <w:szCs w:val="14"/>
                  <w:color w:val="0000FF"/>
                </w:rPr>
                <w:t>on September 3, 2024 (File No. 001-34927)).</w:t>
              </w:r>
            </w:hyperlink>
          </w:p>
        </w:tc>
        <w:tc>
          <w:tcPr>
            <w:tcW w:w="6940" w:type="dxa"/>
            <w:vAlign w:val="bottom"/>
            <w:tcBorders>
              <w:top w:val="single" w:sz="8" w:color="0000FF"/>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3.12</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2">
              <w:r>
                <w:rPr>
                  <w:rFonts w:ascii="Arial" w:cs="Arial" w:eastAsia="Arial" w:hAnsi="Arial"/>
                  <w:sz w:val="15"/>
                  <w:szCs w:val="15"/>
                  <w:color w:val="0000FF"/>
                </w:rPr>
                <w:t>Second Amended and Restated Operating Agreement of Compass Group Diversified Holdings, LLC dated January 9, 2007 (incorporated by</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2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182">
              <w:r>
                <w:rPr>
                  <w:rFonts w:ascii="Arial" w:cs="Arial" w:eastAsia="Arial" w:hAnsi="Arial"/>
                  <w:sz w:val="14"/>
                  <w:szCs w:val="14"/>
                  <w:color w:val="0000FF"/>
                </w:rPr>
                <w:t>reference to Exhibit 10.2 of the Form 8-K filed on January 10, 2007 (File No. 000-51937)).</w:t>
              </w:r>
            </w:hyperlink>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3.13</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78">
              <w:r>
                <w:rPr>
                  <w:rFonts w:ascii="Arial" w:cs="Arial" w:eastAsia="Arial" w:hAnsi="Arial"/>
                  <w:sz w:val="15"/>
                  <w:szCs w:val="15"/>
                  <w:color w:val="0000FF"/>
                </w:rPr>
                <w:t>Third Amended and Restated Operating Agreement of Compass Group Diversified Holdings LLC dated November 1, 2010 (incorporated by</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6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178">
              <w:r>
                <w:rPr>
                  <w:rFonts w:ascii="Arial" w:cs="Arial" w:eastAsia="Arial" w:hAnsi="Arial"/>
                  <w:sz w:val="14"/>
                  <w:szCs w:val="14"/>
                  <w:color w:val="0000FF"/>
                </w:rPr>
                <w:t>reference to Exhibit 3.2 of the Form 10-Q filed on November 8, 2010 (File No. 001-34927)).</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3.14</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3">
              <w:r>
                <w:rPr>
                  <w:rFonts w:ascii="Arial" w:cs="Arial" w:eastAsia="Arial" w:hAnsi="Arial"/>
                  <w:sz w:val="15"/>
                  <w:szCs w:val="15"/>
                  <w:color w:val="0000FF"/>
                </w:rPr>
                <w:t>Fourth Amended and Restated Operating Agreement of Compass Group Diversified Holdings LLC, dated January 1, 2012 (incorporated by</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00" w:type="dxa"/>
            <w:vAlign w:val="bottom"/>
            <w:tcBorders>
              <w:top w:val="single" w:sz="8" w:color="0000FF"/>
            </w:tcBorders>
            <w:gridSpan w:val="37"/>
          </w:tcPr>
          <w:p>
            <w:pPr>
              <w:spacing w:after="0" w:line="129" w:lineRule="exact"/>
              <w:rPr>
                <w:rFonts w:ascii="Arial" w:cs="Arial" w:eastAsia="Arial" w:hAnsi="Arial"/>
                <w:sz w:val="14"/>
                <w:szCs w:val="14"/>
                <w:color w:val="0000FF"/>
              </w:rPr>
            </w:pPr>
            <w:hyperlink r:id="rId183">
              <w:r>
                <w:rPr>
                  <w:rFonts w:ascii="Arial" w:cs="Arial" w:eastAsia="Arial" w:hAnsi="Arial"/>
                  <w:sz w:val="14"/>
                  <w:szCs w:val="14"/>
                  <w:color w:val="0000FF"/>
                </w:rPr>
                <w:t>reference to Exhibit 3.1 of the Form 10-Q filed on May 7, 2013 (File No. 001-34927)).</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3.15</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79">
              <w:r>
                <w:rPr>
                  <w:rFonts w:ascii="Arial" w:cs="Arial" w:eastAsia="Arial" w:hAnsi="Arial"/>
                  <w:sz w:val="15"/>
                  <w:szCs w:val="15"/>
                  <w:color w:val="0000FF"/>
                </w:rPr>
                <w:t>Fifth Amended and Restated Operating Agreement of the Company (incorporated by reference to Exhibit 3.2 of the Form 8-K filed on December 7,</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2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179">
              <w:r>
                <w:rPr>
                  <w:rFonts w:ascii="Arial" w:cs="Arial" w:eastAsia="Arial" w:hAnsi="Arial"/>
                  <w:sz w:val="14"/>
                  <w:szCs w:val="14"/>
                  <w:color w:val="0000FF"/>
                </w:rPr>
                <w:t>2016 (File No. 001-34927)).</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3.16</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4">
              <w:r>
                <w:rPr>
                  <w:rFonts w:ascii="Arial" w:cs="Arial" w:eastAsia="Arial" w:hAnsi="Arial"/>
                  <w:sz w:val="15"/>
                  <w:szCs w:val="15"/>
                  <w:color w:val="0000FF"/>
                </w:rPr>
                <w:t>Sixth Amended and Restated Operating Agreement of the Company (incorporated by reference to Exhibit 3.2 of the Form 8-K filed on August 4,</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72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184">
              <w:r>
                <w:rPr>
                  <w:rFonts w:ascii="Arial" w:cs="Arial" w:eastAsia="Arial" w:hAnsi="Arial"/>
                  <w:sz w:val="14"/>
                  <w:szCs w:val="14"/>
                  <w:color w:val="0000FF"/>
                </w:rPr>
                <w:t>2021 (File No. 001-34927)).</w:t>
              </w:r>
            </w:hyperlink>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3.17</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5">
              <w:r>
                <w:rPr>
                  <w:rFonts w:ascii="Arial" w:cs="Arial" w:eastAsia="Arial" w:hAnsi="Arial"/>
                  <w:sz w:val="15"/>
                  <w:szCs w:val="15"/>
                  <w:color w:val="0000FF"/>
                </w:rPr>
                <w:t>First Amendment to the Sixth Amended and Restated Operating Agreement of the Company (incorporated by reference to Exhibit 3.1 of the Form</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2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185">
              <w:r>
                <w:rPr>
                  <w:rFonts w:ascii="Arial" w:cs="Arial" w:eastAsia="Arial" w:hAnsi="Arial"/>
                  <w:sz w:val="14"/>
                  <w:szCs w:val="14"/>
                  <w:color w:val="0000FF"/>
                </w:rPr>
                <w:t>8-K filed on February 14, 2022 (File No. 001-34927)).</w:t>
              </w:r>
            </w:hyperlink>
          </w:p>
        </w:tc>
        <w:tc>
          <w:tcPr>
            <w:tcW w:w="6220" w:type="dxa"/>
            <w:vAlign w:val="bottom"/>
            <w:tcBorders>
              <w:top w:val="single" w:sz="8" w:color="0000FF"/>
            </w:tcBorders>
            <w:gridSpan w:val="2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3.18</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1">
              <w:r>
                <w:rPr>
                  <w:rFonts w:ascii="Arial" w:cs="Arial" w:eastAsia="Arial" w:hAnsi="Arial"/>
                  <w:sz w:val="15"/>
                  <w:szCs w:val="15"/>
                  <w:color w:val="0000FF"/>
                </w:rPr>
                <w:t>Second Amendment to the Sixth Amended and Restated Operating Agreement of the Company (incorporated by reference to Exhibit 3.2 of the</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6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81">
              <w:r>
                <w:rPr>
                  <w:rFonts w:ascii="Arial" w:cs="Arial" w:eastAsia="Arial" w:hAnsi="Arial"/>
                  <w:sz w:val="14"/>
                  <w:szCs w:val="14"/>
                  <w:color w:val="0000FF"/>
                </w:rPr>
                <w:t>Form 8-K filed on September 3, 2024 (File No. 001-34927)).</w:t>
              </w:r>
            </w:hyperlink>
          </w:p>
        </w:tc>
        <w:tc>
          <w:tcPr>
            <w:tcW w:w="8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3.19</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6">
              <w:r>
                <w:rPr>
                  <w:rFonts w:ascii="Arial" w:cs="Arial" w:eastAsia="Arial" w:hAnsi="Arial"/>
                  <w:sz w:val="15"/>
                  <w:szCs w:val="15"/>
                  <w:color w:val="0000FF"/>
                </w:rPr>
                <w:t>Amended and Restated Share Designation of Compass Diversified Holdings with respect to Series A Preferred Shares (incorporated by reference</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6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186">
              <w:r>
                <w:rPr>
                  <w:rFonts w:ascii="Arial" w:cs="Arial" w:eastAsia="Arial" w:hAnsi="Arial"/>
                  <w:sz w:val="14"/>
                  <w:szCs w:val="14"/>
                  <w:color w:val="0000FF"/>
                </w:rPr>
                <w:t>to Exhibit 3.3 of the Form 8-K filed on August 4, 2021 (File No. 001-34927)).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60" w:type="dxa"/>
            <w:vAlign w:val="bottom"/>
            <w:gridSpan w:val="8"/>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3.20</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Amended and Restated Share Designation of Compass Diversified Holdings with respect to Series A Preferred Shares</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3.1 of the Form 8-K filed on March 20, 2024 (File No. 001-34926)).</w:t>
              </w:r>
            </w:hyperlink>
          </w:p>
        </w:tc>
        <w:tc>
          <w:tcPr>
            <w:tcW w:w="238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1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3.21</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8">
              <w:r>
                <w:rPr>
                  <w:rFonts w:ascii="Arial" w:cs="Arial" w:eastAsia="Arial" w:hAnsi="Arial"/>
                  <w:sz w:val="15"/>
                  <w:szCs w:val="15"/>
                  <w:color w:val="0000FF"/>
                </w:rPr>
                <w:t>Second Amendment to Amended and Restated Share Designation of Compass Diversified Holdings with respect to Series A Preferred Shares</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40" w:type="dxa"/>
            <w:vAlign w:val="bottom"/>
            <w:tcBorders>
              <w:top w:val="single" w:sz="8" w:color="0000FF"/>
              <w:bottom w:val="single" w:sz="8" w:color="0000FF"/>
            </w:tcBorders>
            <w:gridSpan w:val="17"/>
          </w:tcPr>
          <w:p>
            <w:pPr>
              <w:spacing w:after="0" w:line="129" w:lineRule="exact"/>
              <w:rPr>
                <w:rFonts w:ascii="Arial" w:cs="Arial" w:eastAsia="Arial" w:hAnsi="Arial"/>
                <w:sz w:val="14"/>
                <w:szCs w:val="14"/>
                <w:color w:val="0000FF"/>
              </w:rPr>
            </w:pPr>
            <w:hyperlink r:id="rId188">
              <w:r>
                <w:rPr>
                  <w:rFonts w:ascii="Arial" w:cs="Arial" w:eastAsia="Arial" w:hAnsi="Arial"/>
                  <w:sz w:val="14"/>
                  <w:szCs w:val="14"/>
                  <w:color w:val="0000FF"/>
                </w:rPr>
                <w:t>(incorporated by reference Exhibit 4.11 of the Form S-3 filed on September 4, 2024 (File No. 333-281931)).</w:t>
              </w:r>
            </w:hyperlink>
          </w:p>
        </w:tc>
        <w:tc>
          <w:tcPr>
            <w:tcW w:w="238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1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3.22</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9">
              <w:r>
                <w:rPr>
                  <w:rFonts w:ascii="Arial" w:cs="Arial" w:eastAsia="Arial" w:hAnsi="Arial"/>
                  <w:sz w:val="15"/>
                  <w:szCs w:val="15"/>
                  <w:color w:val="0000FF"/>
                </w:rPr>
                <w:t>Compass Group Diversified Holdings LLC Trust Interest Designation of Series A Trust Preferred Interests (incorporated by reference to Exhibit 3.2</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16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189">
              <w:r>
                <w:rPr>
                  <w:rFonts w:ascii="Arial" w:cs="Arial" w:eastAsia="Arial" w:hAnsi="Arial"/>
                  <w:sz w:val="14"/>
                  <w:szCs w:val="14"/>
                  <w:color w:val="0000FF"/>
                </w:rPr>
                <w:t>of the Form 8-K filed on June 28, 2017 (File No. 001-34927)).</w:t>
              </w:r>
            </w:hyperlink>
          </w:p>
        </w:tc>
        <w:tc>
          <w:tcPr>
            <w:tcW w:w="5740" w:type="dxa"/>
            <w:vAlign w:val="bottom"/>
            <w:tcBorders>
              <w:top w:val="single" w:sz="8" w:color="0000FF"/>
            </w:tcBorders>
            <w:gridSpan w:val="22"/>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3.23</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Trust Interest Designation of Compass Group Diversified Holdings LLC with respect to Series A Trust Preferred Interests</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3.4 of the Form 8-K filed on March 20, 2024 (File No. 001-34926)).</w:t>
              </w:r>
            </w:hyperlink>
          </w:p>
        </w:tc>
        <w:tc>
          <w:tcPr>
            <w:tcW w:w="2500" w:type="dxa"/>
            <w:vAlign w:val="bottom"/>
            <w:tcBorders>
              <w:top w:val="single" w:sz="8" w:color="0000FF"/>
            </w:tcBorders>
            <w:gridSpan w:val="5"/>
          </w:tcPr>
          <w:p>
            <w:pPr>
              <w:spacing w:after="0"/>
              <w:rPr>
                <w:sz w:val="11"/>
                <w:szCs w:val="11"/>
                <w:color w:val="auto"/>
              </w:rPr>
            </w:pPr>
          </w:p>
        </w:tc>
        <w:tc>
          <w:tcPr>
            <w:tcW w:w="12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14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3.24</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90">
              <w:r>
                <w:rPr>
                  <w:rFonts w:ascii="Arial" w:cs="Arial" w:eastAsia="Arial" w:hAnsi="Arial"/>
                  <w:sz w:val="15"/>
                  <w:szCs w:val="15"/>
                  <w:color w:val="0000FF"/>
                </w:rPr>
                <w:t>Second Amendment to Trust Interest Designation of Compass Group Diversified Holdings LLC with respect to Series A Trust Preferred Interests</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6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rPr>
            </w:pPr>
            <w:hyperlink r:id="rId190">
              <w:r>
                <w:rPr>
                  <w:rFonts w:ascii="Arial" w:cs="Arial" w:eastAsia="Arial" w:hAnsi="Arial"/>
                  <w:sz w:val="14"/>
                  <w:szCs w:val="14"/>
                  <w:color w:val="0000FF"/>
                </w:rPr>
                <w:t>(incorporated by reference Exhibit 4.14 of the Form S-3 filed on September 4, 2024 (File No. 333-281931)).</w:t>
              </w:r>
            </w:hyperlink>
          </w:p>
        </w:tc>
        <w:tc>
          <w:tcPr>
            <w:tcW w:w="2480" w:type="dxa"/>
            <w:vAlign w:val="bottom"/>
            <w:tcBorders>
              <w:top w:val="single" w:sz="8" w:color="0000FF"/>
            </w:tcBorders>
            <w:gridSpan w:val="8"/>
          </w:tcPr>
          <w:p>
            <w:pPr>
              <w:spacing w:after="0"/>
              <w:rPr>
                <w:sz w:val="11"/>
                <w:szCs w:val="11"/>
                <w:color w:val="auto"/>
              </w:rPr>
            </w:pPr>
          </w:p>
        </w:tc>
        <w:tc>
          <w:tcPr>
            <w:tcW w:w="14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3.25</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91">
              <w:r>
                <w:rPr>
                  <w:rFonts w:ascii="Arial" w:cs="Arial" w:eastAsia="Arial" w:hAnsi="Arial"/>
                  <w:sz w:val="15"/>
                  <w:szCs w:val="15"/>
                  <w:color w:val="0000FF"/>
                </w:rPr>
                <w:t>Amended and Restated Share Designation of Compass Diversified Holdings with respect to Series B Preferred Shares (incorporated by reference</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6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191">
              <w:r>
                <w:rPr>
                  <w:rFonts w:ascii="Arial" w:cs="Arial" w:eastAsia="Arial" w:hAnsi="Arial"/>
                  <w:sz w:val="14"/>
                  <w:szCs w:val="14"/>
                  <w:color w:val="0000FF"/>
                </w:rPr>
                <w:t>to Exhibit 3.4 of the Form 8-K filed on August 4, 2021 (File No. 001-34927)).</w:t>
              </w:r>
            </w:hyperlink>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4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3.26</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Amended and Restated Share Designation of Compass Diversified Holdings with respect to Series B Preferred Shares</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3.2 of the Form 8-K filed on March 20, 2024 (File No. 001-34926)).</w:t>
              </w:r>
            </w:hyperlink>
          </w:p>
        </w:tc>
        <w:tc>
          <w:tcPr>
            <w:tcW w:w="238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3"/>
          </w:tcPr>
          <w:p>
            <w:pPr>
              <w:spacing w:after="0"/>
              <w:rPr>
                <w:sz w:val="11"/>
                <w:szCs w:val="11"/>
                <w:color w:val="auto"/>
              </w:rPr>
            </w:pPr>
          </w:p>
        </w:tc>
        <w:tc>
          <w:tcPr>
            <w:tcW w:w="240" w:type="dxa"/>
            <w:vAlign w:val="bottom"/>
            <w:gridSpan w:val="6"/>
          </w:tcPr>
          <w:p>
            <w:pPr>
              <w:spacing w:after="0"/>
              <w:rPr>
                <w:sz w:val="11"/>
                <w:szCs w:val="11"/>
                <w:color w:val="auto"/>
              </w:rPr>
            </w:pPr>
          </w:p>
        </w:tc>
        <w:tc>
          <w:tcPr>
            <w:tcW w:w="100" w:type="dxa"/>
            <w:vAlign w:val="bottom"/>
            <w:gridSpan w:val="2"/>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3.27</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92">
              <w:r>
                <w:rPr>
                  <w:rFonts w:ascii="Arial" w:cs="Arial" w:eastAsia="Arial" w:hAnsi="Arial"/>
                  <w:sz w:val="15"/>
                  <w:szCs w:val="15"/>
                  <w:color w:val="0000FF"/>
                </w:rPr>
                <w:t>Second Amendment to Amended and Restated Share Designation of Compass Diversified Holdings with respect to Series B Preferred Shares</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6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rPr>
            </w:pPr>
            <w:hyperlink r:id="rId192">
              <w:r>
                <w:rPr>
                  <w:rFonts w:ascii="Arial" w:cs="Arial" w:eastAsia="Arial" w:hAnsi="Arial"/>
                  <w:sz w:val="14"/>
                  <w:szCs w:val="14"/>
                  <w:color w:val="0000FF"/>
                </w:rPr>
                <w:t>(incorporated by reference Exhibit 4.17 of the Form S-3 filed on September 4, 2024 (File No. 333-281931)).</w:t>
              </w:r>
            </w:hyperlink>
          </w:p>
        </w:tc>
        <w:tc>
          <w:tcPr>
            <w:tcW w:w="236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6"/>
          </w:tcPr>
          <w:p>
            <w:pPr>
              <w:spacing w:after="0"/>
              <w:rPr>
                <w:sz w:val="11"/>
                <w:szCs w:val="11"/>
                <w:color w:val="auto"/>
              </w:rPr>
            </w:pPr>
          </w:p>
        </w:tc>
        <w:tc>
          <w:tcPr>
            <w:tcW w:w="100" w:type="dxa"/>
            <w:vAlign w:val="bottom"/>
            <w:gridSpan w:val="2"/>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3.28</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93">
              <w:r>
                <w:rPr>
                  <w:rFonts w:ascii="Arial" w:cs="Arial" w:eastAsia="Arial" w:hAnsi="Arial"/>
                  <w:sz w:val="15"/>
                  <w:szCs w:val="15"/>
                  <w:color w:val="0000FF"/>
                </w:rPr>
                <w:t>Trust Interest Designation of Compass Group Diversified Holdings LLC with respect to Series B Trust Preferred Interests (incorporated by reference</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18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rPr>
            </w:pPr>
            <w:hyperlink r:id="rId193">
              <w:r>
                <w:rPr>
                  <w:rFonts w:ascii="Arial" w:cs="Arial" w:eastAsia="Arial" w:hAnsi="Arial"/>
                  <w:sz w:val="14"/>
                  <w:szCs w:val="14"/>
                  <w:color w:val="0000FF"/>
                </w:rPr>
                <w:t>to Exhibit 3.2 of the Form 8-K filed on March 13, 2018 (File No. 001-34927)).</w:t>
              </w:r>
            </w:hyperlink>
          </w:p>
        </w:tc>
        <w:tc>
          <w:tcPr>
            <w:tcW w:w="4800" w:type="dxa"/>
            <w:vAlign w:val="bottom"/>
            <w:tcBorders>
              <w:top w:val="single" w:sz="8" w:color="0000FF"/>
            </w:tcBorders>
            <w:gridSpan w:val="20"/>
          </w:tcPr>
          <w:p>
            <w:pPr>
              <w:spacing w:after="0"/>
              <w:rPr>
                <w:sz w:val="11"/>
                <w:szCs w:val="11"/>
                <w:color w:val="auto"/>
              </w:rPr>
            </w:pPr>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3.29</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Trust Interest Designation of Compass Group Diversified Holdings LLC with respect to Series B Trust Preferred Interests</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3.5 of the Form 8-K filed on March 20, 2024 (File No. 001-34926)).</w:t>
              </w:r>
            </w:hyperlink>
          </w:p>
        </w:tc>
        <w:tc>
          <w:tcPr>
            <w:tcW w:w="2500" w:type="dxa"/>
            <w:vAlign w:val="bottom"/>
            <w:tcBorders>
              <w:top w:val="single" w:sz="8" w:color="0000FF"/>
            </w:tcBorders>
            <w:gridSpan w:val="5"/>
          </w:tcPr>
          <w:p>
            <w:pPr>
              <w:spacing w:after="0"/>
              <w:rPr>
                <w:sz w:val="11"/>
                <w:szCs w:val="11"/>
                <w:color w:val="auto"/>
              </w:rPr>
            </w:pPr>
          </w:p>
        </w:tc>
        <w:tc>
          <w:tcPr>
            <w:tcW w:w="120" w:type="dxa"/>
            <w:vAlign w:val="bottom"/>
            <w:gridSpan w:val="2"/>
          </w:tcPr>
          <w:p>
            <w:pPr>
              <w:spacing w:after="0"/>
              <w:rPr>
                <w:sz w:val="11"/>
                <w:szCs w:val="11"/>
                <w:color w:val="auto"/>
              </w:rPr>
            </w:pPr>
          </w:p>
        </w:tc>
        <w:tc>
          <w:tcPr>
            <w:tcW w:w="240" w:type="dxa"/>
            <w:vAlign w:val="bottom"/>
            <w:gridSpan w:val="6"/>
          </w:tcPr>
          <w:p>
            <w:pPr>
              <w:spacing w:after="0"/>
              <w:rPr>
                <w:sz w:val="11"/>
                <w:szCs w:val="11"/>
                <w:color w:val="auto"/>
              </w:rPr>
            </w:pPr>
          </w:p>
        </w:tc>
        <w:tc>
          <w:tcPr>
            <w:tcW w:w="30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3.30</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94">
              <w:r>
                <w:rPr>
                  <w:rFonts w:ascii="Arial" w:cs="Arial" w:eastAsia="Arial" w:hAnsi="Arial"/>
                  <w:sz w:val="15"/>
                  <w:szCs w:val="15"/>
                  <w:color w:val="0000FF"/>
                </w:rPr>
                <w:t>Second Amendment to Trust Interest Designation of Compass Group Diversified Holdings LLC with respect to Series B Trust Preferred Interests</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6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rPr>
            </w:pPr>
            <w:hyperlink r:id="rId194">
              <w:r>
                <w:rPr>
                  <w:rFonts w:ascii="Arial" w:cs="Arial" w:eastAsia="Arial" w:hAnsi="Arial"/>
                  <w:sz w:val="14"/>
                  <w:szCs w:val="14"/>
                  <w:color w:val="0000FF"/>
                </w:rPr>
                <w:t>(incorporated by reference Exhibit 4.20 of the Form S-3 filed on September 4, 2024 (File No. 333-281931)).</w:t>
              </w:r>
            </w:hyperlink>
          </w:p>
        </w:tc>
        <w:tc>
          <w:tcPr>
            <w:tcW w:w="2480" w:type="dxa"/>
            <w:vAlign w:val="bottom"/>
            <w:tcBorders>
              <w:top w:val="single" w:sz="8" w:color="0000FF"/>
            </w:tcBorders>
            <w:gridSpan w:val="8"/>
          </w:tcPr>
          <w:p>
            <w:pPr>
              <w:spacing w:after="0"/>
              <w:rPr>
                <w:sz w:val="11"/>
                <w:szCs w:val="11"/>
                <w:color w:val="auto"/>
              </w:rPr>
            </w:pPr>
          </w:p>
        </w:tc>
        <w:tc>
          <w:tcPr>
            <w:tcW w:w="140" w:type="dxa"/>
            <w:vAlign w:val="bottom"/>
            <w:gridSpan w:val="3"/>
          </w:tcPr>
          <w:p>
            <w:pPr>
              <w:spacing w:after="0"/>
              <w:rPr>
                <w:sz w:val="11"/>
                <w:szCs w:val="11"/>
                <w:color w:val="auto"/>
              </w:rPr>
            </w:pPr>
          </w:p>
        </w:tc>
        <w:tc>
          <w:tcPr>
            <w:tcW w:w="30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3.31</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95">
              <w:r>
                <w:rPr>
                  <w:rFonts w:ascii="Arial" w:cs="Arial" w:eastAsia="Arial" w:hAnsi="Arial"/>
                  <w:sz w:val="15"/>
                  <w:szCs w:val="15"/>
                  <w:color w:val="0000FF"/>
                </w:rPr>
                <w:t>Amended and Restated Share Designation of Compass Diversified Holdings with respect to Series C Preferred Shares (incorporated by reference</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8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195">
              <w:r>
                <w:rPr>
                  <w:rFonts w:ascii="Arial" w:cs="Arial" w:eastAsia="Arial" w:hAnsi="Arial"/>
                  <w:sz w:val="14"/>
                  <w:szCs w:val="14"/>
                  <w:color w:val="0000FF"/>
                </w:rPr>
                <w:t>to Exhibit 3.5 of the Form 8-K filed on August 4, 2021 (File No. 001-34927)).</w:t>
              </w:r>
            </w:hyperlink>
          </w:p>
        </w:tc>
        <w:tc>
          <w:tcPr>
            <w:tcW w:w="30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40" w:type="dxa"/>
            <w:vAlign w:val="bottom"/>
            <w:gridSpan w:val="10"/>
            <w:shd w:val="clear" w:color="auto" w:fill="0000FF"/>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3.32</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3.3 of the Form 8-K filed on March 20, 2024 (File No. 001-34926)).</w:t>
              </w:r>
            </w:hyperlink>
          </w:p>
        </w:tc>
        <w:tc>
          <w:tcPr>
            <w:tcW w:w="2400" w:type="dxa"/>
            <w:vAlign w:val="bottom"/>
            <w:tcBorders>
              <w:top w:val="single" w:sz="8" w:color="0000FF"/>
            </w:tcBorders>
            <w:gridSpan w:val="4"/>
          </w:tcPr>
          <w:p>
            <w:pPr>
              <w:spacing w:after="0"/>
              <w:rPr>
                <w:sz w:val="11"/>
                <w:szCs w:val="11"/>
                <w:color w:val="auto"/>
              </w:rPr>
            </w:pPr>
          </w:p>
        </w:tc>
        <w:tc>
          <w:tcPr>
            <w:tcW w:w="220" w:type="dxa"/>
            <w:vAlign w:val="bottom"/>
            <w:gridSpan w:val="3"/>
          </w:tcPr>
          <w:p>
            <w:pPr>
              <w:spacing w:after="0"/>
              <w:rPr>
                <w:sz w:val="11"/>
                <w:szCs w:val="11"/>
                <w:color w:val="auto"/>
              </w:rPr>
            </w:pPr>
          </w:p>
        </w:tc>
        <w:tc>
          <w:tcPr>
            <w:tcW w:w="540" w:type="dxa"/>
            <w:vAlign w:val="bottom"/>
            <w:gridSpan w:val="18"/>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3.33</w:t>
            </w:r>
          </w:p>
        </w:tc>
        <w:tc>
          <w:tcPr>
            <w:tcW w:w="580" w:type="dxa"/>
            <w:vAlign w:val="bottom"/>
          </w:tcPr>
          <w:p>
            <w:pPr>
              <w:spacing w:after="0"/>
              <w:rPr>
                <w:sz w:val="17"/>
                <w:szCs w:val="17"/>
                <w:color w:val="auto"/>
              </w:rPr>
            </w:pPr>
          </w:p>
        </w:tc>
        <w:tc>
          <w:tcPr>
            <w:tcW w:w="10180" w:type="dxa"/>
            <w:vAlign w:val="bottom"/>
            <w:gridSpan w:val="41"/>
          </w:tcPr>
          <w:p>
            <w:pPr>
              <w:spacing w:after="0"/>
              <w:rPr>
                <w:rFonts w:ascii="Arial" w:cs="Arial" w:eastAsia="Arial" w:hAnsi="Arial"/>
                <w:sz w:val="15"/>
                <w:szCs w:val="15"/>
                <w:color w:val="0000FF"/>
              </w:rPr>
            </w:pPr>
            <w:hyperlink r:id="rId197">
              <w:r>
                <w:rPr>
                  <w:rFonts w:ascii="Arial" w:cs="Arial" w:eastAsia="Arial" w:hAnsi="Arial"/>
                  <w:sz w:val="15"/>
                  <w:szCs w:val="15"/>
                  <w:color w:val="0000FF"/>
                </w:rPr>
                <w:t>Second Amendment to 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4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197">
              <w:r>
                <w:rPr>
                  <w:rFonts w:ascii="Arial" w:cs="Arial" w:eastAsia="Arial" w:hAnsi="Arial"/>
                  <w:sz w:val="14"/>
                  <w:szCs w:val="14"/>
                  <w:color w:val="0000FF"/>
                </w:rPr>
                <w:t>(incorporated by reference Exhibit 4.23 of the Form S-3 filed on September 4, 2024 (File No. 333-281931)).</w:t>
              </w:r>
            </w:hyperlink>
          </w:p>
        </w:tc>
        <w:tc>
          <w:tcPr>
            <w:tcW w:w="540" w:type="dxa"/>
            <w:vAlign w:val="bottom"/>
            <w:gridSpan w:val="18"/>
          </w:tcPr>
          <w:p>
            <w:pPr>
              <w:spacing w:after="0"/>
              <w:rPr>
                <w:sz w:val="11"/>
                <w:szCs w:val="11"/>
                <w:color w:val="auto"/>
              </w:rPr>
            </w:pPr>
          </w:p>
        </w:tc>
        <w:tc>
          <w:tcPr>
            <w:tcW w:w="0" w:type="dxa"/>
            <w:vAlign w:val="bottom"/>
          </w:tcPr>
          <w:p>
            <w:pPr>
              <w:spacing w:after="0"/>
              <w:rPr>
                <w:sz w:val="1"/>
                <w:szCs w:val="1"/>
                <w:color w:val="auto"/>
              </w:rPr>
            </w:pPr>
          </w:p>
        </w:tc>
      </w:tr>
      <w:tr>
        <w:trPr>
          <w:trHeight w:val="936"/>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80" w:type="dxa"/>
            <w:vAlign w:val="bottom"/>
            <w:tcBorders>
              <w:top w:val="single" w:sz="8" w:color="0000FF"/>
            </w:tcBorders>
            <w:gridSpan w:val="9"/>
          </w:tcPr>
          <w:p>
            <w:pPr>
              <w:jc w:val="center"/>
              <w:ind w:right="2540"/>
              <w:spacing w:after="0"/>
              <w:rPr>
                <w:sz w:val="20"/>
                <w:szCs w:val="20"/>
                <w:color w:val="auto"/>
              </w:rPr>
            </w:pPr>
            <w:r>
              <w:rPr>
                <w:rFonts w:ascii="Arial" w:cs="Arial" w:eastAsia="Arial" w:hAnsi="Arial"/>
                <w:sz w:val="16"/>
                <w:szCs w:val="16"/>
                <w:color w:val="auto"/>
              </w:rPr>
              <w:t>E-2</w:t>
            </w:r>
          </w:p>
        </w:tc>
        <w:tc>
          <w:tcPr>
            <w:tcW w:w="294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60" w:type="dxa"/>
            <w:vAlign w:val="bottom"/>
            <w:gridSpan w:val="39"/>
          </w:tcPr>
          <w:p>
            <w:pPr>
              <w:jc w:val="center"/>
              <w:ind w:right="5020"/>
              <w:spacing w:after="0"/>
              <w:rPr>
                <w:sz w:val="20"/>
                <w:szCs w:val="20"/>
                <w:color w:val="auto"/>
              </w:rPr>
            </w:pPr>
            <w:r>
              <w:rPr>
                <w:rFonts w:ascii="Arial" w:cs="Arial" w:eastAsia="Arial" w:hAnsi="Arial"/>
                <w:sz w:val="18"/>
                <w:szCs w:val="18"/>
                <w:b w:val="1"/>
                <w:bCs w:val="1"/>
                <w:color w:val="auto"/>
                <w:w w:val="99"/>
              </w:rPr>
              <w:t>INDEX TO EXHIBITS</w:t>
            </w:r>
          </w:p>
        </w:tc>
        <w:tc>
          <w:tcPr>
            <w:tcW w:w="0" w:type="dxa"/>
            <w:vAlign w:val="bottom"/>
          </w:tcPr>
          <w:p>
            <w:pPr>
              <w:spacing w:after="0"/>
              <w:rPr>
                <w:sz w:val="1"/>
                <w:szCs w:val="1"/>
                <w:color w:val="auto"/>
              </w:rPr>
            </w:pPr>
          </w:p>
        </w:tc>
      </w:tr>
      <w:tr>
        <w:trPr>
          <w:trHeight w:val="1163"/>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vMerge w:val="restart"/>
          </w:tcPr>
          <w:p>
            <w:pPr>
              <w:spacing w:after="0"/>
              <w:rPr>
                <w:sz w:val="24"/>
                <w:szCs w:val="24"/>
                <w:color w:val="auto"/>
              </w:rPr>
            </w:pPr>
          </w:p>
        </w:tc>
        <w:tc>
          <w:tcPr>
            <w:tcW w:w="5780" w:type="dxa"/>
            <w:vAlign w:val="bottom"/>
            <w:gridSpan w:val="37"/>
            <w:vMerge w:val="restart"/>
          </w:tcPr>
          <w:p>
            <w:pPr>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Number</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5780" w:type="dxa"/>
            <w:vAlign w:val="bottom"/>
            <w:gridSpan w:val="3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20" w:type="dxa"/>
            <w:vAlign w:val="bottom"/>
            <w:tcBorders>
              <w:right w:val="single" w:sz="8" w:color="auto"/>
            </w:tcBorders>
            <w:gridSpan w:val="2"/>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3.34</w:t>
            </w:r>
          </w:p>
        </w:tc>
        <w:tc>
          <w:tcPr>
            <w:tcW w:w="580" w:type="dxa"/>
            <w:vAlign w:val="bottom"/>
          </w:tcPr>
          <w:p>
            <w:pPr>
              <w:spacing w:after="0"/>
              <w:rPr>
                <w:sz w:val="16"/>
                <w:szCs w:val="16"/>
                <w:color w:val="auto"/>
              </w:rPr>
            </w:pPr>
          </w:p>
        </w:tc>
        <w:tc>
          <w:tcPr>
            <w:tcW w:w="10360" w:type="dxa"/>
            <w:vAlign w:val="bottom"/>
            <w:gridSpan w:val="46"/>
          </w:tcPr>
          <w:p>
            <w:pPr>
              <w:spacing w:after="0"/>
              <w:rPr>
                <w:rFonts w:ascii="Arial" w:cs="Arial" w:eastAsia="Arial" w:hAnsi="Arial"/>
                <w:sz w:val="15"/>
                <w:szCs w:val="15"/>
                <w:color w:val="0000FF"/>
              </w:rPr>
            </w:pPr>
            <w:hyperlink r:id="rId198">
              <w:r>
                <w:rPr>
                  <w:rFonts w:ascii="Arial" w:cs="Arial" w:eastAsia="Arial" w:hAnsi="Arial"/>
                  <w:sz w:val="15"/>
                  <w:szCs w:val="15"/>
                  <w:color w:val="0000FF"/>
                </w:rPr>
                <w:t>Trust Interest Designation of Compass Group Diversified Holdings LLC with respect to Series C Trust Preferred Interests (incorporated by reference</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6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198">
              <w:r>
                <w:rPr>
                  <w:rFonts w:ascii="Arial" w:cs="Arial" w:eastAsia="Arial" w:hAnsi="Arial"/>
                  <w:sz w:val="14"/>
                  <w:szCs w:val="14"/>
                  <w:color w:val="0000FF"/>
                </w:rPr>
                <w:t>to Exhibit 3.2 of the Form 8-K filed on November 20, 2019 (File No. 001-34927)).</w:t>
              </w:r>
            </w:hyperlink>
          </w:p>
        </w:tc>
        <w:tc>
          <w:tcPr>
            <w:tcW w:w="452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3.35</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187">
              <w:r>
                <w:rPr>
                  <w:rFonts w:ascii="Arial" w:cs="Arial" w:eastAsia="Arial" w:hAnsi="Arial"/>
                  <w:sz w:val="15"/>
                  <w:szCs w:val="15"/>
                  <w:color w:val="0000FF"/>
                </w:rPr>
                <w:t>First Amendment to Trust Interest Designation of Compass Group Diversified Holdings LLC with respect to Series C Trust Preferred Interests</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17"/>
          </w:tcPr>
          <w:p>
            <w:pPr>
              <w:spacing w:after="0" w:line="129" w:lineRule="exact"/>
              <w:rPr>
                <w:rFonts w:ascii="Arial" w:cs="Arial" w:eastAsia="Arial" w:hAnsi="Arial"/>
                <w:sz w:val="14"/>
                <w:szCs w:val="14"/>
                <w:color w:val="0000FF"/>
              </w:rPr>
            </w:pPr>
            <w:hyperlink r:id="rId187">
              <w:r>
                <w:rPr>
                  <w:rFonts w:ascii="Arial" w:cs="Arial" w:eastAsia="Arial" w:hAnsi="Arial"/>
                  <w:sz w:val="14"/>
                  <w:szCs w:val="14"/>
                  <w:color w:val="0000FF"/>
                </w:rPr>
                <w:t>(incorporated by reference to Exhibit 3.6 of the Form 8-K filed on March 20, 2024 (File No. 001-34926)).</w:t>
              </w:r>
            </w:hyperlink>
          </w:p>
        </w:tc>
        <w:tc>
          <w:tcPr>
            <w:tcW w:w="3200" w:type="dxa"/>
            <w:vAlign w:val="bottom"/>
            <w:tcBorders>
              <w:top w:val="single" w:sz="8" w:color="0000FF"/>
            </w:tcBorders>
            <w:gridSpan w:val="2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3.36</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199">
              <w:r>
                <w:rPr>
                  <w:rFonts w:ascii="Arial" w:cs="Arial" w:eastAsia="Arial" w:hAnsi="Arial"/>
                  <w:sz w:val="15"/>
                  <w:szCs w:val="15"/>
                  <w:color w:val="0000FF"/>
                </w:rPr>
                <w:t>Second Amendment to Trust Interest Designation of Compass Group Diversified Holdings LLC with respect to Series C Trust Preferred Interests</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340" w:type="dxa"/>
            <w:vAlign w:val="bottom"/>
            <w:tcBorders>
              <w:top w:val="single" w:sz="8" w:color="0000FF"/>
            </w:tcBorders>
            <w:gridSpan w:val="45"/>
          </w:tcPr>
          <w:p>
            <w:pPr>
              <w:spacing w:after="0" w:line="129" w:lineRule="exact"/>
              <w:rPr>
                <w:rFonts w:ascii="Arial" w:cs="Arial" w:eastAsia="Arial" w:hAnsi="Arial"/>
                <w:sz w:val="14"/>
                <w:szCs w:val="14"/>
                <w:color w:val="0000FF"/>
              </w:rPr>
            </w:pPr>
            <w:hyperlink r:id="rId199">
              <w:r>
                <w:rPr>
                  <w:rFonts w:ascii="Arial" w:cs="Arial" w:eastAsia="Arial" w:hAnsi="Arial"/>
                  <w:sz w:val="14"/>
                  <w:szCs w:val="14"/>
                  <w:color w:val="0000FF"/>
                </w:rPr>
                <w:t>(incorporated by reference Exhibit 4.26 of the Form S-3 filed on September 4, 2024 (File No. 333-281931)).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4.1</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0">
              <w:r>
                <w:rPr>
                  <w:rFonts w:ascii="Arial" w:cs="Arial" w:eastAsia="Arial" w:hAnsi="Arial"/>
                  <w:sz w:val="15"/>
                  <w:szCs w:val="15"/>
                  <w:color w:val="0000FF"/>
                </w:rPr>
                <w:t>Specimen Certificate evidencing a share of trust of Compass Diversified Holdings (incorporated by reference to Exhibit A of Exhibit 3.1 of the Form</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2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200">
              <w:r>
                <w:rPr>
                  <w:rFonts w:ascii="Arial" w:cs="Arial" w:eastAsia="Arial" w:hAnsi="Arial"/>
                  <w:sz w:val="14"/>
                  <w:szCs w:val="14"/>
                  <w:color w:val="0000FF"/>
                </w:rPr>
                <w:t>8-K filed on August 4, 2021 (File No. 001-34927))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4.2</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1">
              <w:r>
                <w:rPr>
                  <w:rFonts w:ascii="Arial" w:cs="Arial" w:eastAsia="Arial" w:hAnsi="Arial"/>
                  <w:sz w:val="15"/>
                  <w:szCs w:val="15"/>
                  <w:color w:val="0000FF"/>
                </w:rPr>
                <w:t>Specimen LLC Interest Certificate evidencing an interest of Compass Group Diversified Holdings LLC (incorporated by reference to Exhibit A of</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94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rPr>
            </w:pPr>
            <w:hyperlink r:id="rId201">
              <w:r>
                <w:rPr>
                  <w:rFonts w:ascii="Arial" w:cs="Arial" w:eastAsia="Arial" w:hAnsi="Arial"/>
                  <w:sz w:val="14"/>
                  <w:szCs w:val="14"/>
                  <w:color w:val="0000FF"/>
                </w:rPr>
                <w:t>Exhibit 3.2 of the Form 8-K filed on August 4, 2021 (File No. 001-34927))</w:t>
              </w:r>
            </w:hyperlink>
          </w:p>
        </w:tc>
        <w:tc>
          <w:tcPr>
            <w:tcW w:w="5340" w:type="dxa"/>
            <w:vAlign w:val="bottom"/>
            <w:tcBorders>
              <w:top w:val="single" w:sz="8" w:color="0000FF"/>
            </w:tcBorders>
            <w:gridSpan w:val="3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4.3</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2">
              <w:r>
                <w:rPr>
                  <w:rFonts w:ascii="Arial" w:cs="Arial" w:eastAsia="Arial" w:hAnsi="Arial"/>
                  <w:sz w:val="15"/>
                  <w:szCs w:val="15"/>
                  <w:color w:val="0000FF"/>
                </w:rPr>
                <w:t>Form of 7.250% Series A Preferred Share Certificate (incorporated by reference to Appendix A of Exhibit 3.3 of the Form 8-K filed on August 4,</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320" w:type="dxa"/>
            <w:vAlign w:val="bottom"/>
            <w:tcBorders>
              <w:top w:val="single" w:sz="8" w:color="0000FF"/>
            </w:tcBorders>
            <w:gridSpan w:val="44"/>
          </w:tcPr>
          <w:p>
            <w:pPr>
              <w:spacing w:after="0" w:line="129" w:lineRule="exact"/>
              <w:rPr>
                <w:rFonts w:ascii="Arial" w:cs="Arial" w:eastAsia="Arial" w:hAnsi="Arial"/>
                <w:sz w:val="14"/>
                <w:szCs w:val="14"/>
                <w:color w:val="0000FF"/>
              </w:rPr>
            </w:pPr>
            <w:hyperlink r:id="rId202">
              <w:r>
                <w:rPr>
                  <w:rFonts w:ascii="Arial" w:cs="Arial" w:eastAsia="Arial" w:hAnsi="Arial"/>
                  <w:sz w:val="14"/>
                  <w:szCs w:val="14"/>
                  <w:color w:val="0000FF"/>
                </w:rPr>
                <w:t>2021 (File No. 001-34927)).</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4.4</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3">
              <w:r>
                <w:rPr>
                  <w:rFonts w:ascii="Arial" w:cs="Arial" w:eastAsia="Arial" w:hAnsi="Arial"/>
                  <w:sz w:val="15"/>
                  <w:szCs w:val="15"/>
                  <w:color w:val="0000FF"/>
                </w:rPr>
                <w:t>Form of 7.875% Series B Fixed-to-Floating Rate Cumulative Preferred Share Certificate (incorporated by reference to Appendix A of Exhibit 3.4 of</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6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203">
              <w:r>
                <w:rPr>
                  <w:rFonts w:ascii="Arial" w:cs="Arial" w:eastAsia="Arial" w:hAnsi="Arial"/>
                  <w:sz w:val="14"/>
                  <w:szCs w:val="14"/>
                  <w:color w:val="0000FF"/>
                </w:rPr>
                <w:t>the Form 8-K filed on August 4, 2021 (File No. 001-34927)).</w:t>
              </w:r>
            </w:hyperlink>
          </w:p>
        </w:tc>
        <w:tc>
          <w:tcPr>
            <w:tcW w:w="1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4.5</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4">
              <w:r>
                <w:rPr>
                  <w:rFonts w:ascii="Arial" w:cs="Arial" w:eastAsia="Arial" w:hAnsi="Arial"/>
                  <w:sz w:val="15"/>
                  <w:szCs w:val="15"/>
                  <w:color w:val="0000FF"/>
                </w:rPr>
                <w:t>Form of 7.875% Series C Cumulative Preferred Share Certificate (incorporated by reference to Appendix A of Exhibit 3.5 of the Form 8-K filed on</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8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204">
              <w:r>
                <w:rPr>
                  <w:rFonts w:ascii="Arial" w:cs="Arial" w:eastAsia="Arial" w:hAnsi="Arial"/>
                  <w:sz w:val="14"/>
                  <w:szCs w:val="14"/>
                  <w:color w:val="0000FF"/>
                </w:rPr>
                <w:t>August 4, 2021 (File No. 001-34927)).</w:t>
              </w:r>
            </w:hyperlink>
          </w:p>
        </w:tc>
        <w:tc>
          <w:tcPr>
            <w:tcW w:w="7520" w:type="dxa"/>
            <w:vAlign w:val="bottom"/>
            <w:tcBorders>
              <w:top w:val="single" w:sz="8" w:color="0000FF"/>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4.6</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5">
              <w:r>
                <w:rPr>
                  <w:rFonts w:ascii="Arial" w:cs="Arial" w:eastAsia="Arial" w:hAnsi="Arial"/>
                  <w:sz w:val="15"/>
                  <w:szCs w:val="15"/>
                  <w:color w:val="0000FF"/>
                </w:rPr>
                <w:t>Indenture between Compass Group Diversified Holdings LLC and U.S. Bank National Association, dated as of March 23, 2021 (incorporated by</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6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205">
              <w:r>
                <w:rPr>
                  <w:rFonts w:ascii="Arial" w:cs="Arial" w:eastAsia="Arial" w:hAnsi="Arial"/>
                  <w:sz w:val="14"/>
                  <w:szCs w:val="14"/>
                  <w:color w:val="0000FF"/>
                </w:rPr>
                <w:t>reference to Exhibit 4.1 of the Form 8-K filed on March 23, 2021 (File No. 000-34927)).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4.7</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6">
              <w:r>
                <w:rPr>
                  <w:rFonts w:ascii="Arial" w:cs="Arial" w:eastAsia="Arial" w:hAnsi="Arial"/>
                  <w:sz w:val="15"/>
                  <w:szCs w:val="15"/>
                  <w:color w:val="0000FF"/>
                </w:rPr>
                <w:t>First Supplemental Indenture, dated as of January 15, 2025, to the Indenture dated as of March 23, 2021 between Compass Group Diversified</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40" w:type="dxa"/>
            <w:vAlign w:val="bottom"/>
            <w:tcBorders>
              <w:top w:val="single" w:sz="8" w:color="0000FF"/>
              <w:bottom w:val="single" w:sz="8" w:color="0000FF"/>
            </w:tcBorders>
            <w:gridSpan w:val="35"/>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Holdings LLC and U.S. Bank National Association (incorporated by reference to Exhibit 10.2 of the Form 8-K filed on January 15, 2025 (File No.</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Borders>
              <w:bottom w:val="single" w:sz="8" w:color="0000FF"/>
            </w:tcBorders>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000-34927)).</w:t>
              </w:r>
            </w:hyperlink>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4.8</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7">
              <w:r>
                <w:rPr>
                  <w:rFonts w:ascii="Arial" w:cs="Arial" w:eastAsia="Arial" w:hAnsi="Arial"/>
                  <w:sz w:val="15"/>
                  <w:szCs w:val="15"/>
                  <w:color w:val="0000FF"/>
                </w:rPr>
                <w:t>Indenture between Compass Group Diversified Holdings LLC and U.S. Bank National Association, dated as of November 17, 2021 (incorporated by</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8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207">
              <w:r>
                <w:rPr>
                  <w:rFonts w:ascii="Arial" w:cs="Arial" w:eastAsia="Arial" w:hAnsi="Arial"/>
                  <w:sz w:val="14"/>
                  <w:szCs w:val="14"/>
                  <w:color w:val="0000FF"/>
                </w:rPr>
                <w:t>reference to Exhibit 4.1 of the Form 8-K filed on November 17, 2021 (File No. 001-34927)).</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4.9</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6">
              <w:r>
                <w:rPr>
                  <w:rFonts w:ascii="Arial" w:cs="Arial" w:eastAsia="Arial" w:hAnsi="Arial"/>
                  <w:sz w:val="15"/>
                  <w:szCs w:val="15"/>
                  <w:color w:val="0000FF"/>
                </w:rPr>
                <w:t>First Supplemental Indenture, dated as of January 15, 2025, to the Indenture dated as of November 17, 2021 between Compass Group Diversified</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60" w:type="dxa"/>
            <w:vAlign w:val="bottom"/>
            <w:tcBorders>
              <w:top w:val="single" w:sz="8" w:color="0000FF"/>
              <w:bottom w:val="single" w:sz="8" w:color="0000FF"/>
            </w:tcBorders>
            <w:gridSpan w:val="31"/>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Holdings LLC and U.S. Bank National Association (incorporated by reference to Exhibit 10.3 of the Form 8-K filed on January 15, 2025 (File No.</w:t>
              </w:r>
            </w:hyperlink>
          </w:p>
        </w:tc>
        <w:tc>
          <w:tcPr>
            <w:tcW w:w="60" w:type="dxa"/>
            <w:vAlign w:val="bottom"/>
            <w:tcBorders>
              <w:bottom w:val="single" w:sz="8" w:color="0000FF"/>
            </w:tcBorders>
            <w:gridSpan w:val="3"/>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Borders>
              <w:bottom w:val="single" w:sz="8" w:color="0000FF"/>
            </w:tcBorders>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000-34927)).</w:t>
              </w:r>
            </w:hyperlink>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4.10*</w:t>
            </w:r>
          </w:p>
        </w:tc>
        <w:tc>
          <w:tcPr>
            <w:tcW w:w="580" w:type="dxa"/>
            <w:vAlign w:val="bottom"/>
          </w:tcPr>
          <w:p>
            <w:pPr>
              <w:spacing w:after="0"/>
              <w:rPr>
                <w:sz w:val="17"/>
                <w:szCs w:val="17"/>
                <w:color w:val="auto"/>
              </w:rPr>
            </w:pPr>
          </w:p>
        </w:tc>
        <w:tc>
          <w:tcPr>
            <w:tcW w:w="1660" w:type="dxa"/>
            <w:vAlign w:val="bottom"/>
            <w:tcBorders>
              <w:bottom w:val="single" w:sz="8" w:color="0000FF"/>
            </w:tcBorders>
            <w:gridSpan w:val="3"/>
          </w:tcPr>
          <w:p>
            <w:pPr>
              <w:spacing w:after="0"/>
              <w:rPr>
                <w:sz w:val="20"/>
                <w:szCs w:val="20"/>
                <w:color w:val="auto"/>
              </w:rPr>
            </w:pPr>
            <w:r>
              <w:rPr>
                <w:rFonts w:ascii="Arial" w:cs="Arial" w:eastAsia="Arial" w:hAnsi="Arial"/>
                <w:sz w:val="15"/>
                <w:szCs w:val="15"/>
                <w:color w:val="0000FF"/>
              </w:rPr>
              <w:t>Description of Securities</w:t>
            </w:r>
          </w:p>
        </w:tc>
        <w:tc>
          <w:tcPr>
            <w:tcW w:w="8700" w:type="dxa"/>
            <w:vAlign w:val="bottom"/>
            <w:gridSpan w:val="43"/>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10.1</w:t>
            </w:r>
          </w:p>
        </w:tc>
        <w:tc>
          <w:tcPr>
            <w:tcW w:w="580" w:type="dxa"/>
            <w:vAlign w:val="bottom"/>
          </w:tcPr>
          <w:p>
            <w:pPr>
              <w:spacing w:after="0"/>
              <w:rPr>
                <w:sz w:val="15"/>
                <w:szCs w:val="15"/>
                <w:color w:val="auto"/>
              </w:rPr>
            </w:pPr>
          </w:p>
        </w:tc>
        <w:tc>
          <w:tcPr>
            <w:tcW w:w="10360" w:type="dxa"/>
            <w:vAlign w:val="bottom"/>
            <w:gridSpan w:val="46"/>
          </w:tcPr>
          <w:p>
            <w:pPr>
              <w:spacing w:after="0"/>
              <w:rPr>
                <w:rFonts w:ascii="Arial" w:cs="Arial" w:eastAsia="Arial" w:hAnsi="Arial"/>
                <w:sz w:val="15"/>
                <w:szCs w:val="15"/>
                <w:color w:val="0000FF"/>
              </w:rPr>
            </w:pPr>
            <w:hyperlink r:id="rId208">
              <w:r>
                <w:rPr>
                  <w:rFonts w:ascii="Arial" w:cs="Arial" w:eastAsia="Arial" w:hAnsi="Arial"/>
                  <w:sz w:val="15"/>
                  <w:szCs w:val="15"/>
                  <w:color w:val="0000FF"/>
                </w:rPr>
                <w:t>Form of Registration Rights Agreement by and among Compass Group Diversified Holdings LLC, Compass Diversified Trust and Certain</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20" w:type="dxa"/>
            <w:vAlign w:val="bottom"/>
            <w:tcBorders>
              <w:top w:val="single" w:sz="8" w:color="0000FF"/>
              <w:bottom w:val="single" w:sz="8" w:color="0000FF"/>
            </w:tcBorders>
            <w:gridSpan w:val="24"/>
          </w:tcPr>
          <w:p>
            <w:pPr>
              <w:spacing w:after="0" w:line="129" w:lineRule="exact"/>
              <w:rPr>
                <w:rFonts w:ascii="Arial" w:cs="Arial" w:eastAsia="Arial" w:hAnsi="Arial"/>
                <w:sz w:val="14"/>
                <w:szCs w:val="14"/>
                <w:color w:val="0000FF"/>
              </w:rPr>
            </w:pPr>
            <w:hyperlink r:id="rId208">
              <w:r>
                <w:rPr>
                  <w:rFonts w:ascii="Arial" w:cs="Arial" w:eastAsia="Arial" w:hAnsi="Arial"/>
                  <w:sz w:val="14"/>
                  <w:szCs w:val="14"/>
                  <w:color w:val="0000FF"/>
                </w:rPr>
                <w:t>Shareholders (incorporated by reference to Exhibit 10.3 of the Amendment No. 5 to the Form S-1 filed on May 5, 2006 (File No. 333-130326)).</w:t>
              </w:r>
            </w:hyperlink>
          </w:p>
        </w:tc>
        <w:tc>
          <w:tcPr>
            <w:tcW w:w="420" w:type="dxa"/>
            <w:vAlign w:val="bottom"/>
            <w:tcBorders>
              <w:top w:val="single" w:sz="8" w:color="0000FF"/>
            </w:tcBorders>
            <w:gridSpan w:val="6"/>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10.2</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173">
              <w:r>
                <w:rPr>
                  <w:rFonts w:ascii="Arial" w:cs="Arial" w:eastAsia="Arial" w:hAnsi="Arial"/>
                  <w:sz w:val="15"/>
                  <w:szCs w:val="15"/>
                  <w:color w:val="0000FF"/>
                </w:rPr>
                <w:t>Form of Supplemental Put Agreement by and between Compass Group Management LLC and Compass Group Diversified Holdings LLC</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40" w:type="dxa"/>
            <w:vAlign w:val="bottom"/>
            <w:tcBorders>
              <w:top w:val="single" w:sz="8" w:color="0000FF"/>
            </w:tcBorders>
            <w:gridSpan w:val="40"/>
          </w:tcPr>
          <w:p>
            <w:pPr>
              <w:spacing w:after="0" w:line="129" w:lineRule="exact"/>
              <w:rPr>
                <w:rFonts w:ascii="Arial" w:cs="Arial" w:eastAsia="Arial" w:hAnsi="Arial"/>
                <w:sz w:val="14"/>
                <w:szCs w:val="14"/>
                <w:color w:val="0000FF"/>
              </w:rPr>
            </w:pPr>
            <w:hyperlink r:id="rId173">
              <w:r>
                <w:rPr>
                  <w:rFonts w:ascii="Arial" w:cs="Arial" w:eastAsia="Arial" w:hAnsi="Arial"/>
                  <w:sz w:val="14"/>
                  <w:szCs w:val="14"/>
                  <w:color w:val="0000FF"/>
                </w:rPr>
                <w:t>(incorporated by reference to Exhibit 10.4 of the Amendment No. 4 to the Form S-1 filed on April 26, 2006 (File No. 333-130326)).</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10.3</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8">
              <w:r>
                <w:rPr>
                  <w:rFonts w:ascii="Arial" w:cs="Arial" w:eastAsia="Arial" w:hAnsi="Arial"/>
                  <w:sz w:val="15"/>
                  <w:szCs w:val="15"/>
                  <w:color w:val="0000FF"/>
                </w:rPr>
                <w:t>Form of Share Purchase Agreement by and between Compass Group Diversified Holdings LLC, Compass Diversified Trust and CGI Diversified</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580" w:type="dxa"/>
            <w:vAlign w:val="bottom"/>
            <w:tcBorders>
              <w:top w:val="single" w:sz="8" w:color="0000FF"/>
              <w:bottom w:val="single" w:sz="8" w:color="0000FF"/>
            </w:tcBorders>
            <w:gridSpan w:val="23"/>
          </w:tcPr>
          <w:p>
            <w:pPr>
              <w:spacing w:after="0" w:line="129" w:lineRule="exact"/>
              <w:rPr>
                <w:rFonts w:ascii="Arial" w:cs="Arial" w:eastAsia="Arial" w:hAnsi="Arial"/>
                <w:sz w:val="14"/>
                <w:szCs w:val="14"/>
                <w:color w:val="0000FF"/>
              </w:rPr>
            </w:pPr>
            <w:hyperlink r:id="rId208">
              <w:r>
                <w:rPr>
                  <w:rFonts w:ascii="Arial" w:cs="Arial" w:eastAsia="Arial" w:hAnsi="Arial"/>
                  <w:sz w:val="14"/>
                  <w:szCs w:val="14"/>
                  <w:color w:val="0000FF"/>
                </w:rPr>
                <w:t>Holdings, LP (incorporated by reference to Exhibit 10.6 of the Amendment No. 5 to the Form S-1 filed on May 5, 2006 (File No. 333-130326)).</w:t>
              </w:r>
            </w:hyperlink>
          </w:p>
        </w:tc>
        <w:tc>
          <w:tcPr>
            <w:tcW w:w="66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10.4</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8">
              <w:r>
                <w:rPr>
                  <w:rFonts w:ascii="Arial" w:cs="Arial" w:eastAsia="Arial" w:hAnsi="Arial"/>
                  <w:sz w:val="15"/>
                  <w:szCs w:val="15"/>
                  <w:color w:val="0000FF"/>
                </w:rPr>
                <w:t>Form of Share Purchase Agreement by and between Compass Group Diversified Holdings LLC, Compass Diversified Trust and Pharos I LLC</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208">
              <w:r>
                <w:rPr>
                  <w:rFonts w:ascii="Arial" w:cs="Arial" w:eastAsia="Arial" w:hAnsi="Arial"/>
                  <w:sz w:val="14"/>
                  <w:szCs w:val="14"/>
                  <w:color w:val="0000FF"/>
                </w:rPr>
                <w:t>(incorporated by reference to Exhibit 10.7 of the Amendment No. 5 to the Form S-1 filed on May 5, 2006 (File No. 333-130326)).</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10.5</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9">
              <w:r>
                <w:rPr>
                  <w:rFonts w:ascii="Arial" w:cs="Arial" w:eastAsia="Arial" w:hAnsi="Arial"/>
                  <w:sz w:val="15"/>
                  <w:szCs w:val="15"/>
                  <w:color w:val="0000FF"/>
                </w:rPr>
                <w:t>Registration Rights Agreement by and among Compass Group Diversified Holdings LLC, Compass Diversified Trust and CGI Diversified Holdings,</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209">
              <w:r>
                <w:rPr>
                  <w:rFonts w:ascii="Arial" w:cs="Arial" w:eastAsia="Arial" w:hAnsi="Arial"/>
                  <w:sz w:val="14"/>
                  <w:szCs w:val="14"/>
                  <w:color w:val="0000FF"/>
                </w:rPr>
                <w:t>LP, dated as of April 3, 2007 (incorporated by reference to Exhibit 10.3 of the Amendment No. 1 to the Form S-1 filed on April 20, 2007 (File No.</w:t>
              </w:r>
            </w:hyperlink>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209">
              <w:r>
                <w:rPr>
                  <w:rFonts w:ascii="Arial" w:cs="Arial" w:eastAsia="Arial" w:hAnsi="Arial"/>
                  <w:sz w:val="14"/>
                  <w:szCs w:val="14"/>
                  <w:color w:val="0000FF"/>
                </w:rPr>
                <w:t>333-141856)).</w:t>
              </w:r>
            </w:hyperlink>
          </w:p>
        </w:tc>
        <w:tc>
          <w:tcPr>
            <w:tcW w:w="7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10.6</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9">
              <w:r>
                <w:rPr>
                  <w:rFonts w:ascii="Arial" w:cs="Arial" w:eastAsia="Arial" w:hAnsi="Arial"/>
                  <w:sz w:val="15"/>
                  <w:szCs w:val="15"/>
                  <w:color w:val="0000FF"/>
                </w:rPr>
                <w:t>Share Purchase Agreement by and between Compass Group Diversified Holdings LLC, Compass Diversified Trust and CGI Diversified Holdings,</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60" w:type="dxa"/>
            <w:vAlign w:val="bottom"/>
            <w:tcBorders>
              <w:top w:val="single" w:sz="8" w:color="0000FF"/>
              <w:bottom w:val="single" w:sz="8" w:color="0000FF"/>
            </w:tcBorders>
            <w:gridSpan w:val="41"/>
          </w:tcPr>
          <w:p>
            <w:pPr>
              <w:spacing w:after="0" w:line="129" w:lineRule="exact"/>
              <w:rPr>
                <w:rFonts w:ascii="Arial" w:cs="Arial" w:eastAsia="Arial" w:hAnsi="Arial"/>
                <w:sz w:val="14"/>
                <w:szCs w:val="14"/>
                <w:color w:val="0000FF"/>
              </w:rPr>
            </w:pPr>
            <w:hyperlink r:id="rId209">
              <w:r>
                <w:rPr>
                  <w:rFonts w:ascii="Arial" w:cs="Arial" w:eastAsia="Arial" w:hAnsi="Arial"/>
                  <w:sz w:val="14"/>
                  <w:szCs w:val="14"/>
                  <w:color w:val="0000FF"/>
                </w:rPr>
                <w:t>LP, dated as of April 3, 2007 (incorporated by reference to Exhibit 10.16 of the Amendment No. 1 to the Form S-1 filed on April 20, 2007 (File No.</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Borders>
              <w:bottom w:val="single" w:sz="8" w:color="0000FF"/>
            </w:tcBorders>
            <w:gridSpan w:val="2"/>
          </w:tcPr>
          <w:p>
            <w:pPr>
              <w:spacing w:after="0" w:line="129" w:lineRule="exact"/>
              <w:rPr>
                <w:rFonts w:ascii="Arial" w:cs="Arial" w:eastAsia="Arial" w:hAnsi="Arial"/>
                <w:sz w:val="14"/>
                <w:szCs w:val="14"/>
                <w:color w:val="0000FF"/>
              </w:rPr>
            </w:pPr>
            <w:hyperlink r:id="rId209">
              <w:r>
                <w:rPr>
                  <w:rFonts w:ascii="Arial" w:cs="Arial" w:eastAsia="Arial" w:hAnsi="Arial"/>
                  <w:sz w:val="14"/>
                  <w:szCs w:val="14"/>
                  <w:color w:val="0000FF"/>
                </w:rPr>
                <w:t>333-141856)).</w:t>
              </w:r>
            </w:hyperlink>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10.7</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10">
              <w:r>
                <w:rPr>
                  <w:rFonts w:ascii="Arial" w:cs="Arial" w:eastAsia="Arial" w:hAnsi="Arial"/>
                  <w:sz w:val="15"/>
                  <w:szCs w:val="15"/>
                  <w:color w:val="0000FF"/>
                </w:rPr>
                <w:t>Subscription Agreement dated August 24, 2011, by and among Compass Group Diversified Holdings LLC, Compass Diversified Holdings and CGI</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20" w:type="dxa"/>
            <w:vAlign w:val="bottom"/>
            <w:tcBorders>
              <w:top w:val="single" w:sz="8" w:color="0000FF"/>
            </w:tcBorders>
            <w:gridSpan w:val="34"/>
          </w:tcPr>
          <w:p>
            <w:pPr>
              <w:spacing w:after="0" w:line="129" w:lineRule="exact"/>
              <w:rPr>
                <w:rFonts w:ascii="Arial" w:cs="Arial" w:eastAsia="Arial" w:hAnsi="Arial"/>
                <w:sz w:val="14"/>
                <w:szCs w:val="14"/>
                <w:color w:val="0000FF"/>
              </w:rPr>
            </w:pPr>
            <w:hyperlink r:id="rId210">
              <w:r>
                <w:rPr>
                  <w:rFonts w:ascii="Arial" w:cs="Arial" w:eastAsia="Arial" w:hAnsi="Arial"/>
                  <w:sz w:val="14"/>
                  <w:szCs w:val="14"/>
                  <w:color w:val="0000FF"/>
                </w:rPr>
                <w:t>Magyar Holdings, LLC (incorporated by reference to Exhibit 10.1 of the Form 8-K filed on August 25, 2011(File No. 001-34927)).</w:t>
              </w:r>
            </w:hyperlink>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10.8</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10">
              <w:r>
                <w:rPr>
                  <w:rFonts w:ascii="Arial" w:cs="Arial" w:eastAsia="Arial" w:hAnsi="Arial"/>
                  <w:sz w:val="15"/>
                  <w:szCs w:val="15"/>
                  <w:color w:val="0000FF"/>
                </w:rPr>
                <w:t>Registration Rights Agreement dated August 24, 2011, by and among Compass Group Diversified Holdings LLC, Compass Diversified Holdings</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80" w:type="dxa"/>
            <w:vAlign w:val="bottom"/>
            <w:tcBorders>
              <w:top w:val="single" w:sz="8" w:color="0000FF"/>
            </w:tcBorders>
            <w:gridSpan w:val="37"/>
          </w:tcPr>
          <w:p>
            <w:pPr>
              <w:spacing w:after="0" w:line="129" w:lineRule="exact"/>
              <w:rPr>
                <w:rFonts w:ascii="Arial" w:cs="Arial" w:eastAsia="Arial" w:hAnsi="Arial"/>
                <w:sz w:val="14"/>
                <w:szCs w:val="14"/>
                <w:color w:val="0000FF"/>
              </w:rPr>
            </w:pPr>
            <w:hyperlink r:id="rId210">
              <w:r>
                <w:rPr>
                  <w:rFonts w:ascii="Arial" w:cs="Arial" w:eastAsia="Arial" w:hAnsi="Arial"/>
                  <w:sz w:val="14"/>
                  <w:szCs w:val="14"/>
                  <w:color w:val="0000FF"/>
                </w:rPr>
                <w:t>and CGI Magyar Holdings, LLC (incorporated by reference to Exhibit 10.2 of the Form 8-K filed on August 25, 2011(File No. 001-34927)).</w:t>
              </w:r>
            </w:hyperlink>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10.9</w:t>
            </w:r>
          </w:p>
        </w:tc>
        <w:tc>
          <w:tcPr>
            <w:tcW w:w="580" w:type="dxa"/>
            <w:vAlign w:val="bottom"/>
          </w:tcPr>
          <w:p>
            <w:pPr>
              <w:spacing w:after="0"/>
              <w:rPr>
                <w:sz w:val="17"/>
                <w:szCs w:val="17"/>
                <w:color w:val="auto"/>
              </w:rPr>
            </w:pPr>
          </w:p>
        </w:tc>
        <w:tc>
          <w:tcPr>
            <w:tcW w:w="10360" w:type="dxa"/>
            <w:vAlign w:val="bottom"/>
            <w:gridSpan w:val="46"/>
          </w:tcPr>
          <w:p>
            <w:pPr>
              <w:spacing w:after="0"/>
              <w:rPr>
                <w:rFonts w:ascii="Arial" w:cs="Arial" w:eastAsia="Arial" w:hAnsi="Arial"/>
                <w:sz w:val="15"/>
                <w:szCs w:val="15"/>
                <w:color w:val="0000FF"/>
              </w:rPr>
            </w:pPr>
            <w:hyperlink r:id="rId206">
              <w:r>
                <w:rPr>
                  <w:rFonts w:ascii="Arial" w:cs="Arial" w:eastAsia="Arial" w:hAnsi="Arial"/>
                  <w:sz w:val="15"/>
                  <w:szCs w:val="15"/>
                  <w:color w:val="0000FF"/>
                </w:rPr>
                <w:t>Seventh Amended and Restated Management Service Agreement by and between Compass Group Diversified Holdings LLC, and Compass Group</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300" w:type="dxa"/>
            <w:vAlign w:val="bottom"/>
            <w:tcBorders>
              <w:top w:val="single" w:sz="8" w:color="0000FF"/>
            </w:tcBorders>
            <w:gridSpan w:val="43"/>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Management LLC, dated as of January 15, 2025 and originally effective as of May 16, 2006 (incorporated by reference to Exhibit 10.1 of the Form</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8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8-K filed on January 15, 2025 (File No. 001-34927))</w:t>
              </w:r>
            </w:hyperlink>
          </w:p>
        </w:tc>
        <w:tc>
          <w:tcPr>
            <w:tcW w:w="280" w:type="dxa"/>
            <w:vAlign w:val="bottom"/>
            <w:gridSpan w:val="1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5"/>
                <w:szCs w:val="15"/>
                <w:color w:val="auto"/>
              </w:rPr>
              <w:t>10.10†</w:t>
            </w:r>
          </w:p>
        </w:tc>
        <w:tc>
          <w:tcPr>
            <w:tcW w:w="10360" w:type="dxa"/>
            <w:vAlign w:val="bottom"/>
            <w:gridSpan w:val="46"/>
          </w:tcPr>
          <w:p>
            <w:pPr>
              <w:spacing w:after="0"/>
              <w:rPr>
                <w:rFonts w:ascii="Arial" w:cs="Arial" w:eastAsia="Arial" w:hAnsi="Arial"/>
                <w:sz w:val="15"/>
                <w:szCs w:val="15"/>
                <w:color w:val="0000FF"/>
              </w:rPr>
            </w:pPr>
            <w:hyperlink r:id="rId211">
              <w:r>
                <w:rPr>
                  <w:rFonts w:ascii="Arial" w:cs="Arial" w:eastAsia="Arial" w:hAnsi="Arial"/>
                  <w:sz w:val="15"/>
                  <w:szCs w:val="15"/>
                  <w:color w:val="0000FF"/>
                </w:rPr>
                <w:t>Employment Agreement dated July 11, 2013, between Compass Group Management LLC and Ryan J. Faulkingham (incorporated by reference to</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6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211">
              <w:r>
                <w:rPr>
                  <w:rFonts w:ascii="Arial" w:cs="Arial" w:eastAsia="Arial" w:hAnsi="Arial"/>
                  <w:sz w:val="14"/>
                  <w:szCs w:val="14"/>
                  <w:color w:val="0000FF"/>
                </w:rPr>
                <w:t>Exhibit 10.1 of the Form 8-K filed on July 11, 2013 (File No. 001-34927)).</w:t>
              </w:r>
            </w:hyperlink>
          </w:p>
        </w:tc>
        <w:tc>
          <w:tcPr>
            <w:tcW w:w="2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920" w:type="dxa"/>
            <w:vAlign w:val="bottom"/>
            <w:gridSpan w:val="10"/>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5"/>
                <w:szCs w:val="15"/>
                <w:color w:val="auto"/>
              </w:rPr>
              <w:t>10.11†</w:t>
            </w:r>
          </w:p>
        </w:tc>
        <w:tc>
          <w:tcPr>
            <w:tcW w:w="10360" w:type="dxa"/>
            <w:vAlign w:val="bottom"/>
            <w:gridSpan w:val="46"/>
          </w:tcPr>
          <w:p>
            <w:pPr>
              <w:spacing w:after="0"/>
              <w:rPr>
                <w:rFonts w:ascii="Arial" w:cs="Arial" w:eastAsia="Arial" w:hAnsi="Arial"/>
                <w:sz w:val="15"/>
                <w:szCs w:val="15"/>
                <w:color w:val="0000FF"/>
              </w:rPr>
            </w:pPr>
            <w:hyperlink r:id="rId212">
              <w:r>
                <w:rPr>
                  <w:rFonts w:ascii="Arial" w:cs="Arial" w:eastAsia="Arial" w:hAnsi="Arial"/>
                  <w:sz w:val="15"/>
                  <w:szCs w:val="15"/>
                  <w:color w:val="0000FF"/>
                </w:rPr>
                <w:t>Separation Agreement and General Release, dated September 12, 2024, between Compass Group Management LLC and Ryan Faulkingham</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20" w:type="dxa"/>
            <w:vAlign w:val="bottom"/>
            <w:tcBorders>
              <w:top w:val="single" w:sz="8" w:color="0000FF"/>
              <w:bottom w:val="single" w:sz="8" w:color="0000FF"/>
            </w:tcBorders>
            <w:gridSpan w:val="19"/>
          </w:tcPr>
          <w:p>
            <w:pPr>
              <w:spacing w:after="0" w:line="129" w:lineRule="exact"/>
              <w:rPr>
                <w:rFonts w:ascii="Arial" w:cs="Arial" w:eastAsia="Arial" w:hAnsi="Arial"/>
                <w:sz w:val="14"/>
                <w:szCs w:val="14"/>
                <w:color w:val="0000FF"/>
              </w:rPr>
            </w:pPr>
            <w:hyperlink r:id="rId212">
              <w:r>
                <w:rPr>
                  <w:rFonts w:ascii="Arial" w:cs="Arial" w:eastAsia="Arial" w:hAnsi="Arial"/>
                  <w:sz w:val="14"/>
                  <w:szCs w:val="14"/>
                  <w:color w:val="0000FF"/>
                </w:rPr>
                <w:t>(incorporated by reference to Exhibit 10.1 of the Form 8-K filed on September 17, 2024 (File No. 001-34927)).</w:t>
              </w:r>
            </w:hyperlink>
          </w:p>
        </w:tc>
        <w:tc>
          <w:tcPr>
            <w:tcW w:w="2200" w:type="dxa"/>
            <w:vAlign w:val="bottom"/>
            <w:tcBorders>
              <w:top w:val="single" w:sz="8" w:color="0000FF"/>
            </w:tcBorders>
            <w:gridSpan w:val="5"/>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1"/>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5"/>
                <w:szCs w:val="15"/>
                <w:color w:val="auto"/>
              </w:rPr>
              <w:t>10.12†</w:t>
            </w:r>
          </w:p>
        </w:tc>
        <w:tc>
          <w:tcPr>
            <w:tcW w:w="10360" w:type="dxa"/>
            <w:vAlign w:val="bottom"/>
            <w:gridSpan w:val="46"/>
          </w:tcPr>
          <w:p>
            <w:pPr>
              <w:spacing w:after="0"/>
              <w:rPr>
                <w:rFonts w:ascii="Arial" w:cs="Arial" w:eastAsia="Arial" w:hAnsi="Arial"/>
                <w:sz w:val="15"/>
                <w:szCs w:val="15"/>
                <w:color w:val="0000FF"/>
              </w:rPr>
            </w:pPr>
            <w:hyperlink r:id="rId213">
              <w:r>
                <w:rPr>
                  <w:rFonts w:ascii="Arial" w:cs="Arial" w:eastAsia="Arial" w:hAnsi="Arial"/>
                  <w:sz w:val="15"/>
                  <w:szCs w:val="15"/>
                  <w:color w:val="0000FF"/>
                </w:rPr>
                <w:t>Employment Agreement dated August 31, 2024 between Compass Group Management LLC and Stephen Keller (incorporated by reference to</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2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213">
              <w:r>
                <w:rPr>
                  <w:rFonts w:ascii="Arial" w:cs="Arial" w:eastAsia="Arial" w:hAnsi="Arial"/>
                  <w:sz w:val="14"/>
                  <w:szCs w:val="14"/>
                  <w:color w:val="0000FF"/>
                </w:rPr>
                <w:t>Exhibit 10.1 of the Form 8-K filed on August 26, 2024 (File No. 001-34927)).</w:t>
              </w:r>
            </w:hyperlink>
          </w:p>
        </w:tc>
        <w:tc>
          <w:tcPr>
            <w:tcW w:w="80" w:type="dxa"/>
            <w:vAlign w:val="bottom"/>
          </w:tcPr>
          <w:p>
            <w:pPr>
              <w:spacing w:after="0"/>
              <w:rPr>
                <w:sz w:val="11"/>
                <w:szCs w:val="11"/>
                <w:color w:val="auto"/>
              </w:rPr>
            </w:pPr>
          </w:p>
        </w:tc>
        <w:tc>
          <w:tcPr>
            <w:tcW w:w="660" w:type="dxa"/>
            <w:vAlign w:val="bottom"/>
            <w:gridSpan w:val="21"/>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140" w:type="dxa"/>
            <w:vAlign w:val="bottom"/>
            <w:gridSpan w:val="12"/>
            <w:shd w:val="clear" w:color="auto" w:fill="0000FF"/>
          </w:tcPr>
          <w:p>
            <w:pPr>
              <w:spacing w:after="0" w:line="20" w:lineRule="exact"/>
              <w:rPr>
                <w:sz w:val="1"/>
                <w:szCs w:val="1"/>
                <w:color w:val="auto"/>
              </w:rPr>
            </w:pPr>
          </w:p>
        </w:tc>
        <w:tc>
          <w:tcPr>
            <w:tcW w:w="4560" w:type="dxa"/>
            <w:vAlign w:val="bottom"/>
            <w:gridSpan w:val="13"/>
          </w:tcPr>
          <w:p>
            <w:pPr>
              <w:spacing w:after="0" w:line="20" w:lineRule="exact"/>
              <w:rPr>
                <w:sz w:val="1"/>
                <w:szCs w:val="1"/>
                <w:color w:val="auto"/>
              </w:rPr>
            </w:pPr>
          </w:p>
        </w:tc>
        <w:tc>
          <w:tcPr>
            <w:tcW w:w="66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5"/>
                <w:szCs w:val="15"/>
                <w:color w:val="auto"/>
              </w:rPr>
              <w:t>10.13†*</w:t>
            </w:r>
          </w:p>
        </w:tc>
        <w:tc>
          <w:tcPr>
            <w:tcW w:w="9700" w:type="dxa"/>
            <w:vAlign w:val="bottom"/>
            <w:tcBorders>
              <w:bottom w:val="single" w:sz="8" w:color="0000FF"/>
            </w:tcBorders>
            <w:gridSpan w:val="25"/>
          </w:tcPr>
          <w:p>
            <w:pPr>
              <w:spacing w:after="0"/>
              <w:rPr>
                <w:sz w:val="20"/>
                <w:szCs w:val="20"/>
                <w:color w:val="auto"/>
              </w:rPr>
            </w:pPr>
            <w:r>
              <w:rPr>
                <w:rFonts w:ascii="Arial" w:cs="Arial" w:eastAsia="Arial" w:hAnsi="Arial"/>
                <w:sz w:val="15"/>
                <w:szCs w:val="15"/>
                <w:color w:val="0000FF"/>
              </w:rPr>
              <w:t>First Amended and Restated Employment Agreement dated January 13, 2025 between Compass Group Management LLC and Stephen Keller.</w:t>
            </w:r>
          </w:p>
        </w:tc>
        <w:tc>
          <w:tcPr>
            <w:tcW w:w="6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923"/>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20" w:type="dxa"/>
            <w:vAlign w:val="bottom"/>
            <w:gridSpan w:val="38"/>
          </w:tcPr>
          <w:p>
            <w:pPr>
              <w:jc w:val="center"/>
              <w:ind w:right="5540"/>
              <w:spacing w:after="0"/>
              <w:rPr>
                <w:sz w:val="20"/>
                <w:szCs w:val="20"/>
                <w:color w:val="auto"/>
              </w:rPr>
            </w:pPr>
            <w:r>
              <w:rPr>
                <w:rFonts w:ascii="Arial" w:cs="Arial" w:eastAsia="Arial" w:hAnsi="Arial"/>
                <w:sz w:val="16"/>
                <w:szCs w:val="16"/>
                <w:color w:val="auto"/>
              </w:rPr>
              <w:t>E-3</w:t>
            </w:r>
          </w:p>
        </w:tc>
        <w:tc>
          <w:tcPr>
            <w:tcW w:w="0" w:type="dxa"/>
            <w:vAlign w:val="bottom"/>
          </w:tcPr>
          <w:p>
            <w:pPr>
              <w:spacing w:after="0"/>
              <w:rPr>
                <w:sz w:val="1"/>
                <w:szCs w:val="1"/>
                <w:color w:val="auto"/>
              </w:rPr>
            </w:pPr>
          </w:p>
        </w:tc>
      </w:tr>
      <w:tr>
        <w:trPr>
          <w:trHeight w:val="103"/>
        </w:trPr>
        <w:tc>
          <w:tcPr>
            <w:tcW w:w="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20" w:type="dxa"/>
            <w:vAlign w:val="bottom"/>
            <w:gridSpan w:val="43"/>
          </w:tcPr>
          <w:p>
            <w:pPr>
              <w:jc w:val="center"/>
              <w:ind w:right="3940"/>
              <w:spacing w:after="0"/>
              <w:rPr>
                <w:sz w:val="20"/>
                <w:szCs w:val="20"/>
                <w:color w:val="auto"/>
              </w:rPr>
            </w:pPr>
            <w:r>
              <w:rPr>
                <w:rFonts w:ascii="Arial" w:cs="Arial" w:eastAsia="Arial" w:hAnsi="Arial"/>
                <w:sz w:val="18"/>
                <w:szCs w:val="18"/>
                <w:b w:val="1"/>
                <w:bCs w:val="1"/>
                <w:color w:val="auto"/>
                <w:w w:val="99"/>
              </w:rPr>
              <w:t>INDEX TO EXHIBITS</w:t>
            </w:r>
          </w:p>
        </w:tc>
        <w:tc>
          <w:tcPr>
            <w:tcW w:w="0" w:type="dxa"/>
            <w:vAlign w:val="bottom"/>
          </w:tcPr>
          <w:p>
            <w:pPr>
              <w:spacing w:after="0"/>
              <w:rPr>
                <w:sz w:val="1"/>
                <w:szCs w:val="1"/>
                <w:color w:val="auto"/>
              </w:rPr>
            </w:pPr>
          </w:p>
        </w:tc>
      </w:tr>
      <w:tr>
        <w:trPr>
          <w:trHeight w:val="1163"/>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520" w:type="dxa"/>
            <w:vAlign w:val="bottom"/>
            <w:gridSpan w:val="40"/>
            <w:vMerge w:val="restart"/>
          </w:tcPr>
          <w:p>
            <w:pPr>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Number</w:t>
            </w: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520" w:type="dxa"/>
            <w:vAlign w:val="bottom"/>
            <w:gridSpan w:val="4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20" w:type="dxa"/>
            <w:vAlign w:val="bottom"/>
            <w:tcBorders>
              <w:right w:val="single" w:sz="8" w:color="auto"/>
            </w:tcBorders>
            <w:gridSpan w:val="2"/>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10.14</w:t>
            </w:r>
          </w:p>
        </w:tc>
        <w:tc>
          <w:tcPr>
            <w:tcW w:w="580" w:type="dxa"/>
            <w:vAlign w:val="bottom"/>
          </w:tcPr>
          <w:p>
            <w:pPr>
              <w:spacing w:after="0"/>
              <w:rPr>
                <w:sz w:val="16"/>
                <w:szCs w:val="16"/>
                <w:color w:val="auto"/>
              </w:rPr>
            </w:pPr>
          </w:p>
        </w:tc>
        <w:tc>
          <w:tcPr>
            <w:tcW w:w="10100" w:type="dxa"/>
            <w:vAlign w:val="bottom"/>
            <w:gridSpan w:val="51"/>
          </w:tcPr>
          <w:p>
            <w:pPr>
              <w:spacing w:after="0"/>
              <w:rPr>
                <w:rFonts w:ascii="Arial" w:cs="Arial" w:eastAsia="Arial" w:hAnsi="Arial"/>
                <w:sz w:val="15"/>
                <w:szCs w:val="15"/>
                <w:color w:val="0000FF"/>
              </w:rPr>
            </w:pPr>
            <w:hyperlink r:id="rId215">
              <w:r>
                <w:rPr>
                  <w:rFonts w:ascii="Arial" w:cs="Arial" w:eastAsia="Arial" w:hAnsi="Arial"/>
                  <w:sz w:val="15"/>
                  <w:szCs w:val="15"/>
                  <w:color w:val="0000FF"/>
                </w:rPr>
                <w:t>Third Amended and Restated Credit Agreement among Compass Group Diversified Holdings LLC, the financial institutions party thereto and Bank</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60" w:type="dxa"/>
            <w:vAlign w:val="bottom"/>
            <w:tcBorders>
              <w:top w:val="single" w:sz="8" w:color="0000FF"/>
              <w:bottom w:val="single" w:sz="8" w:color="0000FF"/>
            </w:tcBorders>
            <w:gridSpan w:val="39"/>
          </w:tcPr>
          <w:p>
            <w:pPr>
              <w:spacing w:after="0" w:line="129" w:lineRule="exact"/>
              <w:rPr>
                <w:rFonts w:ascii="Arial" w:cs="Arial" w:eastAsia="Arial" w:hAnsi="Arial"/>
                <w:sz w:val="14"/>
                <w:szCs w:val="14"/>
                <w:color w:val="0000FF"/>
              </w:rPr>
            </w:pPr>
            <w:hyperlink r:id="rId215">
              <w:r>
                <w:rPr>
                  <w:rFonts w:ascii="Arial" w:cs="Arial" w:eastAsia="Arial" w:hAnsi="Arial"/>
                  <w:sz w:val="14"/>
                  <w:szCs w:val="14"/>
                  <w:color w:val="0000FF"/>
                </w:rPr>
                <w:t>of America, N.A., dated as of July 12, 2022 (incorporated by reference to Exhibit 10.1 of the Form 8-K filed on July 13, 2022 (File No. 001-34927).</w:t>
              </w:r>
            </w:hyperlink>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10.15</w:t>
            </w: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16">
              <w:r>
                <w:rPr>
                  <w:rFonts w:ascii="Arial" w:cs="Arial" w:eastAsia="Arial" w:hAnsi="Arial"/>
                  <w:sz w:val="15"/>
                  <w:szCs w:val="15"/>
                  <w:color w:val="0000FF"/>
                </w:rPr>
                <w:t>First Incremental Facility Amendment, dated January 9, 2025, by and among Compass Diversified Holdings LLC, Bank of America, N.A., and the</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20" w:type="dxa"/>
            <w:vAlign w:val="bottom"/>
            <w:tcBorders>
              <w:top w:val="single" w:sz="8" w:color="0000FF"/>
              <w:bottom w:val="single" w:sz="8" w:color="0000FF"/>
            </w:tcBorders>
            <w:gridSpan w:val="24"/>
          </w:tcPr>
          <w:p>
            <w:pPr>
              <w:spacing w:after="0" w:line="129" w:lineRule="exact"/>
              <w:rPr>
                <w:rFonts w:ascii="Arial" w:cs="Arial" w:eastAsia="Arial" w:hAnsi="Arial"/>
                <w:sz w:val="14"/>
                <w:szCs w:val="14"/>
                <w:color w:val="0000FF"/>
              </w:rPr>
            </w:pPr>
            <w:hyperlink r:id="rId216">
              <w:r>
                <w:rPr>
                  <w:rFonts w:ascii="Arial" w:cs="Arial" w:eastAsia="Arial" w:hAnsi="Arial"/>
                  <w:sz w:val="14"/>
                  <w:szCs w:val="14"/>
                  <w:color w:val="0000FF"/>
                </w:rPr>
                <w:t>lenders party thereto (incorporated by reference to Exhibit 10.1 of the Form 8-K filed on January 10, 2025 (File No. 001-34927).</w:t>
              </w:r>
            </w:hyperlink>
          </w:p>
        </w:tc>
        <w:tc>
          <w:tcPr>
            <w:tcW w:w="118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10.16</w:t>
            </w: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17">
              <w:r>
                <w:rPr>
                  <w:rFonts w:ascii="Arial" w:cs="Arial" w:eastAsia="Arial" w:hAnsi="Arial"/>
                  <w:sz w:val="15"/>
                  <w:szCs w:val="15"/>
                  <w:color w:val="0000FF"/>
                </w:rPr>
                <w:t>Subscription Agreement, dated December 15, 2023, by and among Compass Group Diversified Holdings LLC, Compass Diversified Holdings and</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4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217">
              <w:r>
                <w:rPr>
                  <w:rFonts w:ascii="Arial" w:cs="Arial" w:eastAsia="Arial" w:hAnsi="Arial"/>
                  <w:sz w:val="14"/>
                  <w:szCs w:val="14"/>
                  <w:color w:val="0000FF"/>
                </w:rPr>
                <w:t>Allspring Special Small Cap Value Fund (incorporated by reference to Exhibit 10.1 of the Form 8-K filed on December 21, 2023 (File No. 001-</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rPr>
            </w:pPr>
            <w:hyperlink r:id="rId217">
              <w:r>
                <w:rPr>
                  <w:rFonts w:ascii="Arial" w:cs="Arial" w:eastAsia="Arial" w:hAnsi="Arial"/>
                  <w:sz w:val="14"/>
                  <w:szCs w:val="14"/>
                  <w:color w:val="0000FF"/>
                </w:rPr>
                <w:t>34927).</w:t>
              </w:r>
            </w:hyperlink>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19.1</w:t>
            </w:r>
          </w:p>
        </w:tc>
        <w:tc>
          <w:tcPr>
            <w:tcW w:w="580" w:type="dxa"/>
            <w:vAlign w:val="bottom"/>
          </w:tcPr>
          <w:p>
            <w:pPr>
              <w:spacing w:after="0"/>
              <w:rPr>
                <w:sz w:val="17"/>
                <w:szCs w:val="17"/>
                <w:color w:val="auto"/>
              </w:rPr>
            </w:pPr>
          </w:p>
        </w:tc>
        <w:tc>
          <w:tcPr>
            <w:tcW w:w="10100" w:type="dxa"/>
            <w:vAlign w:val="bottom"/>
            <w:gridSpan w:val="51"/>
          </w:tcPr>
          <w:p>
            <w:pPr>
              <w:spacing w:after="0"/>
              <w:rPr>
                <w:sz w:val="20"/>
                <w:szCs w:val="20"/>
                <w:color w:val="auto"/>
              </w:rPr>
            </w:pPr>
            <w:r>
              <w:rPr>
                <w:rFonts w:ascii="Arial" w:cs="Arial" w:eastAsia="Arial" w:hAnsi="Arial"/>
                <w:sz w:val="15"/>
                <w:szCs w:val="15"/>
                <w:color w:val="0000FF"/>
              </w:rPr>
              <w:t>Compass Diversified Holdings, Compass Group Diversified Holdings LLC and Compass Group Management LLC Policy Regarding Insider Trading,</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80" w:type="dxa"/>
            <w:vAlign w:val="bottom"/>
            <w:tcBorders>
              <w:top w:val="single" w:sz="8" w:color="0000FF"/>
              <w:bottom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Tipping and other Wrongful Disclosures</w:t>
            </w:r>
          </w:p>
        </w:tc>
        <w:tc>
          <w:tcPr>
            <w:tcW w:w="7340" w:type="dxa"/>
            <w:vAlign w:val="bottom"/>
            <w:tcBorders>
              <w:top w:val="single" w:sz="8" w:color="0000FF"/>
            </w:tcBorders>
            <w:gridSpan w:val="3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21.1*</w:t>
            </w:r>
          </w:p>
        </w:tc>
        <w:tc>
          <w:tcPr>
            <w:tcW w:w="580" w:type="dxa"/>
            <w:vAlign w:val="bottom"/>
          </w:tcPr>
          <w:p>
            <w:pPr>
              <w:spacing w:after="0"/>
              <w:rPr>
                <w:sz w:val="17"/>
                <w:szCs w:val="17"/>
                <w:color w:val="auto"/>
              </w:rPr>
            </w:pPr>
          </w:p>
        </w:tc>
        <w:tc>
          <w:tcPr>
            <w:tcW w:w="1300" w:type="dxa"/>
            <w:vAlign w:val="bottom"/>
            <w:tcBorders>
              <w:bottom w:val="single" w:sz="8" w:color="0000FF"/>
            </w:tcBorders>
            <w:gridSpan w:val="5"/>
          </w:tcPr>
          <w:p>
            <w:pPr>
              <w:spacing w:after="0"/>
              <w:rPr>
                <w:sz w:val="20"/>
                <w:szCs w:val="20"/>
                <w:color w:val="auto"/>
              </w:rPr>
            </w:pPr>
            <w:r>
              <w:rPr>
                <w:rFonts w:ascii="Arial" w:cs="Arial" w:eastAsia="Arial" w:hAnsi="Arial"/>
                <w:sz w:val="15"/>
                <w:szCs w:val="15"/>
                <w:color w:val="0000FF"/>
              </w:rPr>
              <w:t>List of Subsidiaries</w:t>
            </w:r>
          </w:p>
        </w:tc>
        <w:tc>
          <w:tcPr>
            <w:tcW w:w="8800" w:type="dxa"/>
            <w:vAlign w:val="bottom"/>
            <w:gridSpan w:val="4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23.1*</w:t>
            </w:r>
          </w:p>
        </w:tc>
        <w:tc>
          <w:tcPr>
            <w:tcW w:w="580" w:type="dxa"/>
            <w:vAlign w:val="bottom"/>
          </w:tcPr>
          <w:p>
            <w:pPr>
              <w:spacing w:after="0"/>
              <w:rPr>
                <w:sz w:val="15"/>
                <w:szCs w:val="15"/>
                <w:color w:val="auto"/>
              </w:rPr>
            </w:pPr>
          </w:p>
        </w:tc>
        <w:tc>
          <w:tcPr>
            <w:tcW w:w="8460" w:type="dxa"/>
            <w:vAlign w:val="bottom"/>
            <w:tcBorders>
              <w:bottom w:val="single" w:sz="8" w:color="0000FF"/>
            </w:tcBorders>
            <w:gridSpan w:val="23"/>
          </w:tcPr>
          <w:p>
            <w:pPr>
              <w:spacing w:after="0"/>
              <w:rPr>
                <w:sz w:val="20"/>
                <w:szCs w:val="20"/>
                <w:color w:val="auto"/>
              </w:rPr>
            </w:pPr>
            <w:r>
              <w:rPr>
                <w:rFonts w:ascii="Arial" w:cs="Arial" w:eastAsia="Arial" w:hAnsi="Arial"/>
                <w:sz w:val="15"/>
                <w:szCs w:val="15"/>
                <w:color w:val="0000FF"/>
              </w:rPr>
              <w:t>Consent of Independent Registered Public Accounting Firm with respect to the Registrant's consolidated financial statements</w:t>
            </w:r>
          </w:p>
        </w:tc>
        <w:tc>
          <w:tcPr>
            <w:tcW w:w="164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24.1*</w:t>
            </w:r>
          </w:p>
        </w:tc>
        <w:tc>
          <w:tcPr>
            <w:tcW w:w="580" w:type="dxa"/>
            <w:vAlign w:val="bottom"/>
          </w:tcPr>
          <w:p>
            <w:pPr>
              <w:spacing w:after="0"/>
              <w:rPr>
                <w:sz w:val="15"/>
                <w:szCs w:val="15"/>
                <w:color w:val="auto"/>
              </w:rPr>
            </w:pPr>
          </w:p>
        </w:tc>
        <w:tc>
          <w:tcPr>
            <w:tcW w:w="556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rPr>
              <w:t>Power of Attorney (included on the signature page of this Annual Report on Form 10-K)</w:t>
            </w:r>
          </w:p>
        </w:tc>
        <w:tc>
          <w:tcPr>
            <w:tcW w:w="4540" w:type="dxa"/>
            <w:vAlign w:val="bottom"/>
            <w:gridSpan w:val="3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31.1*</w:t>
            </w:r>
          </w:p>
        </w:tc>
        <w:tc>
          <w:tcPr>
            <w:tcW w:w="580" w:type="dxa"/>
            <w:vAlign w:val="bottom"/>
          </w:tcPr>
          <w:p>
            <w:pPr>
              <w:spacing w:after="0"/>
              <w:rPr>
                <w:sz w:val="15"/>
                <w:szCs w:val="15"/>
                <w:color w:val="auto"/>
              </w:rPr>
            </w:pPr>
          </w:p>
        </w:tc>
        <w:tc>
          <w:tcPr>
            <w:tcW w:w="5260" w:type="dxa"/>
            <w:vAlign w:val="bottom"/>
            <w:tcBorders>
              <w:bottom w:val="single" w:sz="8" w:color="0000FF"/>
            </w:tcBorders>
            <w:gridSpan w:val="16"/>
          </w:tcPr>
          <w:p>
            <w:pPr>
              <w:spacing w:after="0"/>
              <w:rPr>
                <w:sz w:val="20"/>
                <w:szCs w:val="20"/>
                <w:color w:val="auto"/>
              </w:rPr>
            </w:pPr>
            <w:r>
              <w:rPr>
                <w:rFonts w:ascii="Arial" w:cs="Arial" w:eastAsia="Arial" w:hAnsi="Arial"/>
                <w:sz w:val="15"/>
                <w:szCs w:val="15"/>
                <w:color w:val="0000FF"/>
              </w:rPr>
              <w:t>Rule 13a-14(a)/15d-14(a) Certification of Chief Executive Officer of Registrant</w:t>
            </w:r>
          </w:p>
        </w:tc>
        <w:tc>
          <w:tcPr>
            <w:tcW w:w="4840" w:type="dxa"/>
            <w:vAlign w:val="bottom"/>
            <w:gridSpan w:val="3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31.2*</w:t>
            </w:r>
          </w:p>
        </w:tc>
        <w:tc>
          <w:tcPr>
            <w:tcW w:w="580" w:type="dxa"/>
            <w:vAlign w:val="bottom"/>
          </w:tcPr>
          <w:p>
            <w:pPr>
              <w:spacing w:after="0"/>
              <w:rPr>
                <w:sz w:val="15"/>
                <w:szCs w:val="15"/>
                <w:color w:val="auto"/>
              </w:rPr>
            </w:pPr>
          </w:p>
        </w:tc>
        <w:tc>
          <w:tcPr>
            <w:tcW w:w="10100" w:type="dxa"/>
            <w:vAlign w:val="bottom"/>
            <w:gridSpan w:val="51"/>
          </w:tcPr>
          <w:p>
            <w:pPr>
              <w:spacing w:after="0"/>
              <w:rPr>
                <w:sz w:val="20"/>
                <w:szCs w:val="20"/>
                <w:color w:val="auto"/>
              </w:rPr>
            </w:pPr>
            <w:r>
              <w:rPr>
                <w:rFonts w:ascii="Arial" w:cs="Arial" w:eastAsia="Arial" w:hAnsi="Arial"/>
                <w:sz w:val="15"/>
                <w:szCs w:val="15"/>
                <w:color w:val="0000FF"/>
              </w:rPr>
              <w:t>Rule 13a-14(a)/15d-14(a) Certification of Chief Financial Officer of Registrant</w:t>
            </w: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line="183" w:lineRule="exact"/>
              <w:rPr>
                <w:sz w:val="20"/>
                <w:szCs w:val="20"/>
                <w:color w:val="auto"/>
              </w:rPr>
            </w:pPr>
            <w:r>
              <w:rPr>
                <w:rFonts w:ascii="Arial" w:cs="Arial" w:eastAsia="Arial" w:hAnsi="Arial"/>
                <w:sz w:val="15"/>
                <w:szCs w:val="15"/>
                <w:color w:val="auto"/>
              </w:rPr>
              <w:t>32.1*</w:t>
            </w:r>
            <w:r>
              <w:rPr>
                <w:rFonts w:ascii="Arial" w:cs="Arial" w:eastAsia="Arial" w:hAnsi="Arial"/>
                <w:sz w:val="19"/>
                <w:szCs w:val="19"/>
                <w:color w:val="auto"/>
                <w:vertAlign w:val="superscript"/>
              </w:rPr>
              <w:t>+</w:t>
            </w:r>
          </w:p>
        </w:tc>
        <w:tc>
          <w:tcPr>
            <w:tcW w:w="580" w:type="dxa"/>
            <w:vAlign w:val="bottom"/>
          </w:tcPr>
          <w:p>
            <w:pPr>
              <w:spacing w:after="0"/>
              <w:rPr>
                <w:sz w:val="15"/>
                <w:szCs w:val="15"/>
                <w:color w:val="auto"/>
              </w:rPr>
            </w:pPr>
          </w:p>
        </w:tc>
        <w:tc>
          <w:tcPr>
            <w:tcW w:w="5200" w:type="dxa"/>
            <w:vAlign w:val="bottom"/>
            <w:tcBorders>
              <w:top w:val="single" w:sz="8" w:color="0000FF"/>
            </w:tcBorders>
            <w:gridSpan w:val="15"/>
          </w:tcPr>
          <w:p>
            <w:pPr>
              <w:spacing w:after="0"/>
              <w:rPr>
                <w:sz w:val="20"/>
                <w:szCs w:val="20"/>
                <w:color w:val="auto"/>
              </w:rPr>
            </w:pPr>
            <w:r>
              <w:rPr>
                <w:rFonts w:ascii="Arial" w:cs="Arial" w:eastAsia="Arial" w:hAnsi="Arial"/>
                <w:sz w:val="15"/>
                <w:szCs w:val="15"/>
                <w:color w:val="0000FF"/>
              </w:rPr>
              <w:t>Section 1350 Certification of Chief Executive Officer of Registrant</w:t>
            </w:r>
          </w:p>
        </w:tc>
        <w:tc>
          <w:tcPr>
            <w:tcW w:w="4900" w:type="dxa"/>
            <w:vAlign w:val="bottom"/>
            <w:gridSpan w:val="3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line="183" w:lineRule="exact"/>
              <w:rPr>
                <w:sz w:val="20"/>
                <w:szCs w:val="20"/>
                <w:color w:val="auto"/>
              </w:rPr>
            </w:pPr>
            <w:r>
              <w:rPr>
                <w:rFonts w:ascii="Arial" w:cs="Arial" w:eastAsia="Arial" w:hAnsi="Arial"/>
                <w:sz w:val="15"/>
                <w:szCs w:val="15"/>
                <w:color w:val="auto"/>
              </w:rPr>
              <w:t>32.2*</w:t>
            </w:r>
            <w:r>
              <w:rPr>
                <w:rFonts w:ascii="Arial" w:cs="Arial" w:eastAsia="Arial" w:hAnsi="Arial"/>
                <w:sz w:val="19"/>
                <w:szCs w:val="19"/>
                <w:color w:val="auto"/>
                <w:vertAlign w:val="superscript"/>
              </w:rPr>
              <w:t>+</w:t>
            </w:r>
          </w:p>
        </w:tc>
        <w:tc>
          <w:tcPr>
            <w:tcW w:w="580" w:type="dxa"/>
            <w:vAlign w:val="bottom"/>
          </w:tcPr>
          <w:p>
            <w:pPr>
              <w:spacing w:after="0"/>
              <w:rPr>
                <w:sz w:val="15"/>
                <w:szCs w:val="15"/>
                <w:color w:val="auto"/>
              </w:rPr>
            </w:pPr>
          </w:p>
        </w:tc>
        <w:tc>
          <w:tcPr>
            <w:tcW w:w="43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5"/>
                <w:szCs w:val="15"/>
                <w:color w:val="0000FF"/>
              </w:rPr>
              <w:t>Section 1350 Certification of Chief Financial Officer of Registrant</w:t>
            </w:r>
          </w:p>
        </w:tc>
        <w:tc>
          <w:tcPr>
            <w:tcW w:w="40" w:type="dxa"/>
            <w:vAlign w:val="bottom"/>
            <w:tcBorders>
              <w:top w:val="single" w:sz="8" w:color="0000FF"/>
            </w:tcBorders>
          </w:tcPr>
          <w:p>
            <w:pPr>
              <w:spacing w:after="0"/>
              <w:rPr>
                <w:sz w:val="15"/>
                <w:szCs w:val="15"/>
                <w:color w:val="auto"/>
              </w:rPr>
            </w:pPr>
          </w:p>
        </w:tc>
        <w:tc>
          <w:tcPr>
            <w:tcW w:w="5680" w:type="dxa"/>
            <w:vAlign w:val="bottom"/>
            <w:gridSpan w:val="4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97.1</w:t>
            </w:r>
          </w:p>
        </w:tc>
        <w:tc>
          <w:tcPr>
            <w:tcW w:w="580" w:type="dxa"/>
            <w:vAlign w:val="bottom"/>
          </w:tcPr>
          <w:p>
            <w:pPr>
              <w:spacing w:after="0"/>
              <w:rPr>
                <w:sz w:val="15"/>
                <w:szCs w:val="15"/>
                <w:color w:val="auto"/>
              </w:rPr>
            </w:pPr>
          </w:p>
        </w:tc>
        <w:tc>
          <w:tcPr>
            <w:tcW w:w="10100" w:type="dxa"/>
            <w:vAlign w:val="bottom"/>
            <w:gridSpan w:val="51"/>
          </w:tcPr>
          <w:p>
            <w:pPr>
              <w:spacing w:after="0"/>
              <w:rPr>
                <w:rFonts w:ascii="Arial" w:cs="Arial" w:eastAsia="Arial" w:hAnsi="Arial"/>
                <w:sz w:val="15"/>
                <w:szCs w:val="15"/>
                <w:color w:val="0000FF"/>
              </w:rPr>
            </w:pPr>
            <w:hyperlink r:id="rId218">
              <w:r>
                <w:rPr>
                  <w:rFonts w:ascii="Arial" w:cs="Arial" w:eastAsia="Arial" w:hAnsi="Arial"/>
                  <w:sz w:val="15"/>
                  <w:szCs w:val="15"/>
                  <w:color w:val="0000FF"/>
                </w:rPr>
                <w:t>Policy relating to recovery of erroneously awarded compensation, as required by applicable listing standards adopted pursuant to 17 CFR 240.10D-</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20" w:type="dxa"/>
            <w:vAlign w:val="bottom"/>
            <w:tcBorders>
              <w:top w:val="single" w:sz="8" w:color="0000FF"/>
              <w:bottom w:val="single" w:sz="8" w:color="0000FF"/>
            </w:tcBorders>
            <w:gridSpan w:val="21"/>
          </w:tcPr>
          <w:p>
            <w:pPr>
              <w:spacing w:after="0" w:line="129" w:lineRule="exact"/>
              <w:rPr>
                <w:rFonts w:ascii="Arial" w:cs="Arial" w:eastAsia="Arial" w:hAnsi="Arial"/>
                <w:sz w:val="14"/>
                <w:szCs w:val="14"/>
                <w:color w:val="0000FF"/>
              </w:rPr>
            </w:pPr>
            <w:hyperlink r:id="rId218">
              <w:r>
                <w:rPr>
                  <w:rFonts w:ascii="Arial" w:cs="Arial" w:eastAsia="Arial" w:hAnsi="Arial"/>
                  <w:sz w:val="14"/>
                  <w:szCs w:val="14"/>
                  <w:color w:val="0000FF"/>
                </w:rPr>
                <w:t>1(incorporated by reference to Exhibit 97.1 of the Form 10-K filed on February 28, 2024 (File No. 001-34927))</w:t>
              </w:r>
            </w:hyperlink>
          </w:p>
        </w:tc>
        <w:tc>
          <w:tcPr>
            <w:tcW w:w="2580" w:type="dxa"/>
            <w:vAlign w:val="bottom"/>
            <w:tcBorders>
              <w:top w:val="single" w:sz="8" w:color="0000FF"/>
            </w:tcBorders>
            <w:gridSpan w:val="2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99.1</w:t>
            </w: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19">
              <w:r>
                <w:rPr>
                  <w:rFonts w:ascii="Arial" w:cs="Arial" w:eastAsia="Arial" w:hAnsi="Arial"/>
                  <w:sz w:val="15"/>
                  <w:szCs w:val="15"/>
                  <w:color w:val="0000FF"/>
                </w:rPr>
                <w:t>Stock Purchase Agreement dated March 31, 2010 by and among Gable 5, Inc., Liberty Safe and Security Products, LLC and Liberty Safe Holding</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740" w:type="dxa"/>
            <w:vAlign w:val="bottom"/>
            <w:tcBorders>
              <w:top w:val="single" w:sz="8" w:color="0000FF"/>
              <w:bottom w:val="single" w:sz="8" w:color="0000FF"/>
            </w:tcBorders>
            <w:gridSpan w:val="22"/>
          </w:tcPr>
          <w:p>
            <w:pPr>
              <w:spacing w:after="0" w:line="129" w:lineRule="exact"/>
              <w:rPr>
                <w:rFonts w:ascii="Arial" w:cs="Arial" w:eastAsia="Arial" w:hAnsi="Arial"/>
                <w:sz w:val="14"/>
                <w:szCs w:val="14"/>
                <w:color w:val="0000FF"/>
              </w:rPr>
            </w:pPr>
            <w:hyperlink r:id="rId219">
              <w:r>
                <w:rPr>
                  <w:rFonts w:ascii="Arial" w:cs="Arial" w:eastAsia="Arial" w:hAnsi="Arial"/>
                  <w:sz w:val="14"/>
                  <w:szCs w:val="14"/>
                  <w:color w:val="0000FF"/>
                </w:rPr>
                <w:t>Corporation (incorporated by reference to Exhibit 99.1 of the Form 8-K filed on April 1, 2010 (File No. 000-51937)).</w:t>
              </w:r>
            </w:hyperlink>
          </w:p>
        </w:tc>
        <w:tc>
          <w:tcPr>
            <w:tcW w:w="2120" w:type="dxa"/>
            <w:vAlign w:val="bottom"/>
            <w:tcBorders>
              <w:top w:val="single" w:sz="8" w:color="0000FF"/>
            </w:tcBorders>
            <w:gridSpan w:val="17"/>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99.2</w:t>
            </w: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20">
              <w:r>
                <w:rPr>
                  <w:rFonts w:ascii="Arial" w:cs="Arial" w:eastAsia="Arial" w:hAnsi="Arial"/>
                  <w:sz w:val="15"/>
                  <w:szCs w:val="15"/>
                  <w:color w:val="0000FF"/>
                </w:rPr>
                <w:t>Stock Purchase Agreement dated September 16, 2010, by and among ERGO Baby Intermediate Holding Corporation, The ERGO Baby Carrier,</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740" w:type="dxa"/>
            <w:vAlign w:val="bottom"/>
            <w:tcBorders>
              <w:top w:val="single" w:sz="8" w:color="0000FF"/>
              <w:bottom w:val="single" w:sz="8" w:color="0000FF"/>
            </w:tcBorders>
            <w:gridSpan w:val="33"/>
          </w:tcPr>
          <w:p>
            <w:pPr>
              <w:spacing w:after="0" w:line="129" w:lineRule="exact"/>
              <w:rPr>
                <w:rFonts w:ascii="Arial" w:cs="Arial" w:eastAsia="Arial" w:hAnsi="Arial"/>
                <w:sz w:val="14"/>
                <w:szCs w:val="14"/>
                <w:color w:val="0000FF"/>
              </w:rPr>
            </w:pPr>
            <w:hyperlink r:id="rId220">
              <w:r>
                <w:rPr>
                  <w:rFonts w:ascii="Arial" w:cs="Arial" w:eastAsia="Arial" w:hAnsi="Arial"/>
                  <w:sz w:val="14"/>
                  <w:szCs w:val="14"/>
                  <w:color w:val="0000FF"/>
                </w:rPr>
                <w:t>Inc., Karin A. Frost, in her individual capacity and as Trustee of the Revocable Trust of Karin A. Frost dated February 22, 2008 and as Trustee of</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100" w:type="dxa"/>
            <w:vAlign w:val="bottom"/>
            <w:gridSpan w:val="51"/>
          </w:tcPr>
          <w:p>
            <w:pPr>
              <w:spacing w:after="0" w:line="129" w:lineRule="exact"/>
              <w:rPr>
                <w:rFonts w:ascii="Arial" w:cs="Arial" w:eastAsia="Arial" w:hAnsi="Arial"/>
                <w:sz w:val="14"/>
                <w:szCs w:val="14"/>
                <w:color w:val="0000FF"/>
              </w:rPr>
            </w:pPr>
            <w:hyperlink r:id="rId220">
              <w:r>
                <w:rPr>
                  <w:rFonts w:ascii="Arial" w:cs="Arial" w:eastAsia="Arial" w:hAnsi="Arial"/>
                  <w:sz w:val="14"/>
                  <w:szCs w:val="14"/>
                  <w:color w:val="0000FF"/>
                </w:rPr>
                <w:t>the Karin A. Frost 2009 Qualified Annuity Trust u/a/d 12/21/2009 (incorporated by reference to Exhibit 99.1 of the Form 8-K filed on September 17,</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900" w:type="dxa"/>
            <w:vAlign w:val="bottom"/>
            <w:tcBorders>
              <w:top w:val="single" w:sz="8" w:color="0000FF"/>
            </w:tcBorders>
            <w:gridSpan w:val="41"/>
          </w:tcPr>
          <w:p>
            <w:pPr>
              <w:spacing w:after="0" w:line="142" w:lineRule="exact"/>
              <w:rPr>
                <w:rFonts w:ascii="Arial" w:cs="Arial" w:eastAsia="Arial" w:hAnsi="Arial"/>
                <w:sz w:val="15"/>
                <w:szCs w:val="15"/>
                <w:color w:val="0000FF"/>
              </w:rPr>
            </w:pPr>
            <w:hyperlink r:id="rId220">
              <w:r>
                <w:rPr>
                  <w:rFonts w:ascii="Arial" w:cs="Arial" w:eastAsia="Arial" w:hAnsi="Arial"/>
                  <w:sz w:val="15"/>
                  <w:szCs w:val="15"/>
                  <w:color w:val="0000FF"/>
                </w:rPr>
                <w:t>2010 (File No. 000-51937)).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99.3</w:t>
            </w:r>
          </w:p>
        </w:tc>
        <w:tc>
          <w:tcPr>
            <w:tcW w:w="580" w:type="dxa"/>
            <w:vAlign w:val="bottom"/>
          </w:tcPr>
          <w:p>
            <w:pPr>
              <w:spacing w:after="0"/>
              <w:rPr>
                <w:sz w:val="15"/>
                <w:szCs w:val="15"/>
                <w:color w:val="auto"/>
              </w:rPr>
            </w:pPr>
          </w:p>
        </w:tc>
        <w:tc>
          <w:tcPr>
            <w:tcW w:w="10100" w:type="dxa"/>
            <w:vAlign w:val="bottom"/>
            <w:gridSpan w:val="51"/>
          </w:tcPr>
          <w:p>
            <w:pPr>
              <w:spacing w:after="0" w:line="169" w:lineRule="exact"/>
              <w:rPr>
                <w:rFonts w:ascii="Arial" w:cs="Arial" w:eastAsia="Arial" w:hAnsi="Arial"/>
                <w:sz w:val="15"/>
                <w:szCs w:val="15"/>
                <w:color w:val="0000FF"/>
              </w:rPr>
            </w:pPr>
            <w:hyperlink r:id="rId221">
              <w:r>
                <w:rPr>
                  <w:rFonts w:ascii="Arial" w:cs="Arial" w:eastAsia="Arial" w:hAnsi="Arial"/>
                  <w:sz w:val="15"/>
                  <w:szCs w:val="15"/>
                  <w:color w:val="0000FF"/>
                </w:rPr>
                <w:t>Stock Purchase Agreement dated as of March 5, 2012, by and among Arnold Magnetic Technologies Holdings Corporation, Arnold Magnetic</w:t>
              </w:r>
            </w:hyperlink>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500" w:type="dxa"/>
            <w:vAlign w:val="bottom"/>
            <w:tcBorders>
              <w:top w:val="single" w:sz="8" w:color="0000FF"/>
            </w:tcBorders>
            <w:gridSpan w:val="27"/>
          </w:tcPr>
          <w:p>
            <w:pPr>
              <w:spacing w:after="0" w:line="135" w:lineRule="exact"/>
              <w:rPr>
                <w:rFonts w:ascii="Arial" w:cs="Arial" w:eastAsia="Arial" w:hAnsi="Arial"/>
                <w:sz w:val="15"/>
                <w:szCs w:val="15"/>
                <w:color w:val="0000FF"/>
              </w:rPr>
            </w:pPr>
            <w:hyperlink r:id="rId221">
              <w:r>
                <w:rPr>
                  <w:rFonts w:ascii="Arial" w:cs="Arial" w:eastAsia="Arial" w:hAnsi="Arial"/>
                  <w:sz w:val="15"/>
                  <w:szCs w:val="15"/>
                  <w:color w:val="0000FF"/>
                </w:rPr>
                <w:t>Technologies, LLC and AMT Acquisition Corp. (incorporated by reference to Exhibit 99.1 of the Form 8-K filed on March 6, 2012 (File No. 001</w:t>
              </w:r>
            </w:hyperlink>
          </w:p>
        </w:tc>
        <w:tc>
          <w:tcPr>
            <w:tcW w:w="200" w:type="dxa"/>
            <w:vAlign w:val="bottom"/>
            <w:gridSpan w:val="5"/>
          </w:tcPr>
          <w:p>
            <w:pPr>
              <w:jc w:val="right"/>
              <w:ind w:right="100"/>
              <w:spacing w:after="0" w:line="135" w:lineRule="exact"/>
              <w:rPr>
                <w:rFonts w:ascii="Arial" w:cs="Arial" w:eastAsia="Arial" w:hAnsi="Arial"/>
                <w:sz w:val="15"/>
                <w:szCs w:val="15"/>
                <w:color w:val="0000FF"/>
              </w:rPr>
            </w:pPr>
            <w:hyperlink r:id="rId221">
              <w:r>
                <w:rPr>
                  <w:rFonts w:ascii="Arial" w:cs="Arial" w:eastAsia="Arial" w:hAnsi="Arial"/>
                  <w:sz w:val="15"/>
                  <w:szCs w:val="15"/>
                  <w:color w:val="0000FF"/>
                </w:rPr>
                <w:t>-</w:t>
              </w:r>
            </w:hyperlink>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221">
              <w:r>
                <w:rPr>
                  <w:rFonts w:ascii="Arial" w:cs="Arial" w:eastAsia="Arial" w:hAnsi="Arial"/>
                  <w:sz w:val="14"/>
                  <w:szCs w:val="14"/>
                  <w:color w:val="0000FF"/>
                </w:rPr>
                <w:t>34927)</w:t>
              </w:r>
              <w:r>
                <w:rPr>
                  <w:rFonts w:ascii="Arial" w:cs="Arial" w:eastAsia="Arial" w:hAnsi="Arial"/>
                  <w:sz w:val="14"/>
                  <w:szCs w:val="14"/>
                  <w:u w:val="single" w:color="auto"/>
                  <w:color w:val="0000FF"/>
                </w:rPr>
                <w:t>)</w:t>
              </w:r>
              <w:r>
                <w:rPr>
                  <w:rFonts w:ascii="Arial" w:cs="Arial" w:eastAsia="Arial" w:hAnsi="Arial"/>
                  <w:sz w:val="14"/>
                  <w:szCs w:val="14"/>
                  <w:color w:val="0000FF"/>
                </w:rPr>
                <w:t>.</w:t>
              </w:r>
            </w:hyperlink>
          </w:p>
        </w:tc>
        <w:tc>
          <w:tcPr>
            <w:tcW w:w="30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99.4</w:t>
            </w: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22">
              <w:r>
                <w:rPr>
                  <w:rFonts w:ascii="Arial" w:cs="Arial" w:eastAsia="Arial" w:hAnsi="Arial"/>
                  <w:sz w:val="15"/>
                  <w:szCs w:val="15"/>
                  <w:color w:val="0000FF"/>
                </w:rPr>
                <w:t>Membership Interest Purchase Agreement dated as of October 10, 2014, by and among Candle Lamp Holdings, LLC, Candle Lamp Company, LLC</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560" w:type="dxa"/>
            <w:vAlign w:val="bottom"/>
            <w:tcBorders>
              <w:top w:val="single" w:sz="8" w:color="0000FF"/>
              <w:bottom w:val="single" w:sz="8" w:color="0000FF"/>
            </w:tcBorders>
            <w:gridSpan w:val="30"/>
          </w:tcPr>
          <w:p>
            <w:pPr>
              <w:spacing w:after="0" w:line="129" w:lineRule="exact"/>
              <w:rPr>
                <w:rFonts w:ascii="Arial" w:cs="Arial" w:eastAsia="Arial" w:hAnsi="Arial"/>
                <w:sz w:val="14"/>
                <w:szCs w:val="14"/>
                <w:color w:val="0000FF"/>
              </w:rPr>
            </w:pPr>
            <w:hyperlink r:id="rId222">
              <w:r>
                <w:rPr>
                  <w:rFonts w:ascii="Arial" w:cs="Arial" w:eastAsia="Arial" w:hAnsi="Arial"/>
                  <w:sz w:val="14"/>
                  <w:szCs w:val="14"/>
                  <w:color w:val="0000FF"/>
                </w:rPr>
                <w:t>and Sternocandlelamp Holdings, Inc. (incorporated by reference to Exhibit 99.1 of the Form 8-K filed October 14, 2014 (File No. 001-34927)).</w:t>
              </w:r>
            </w:hyperlink>
          </w:p>
        </w:tc>
        <w:tc>
          <w:tcPr>
            <w:tcW w:w="420" w:type="dxa"/>
            <w:vAlign w:val="bottom"/>
            <w:tcBorders>
              <w:top w:val="single" w:sz="8" w:color="0000FF"/>
            </w:tcBorders>
            <w:gridSpan w:val="15"/>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99.5</w:t>
            </w: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23">
              <w:r>
                <w:rPr>
                  <w:rFonts w:ascii="Arial" w:cs="Arial" w:eastAsia="Arial" w:hAnsi="Arial"/>
                  <w:sz w:val="15"/>
                  <w:szCs w:val="15"/>
                  <w:color w:val="0000FF"/>
                </w:rPr>
                <w:t>Agreement and Plan of Merger, dated as of July 29, 2016, by and among 5.11 ABR Corp., 5.11 ABR Merger Corp., 5.11 Acquisition Corp., TA</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56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223">
              <w:r>
                <w:rPr>
                  <w:rFonts w:ascii="Arial" w:cs="Arial" w:eastAsia="Arial" w:hAnsi="Arial"/>
                  <w:sz w:val="14"/>
                  <w:szCs w:val="14"/>
                  <w:color w:val="0000FF"/>
                </w:rPr>
                <w:t>Associates Management, L.P., as the agent and attorney in fact of the holders of stock and options in 5.11 Acquisition Corp. (incorporated by</w:t>
              </w:r>
            </w:hyperlink>
          </w:p>
        </w:tc>
        <w:tc>
          <w:tcPr>
            <w:tcW w:w="14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920" w:type="dxa"/>
            <w:vAlign w:val="bottom"/>
            <w:tcBorders>
              <w:top w:val="single" w:sz="8" w:color="0000FF"/>
              <w:bottom w:val="single" w:sz="8" w:color="0000FF"/>
            </w:tcBorders>
            <w:gridSpan w:val="19"/>
          </w:tcPr>
          <w:p>
            <w:pPr>
              <w:spacing w:after="0" w:line="129" w:lineRule="exact"/>
              <w:rPr>
                <w:rFonts w:ascii="Arial" w:cs="Arial" w:eastAsia="Arial" w:hAnsi="Arial"/>
                <w:sz w:val="14"/>
                <w:szCs w:val="14"/>
                <w:color w:val="0000FF"/>
              </w:rPr>
            </w:pPr>
            <w:hyperlink r:id="rId223">
              <w:r>
                <w:rPr>
                  <w:rFonts w:ascii="Arial" w:cs="Arial" w:eastAsia="Arial" w:hAnsi="Arial"/>
                  <w:sz w:val="14"/>
                  <w:szCs w:val="14"/>
                  <w:color w:val="0000FF"/>
                </w:rPr>
                <w:t>reference to Exhibit 99.1 of the Form 8-K filed on August 1, 2016 (File No. 001-34927)).</w:t>
              </w:r>
            </w:hyperlink>
          </w:p>
        </w:tc>
        <w:tc>
          <w:tcPr>
            <w:tcW w:w="360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3"/>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99.6</w:t>
            </w:r>
          </w:p>
        </w:tc>
        <w:tc>
          <w:tcPr>
            <w:tcW w:w="580" w:type="dxa"/>
            <w:vAlign w:val="bottom"/>
          </w:tcPr>
          <w:p>
            <w:pPr>
              <w:spacing w:after="0"/>
              <w:rPr>
                <w:sz w:val="16"/>
                <w:szCs w:val="16"/>
                <w:color w:val="auto"/>
              </w:rPr>
            </w:pPr>
          </w:p>
        </w:tc>
        <w:tc>
          <w:tcPr>
            <w:tcW w:w="10100" w:type="dxa"/>
            <w:vAlign w:val="bottom"/>
            <w:gridSpan w:val="51"/>
          </w:tcPr>
          <w:p>
            <w:pPr>
              <w:spacing w:after="0"/>
              <w:rPr>
                <w:rFonts w:ascii="Arial" w:cs="Arial" w:eastAsia="Arial" w:hAnsi="Arial"/>
                <w:sz w:val="15"/>
                <w:szCs w:val="15"/>
                <w:color w:val="0000FF"/>
              </w:rPr>
            </w:pPr>
            <w:hyperlink r:id="rId224">
              <w:r>
                <w:rPr>
                  <w:rFonts w:ascii="Arial" w:cs="Arial" w:eastAsia="Arial" w:hAnsi="Arial"/>
                  <w:sz w:val="15"/>
                  <w:szCs w:val="15"/>
                  <w:color w:val="0000FF"/>
                </w:rPr>
                <w:t>Equity Purchase Agreement, dated June 2, 2017, by and among Bullseye Holding Company LLC, Bullseye Acquisition Corporation, CBCP</w:t>
              </w:r>
            </w:hyperlink>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360" w:type="dxa"/>
            <w:vAlign w:val="bottom"/>
            <w:tcBorders>
              <w:top w:val="single" w:sz="8" w:color="0000FF"/>
            </w:tcBorders>
            <w:gridSpan w:val="25"/>
          </w:tcPr>
          <w:p>
            <w:pPr>
              <w:spacing w:after="0" w:line="135" w:lineRule="exact"/>
              <w:rPr>
                <w:rFonts w:ascii="Arial" w:cs="Arial" w:eastAsia="Arial" w:hAnsi="Arial"/>
                <w:sz w:val="15"/>
                <w:szCs w:val="15"/>
                <w:color w:val="0000FF"/>
              </w:rPr>
            </w:pPr>
            <w:hyperlink r:id="rId224">
              <w:r>
                <w:rPr>
                  <w:rFonts w:ascii="Arial" w:cs="Arial" w:eastAsia="Arial" w:hAnsi="Arial"/>
                  <w:sz w:val="15"/>
                  <w:szCs w:val="15"/>
                  <w:color w:val="0000FF"/>
                </w:rPr>
                <w:t>Acquisition Corp. and Wellspring Capital Partners IV, L.P. (incorporated by reference to Exhibit 99.1 of the Form 8-K filed on June 5, 2017</w:t>
              </w:r>
            </w:hyperlink>
          </w:p>
        </w:tc>
        <w:tc>
          <w:tcPr>
            <w:tcW w:w="740" w:type="dxa"/>
            <w:vAlign w:val="bottom"/>
            <w:gridSpan w:val="26"/>
          </w:tcPr>
          <w:p>
            <w:pPr>
              <w:spacing w:after="0" w:line="135" w:lineRule="exact"/>
              <w:rPr>
                <w:rFonts w:ascii="Arial" w:cs="Arial" w:eastAsia="Arial" w:hAnsi="Arial"/>
                <w:sz w:val="15"/>
                <w:szCs w:val="15"/>
                <w:color w:val="0000FF"/>
              </w:rPr>
            </w:pPr>
            <w:hyperlink r:id="rId224">
              <w:r>
                <w:rPr>
                  <w:rFonts w:ascii="Arial" w:cs="Arial" w:eastAsia="Arial" w:hAnsi="Arial"/>
                  <w:sz w:val="15"/>
                  <w:szCs w:val="15"/>
                  <w:color w:val="0000FF"/>
                </w:rPr>
                <w:t>(File No.</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224">
              <w:r>
                <w:rPr>
                  <w:rFonts w:ascii="Arial" w:cs="Arial" w:eastAsia="Arial" w:hAnsi="Arial"/>
                  <w:sz w:val="14"/>
                  <w:szCs w:val="14"/>
                  <w:color w:val="0000FF"/>
                </w:rPr>
                <w:t>001-34927)).</w:t>
              </w:r>
            </w:hyperlink>
          </w:p>
        </w:tc>
        <w:tc>
          <w:tcPr>
            <w:tcW w:w="4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99.7</w:t>
            </w: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25">
              <w:r>
                <w:rPr>
                  <w:rFonts w:ascii="Arial" w:cs="Arial" w:eastAsia="Arial" w:hAnsi="Arial"/>
                  <w:sz w:val="15"/>
                  <w:szCs w:val="15"/>
                  <w:color w:val="0000FF"/>
                </w:rPr>
                <w:t>Stock Purchase Agreement, dated January 18, 2018, between Warren F. Florkiewicz and FFI Compass, Inc. (incorporated by reference to Exhibit</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20" w:type="dxa"/>
            <w:vAlign w:val="bottom"/>
            <w:tcBorders>
              <w:top w:val="single" w:sz="8" w:color="0000FF"/>
            </w:tcBorders>
            <w:gridSpan w:val="37"/>
          </w:tcPr>
          <w:p>
            <w:pPr>
              <w:spacing w:after="0" w:line="129" w:lineRule="exact"/>
              <w:rPr>
                <w:rFonts w:ascii="Arial" w:cs="Arial" w:eastAsia="Arial" w:hAnsi="Arial"/>
                <w:sz w:val="14"/>
                <w:szCs w:val="14"/>
                <w:color w:val="0000FF"/>
              </w:rPr>
            </w:pPr>
            <w:hyperlink r:id="rId225">
              <w:r>
                <w:rPr>
                  <w:rFonts w:ascii="Arial" w:cs="Arial" w:eastAsia="Arial" w:hAnsi="Arial"/>
                  <w:sz w:val="14"/>
                  <w:szCs w:val="14"/>
                  <w:color w:val="0000FF"/>
                </w:rPr>
                <w:t>99.</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of the Form 8-K filed on January 18, 2018 (File No. 001-34927)).</w:t>
              </w:r>
            </w:hyperlink>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92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99.8</w:t>
            </w: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26">
              <w:r>
                <w:rPr>
                  <w:rFonts w:ascii="Arial" w:cs="Arial" w:eastAsia="Arial" w:hAnsi="Arial"/>
                  <w:sz w:val="15"/>
                  <w:szCs w:val="15"/>
                  <w:color w:val="0000FF"/>
                </w:rPr>
                <w:t>Arrangement Agreement, dated February 19, 2019, by and among FHF Holdings Ltd.; 1197879 B.C. Ltd.; Tilray, Inc.; Compass Group Diversified</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60" w:type="dxa"/>
            <w:vAlign w:val="bottom"/>
            <w:tcBorders>
              <w:top w:val="single" w:sz="8" w:color="0000FF"/>
              <w:bottom w:val="single" w:sz="8" w:color="0000FF"/>
            </w:tcBorders>
            <w:gridSpan w:val="49"/>
          </w:tcPr>
          <w:p>
            <w:pPr>
              <w:spacing w:after="0" w:line="129" w:lineRule="exact"/>
              <w:rPr>
                <w:rFonts w:ascii="Arial" w:cs="Arial" w:eastAsia="Arial" w:hAnsi="Arial"/>
                <w:sz w:val="14"/>
                <w:szCs w:val="14"/>
                <w:color w:val="0000FF"/>
              </w:rPr>
            </w:pPr>
            <w:hyperlink r:id="rId226">
              <w:r>
                <w:rPr>
                  <w:rFonts w:ascii="Arial" w:cs="Arial" w:eastAsia="Arial" w:hAnsi="Arial"/>
                  <w:sz w:val="14"/>
                  <w:szCs w:val="14"/>
                  <w:color w:val="0000FF"/>
                </w:rPr>
                <w:t>Holdings LLC and each Shareholder that is, or is made pursuant to the Plan of Arrangement, a party thereto (incorporated by reference to Exhibit</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780" w:type="dxa"/>
            <w:vAlign w:val="bottom"/>
            <w:tcBorders>
              <w:bottom w:val="single" w:sz="8" w:color="0000FF"/>
            </w:tcBorders>
            <w:gridSpan w:val="13"/>
          </w:tcPr>
          <w:p>
            <w:pPr>
              <w:spacing w:after="0" w:line="129" w:lineRule="exact"/>
              <w:rPr>
                <w:rFonts w:ascii="Arial" w:cs="Arial" w:eastAsia="Arial" w:hAnsi="Arial"/>
                <w:sz w:val="14"/>
                <w:szCs w:val="14"/>
                <w:color w:val="0000FF"/>
              </w:rPr>
            </w:pPr>
            <w:hyperlink r:id="rId226">
              <w:r>
                <w:rPr>
                  <w:rFonts w:ascii="Arial" w:cs="Arial" w:eastAsia="Arial" w:hAnsi="Arial"/>
                  <w:sz w:val="14"/>
                  <w:szCs w:val="14"/>
                  <w:color w:val="0000FF"/>
                </w:rPr>
                <w:t>99.</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of the Form 8-K filed on February 20, 2019 (File No. 001-34927)).</w:t>
              </w:r>
            </w:hyperlink>
          </w:p>
        </w:tc>
        <w:tc>
          <w:tcPr>
            <w:tcW w:w="5300" w:type="dxa"/>
            <w:vAlign w:val="bottom"/>
            <w:gridSpan w:val="37"/>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99.9</w:t>
            </w: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27">
              <w:r>
                <w:rPr>
                  <w:rFonts w:ascii="Arial" w:cs="Arial" w:eastAsia="Arial" w:hAnsi="Arial"/>
                  <w:sz w:val="15"/>
                  <w:szCs w:val="15"/>
                  <w:color w:val="0000FF"/>
                </w:rPr>
                <w:t>Agreement and Plan of Merger, dated as of March 6, 2020, among Marucci Sports, LLC, Wheelhouse Holdings, Inc., Wheelhouse Holdings Merger</w:t>
              </w:r>
            </w:hyperlink>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540" w:type="dxa"/>
            <w:vAlign w:val="bottom"/>
            <w:tcBorders>
              <w:top w:val="single" w:sz="8" w:color="0000FF"/>
              <w:bottom w:val="single" w:sz="8" w:color="0000FF"/>
            </w:tcBorders>
            <w:gridSpan w:val="29"/>
          </w:tcPr>
          <w:p>
            <w:pPr>
              <w:spacing w:after="0" w:line="129" w:lineRule="exact"/>
              <w:rPr>
                <w:rFonts w:ascii="Arial" w:cs="Arial" w:eastAsia="Arial" w:hAnsi="Arial"/>
                <w:sz w:val="14"/>
                <w:szCs w:val="14"/>
                <w:color w:val="0000FF"/>
              </w:rPr>
            </w:pPr>
            <w:hyperlink r:id="rId227">
              <w:r>
                <w:rPr>
                  <w:rFonts w:ascii="Arial" w:cs="Arial" w:eastAsia="Arial" w:hAnsi="Arial"/>
                  <w:sz w:val="14"/>
                  <w:szCs w:val="14"/>
                  <w:color w:val="0000FF"/>
                </w:rPr>
                <w:t>Sub LLC and Wheelhouse 2020 LLC (incorporated by reference to Exhibit 99.1 of the Form 8-K filed on March 9, 2020 (File No. 001-34927))</w:t>
              </w:r>
            </w:hyperlink>
          </w:p>
        </w:tc>
        <w:tc>
          <w:tcPr>
            <w:tcW w:w="420" w:type="dxa"/>
            <w:vAlign w:val="bottom"/>
            <w:tcBorders>
              <w:top w:val="single" w:sz="8" w:color="0000FF"/>
            </w:tcBorders>
            <w:gridSpan w:val="15"/>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99.10</w:t>
            </w: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28">
              <w:r>
                <w:rPr>
                  <w:rFonts w:ascii="Arial" w:cs="Arial" w:eastAsia="Arial" w:hAnsi="Arial"/>
                  <w:sz w:val="15"/>
                  <w:szCs w:val="15"/>
                  <w:color w:val="0000FF"/>
                </w:rPr>
                <w:t>Agreement and Plan of Merger, among Reel Holding Corp., BOA Parent Inc., BOA Merger Sub Inc. and Shareholder Representative Services LLC</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380" w:type="dxa"/>
            <w:vAlign w:val="bottom"/>
            <w:tcBorders>
              <w:top w:val="single" w:sz="8" w:color="0000FF"/>
              <w:bottom w:val="single" w:sz="8" w:color="0000FF"/>
            </w:tcBorders>
            <w:gridSpan w:val="20"/>
          </w:tcPr>
          <w:p>
            <w:pPr>
              <w:spacing w:after="0" w:line="129" w:lineRule="exact"/>
              <w:rPr>
                <w:rFonts w:ascii="Arial" w:cs="Arial" w:eastAsia="Arial" w:hAnsi="Arial"/>
                <w:sz w:val="14"/>
                <w:szCs w:val="14"/>
                <w:color w:val="0000FF"/>
              </w:rPr>
            </w:pPr>
            <w:hyperlink r:id="rId228">
              <w:r>
                <w:rPr>
                  <w:rFonts w:ascii="Arial" w:cs="Arial" w:eastAsia="Arial" w:hAnsi="Arial"/>
                  <w:sz w:val="14"/>
                  <w:szCs w:val="14"/>
                  <w:color w:val="0000FF"/>
                </w:rPr>
                <w:t>(incorporated by reference to Exhibit 99.3 of the Form 8-K filed on September 22, 2020 (File No. 001-34927))</w:t>
              </w:r>
            </w:hyperlink>
          </w:p>
        </w:tc>
        <w:tc>
          <w:tcPr>
            <w:tcW w:w="2540" w:type="dxa"/>
            <w:vAlign w:val="bottom"/>
            <w:tcBorders>
              <w:top w:val="single" w:sz="8" w:color="0000FF"/>
            </w:tcBorders>
            <w:gridSpan w:val="2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99.11</w:t>
            </w:r>
          </w:p>
        </w:tc>
        <w:tc>
          <w:tcPr>
            <w:tcW w:w="580" w:type="dxa"/>
            <w:vAlign w:val="bottom"/>
          </w:tcPr>
          <w:p>
            <w:pPr>
              <w:spacing w:after="0"/>
              <w:rPr>
                <w:sz w:val="16"/>
                <w:szCs w:val="16"/>
                <w:color w:val="auto"/>
              </w:rPr>
            </w:pPr>
          </w:p>
        </w:tc>
        <w:tc>
          <w:tcPr>
            <w:tcW w:w="10100" w:type="dxa"/>
            <w:vAlign w:val="bottom"/>
            <w:gridSpan w:val="51"/>
          </w:tcPr>
          <w:p>
            <w:pPr>
              <w:spacing w:after="0"/>
              <w:rPr>
                <w:rFonts w:ascii="Arial" w:cs="Arial" w:eastAsia="Arial" w:hAnsi="Arial"/>
                <w:sz w:val="15"/>
                <w:szCs w:val="15"/>
                <w:color w:val="0000FF"/>
              </w:rPr>
            </w:pPr>
            <w:hyperlink r:id="rId229">
              <w:r>
                <w:rPr>
                  <w:rFonts w:ascii="Arial" w:cs="Arial" w:eastAsia="Arial" w:hAnsi="Arial"/>
                  <w:sz w:val="15"/>
                  <w:szCs w:val="15"/>
                  <w:color w:val="0000FF"/>
                </w:rPr>
                <w:t>First Amendment to Agreement and Plan of Merger, dated October 16, 2020, among Reel Holding Corp., BOA Parent Inc., BOA Merger Sub Inc.</w:t>
              </w:r>
            </w:hyperlink>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780" w:type="dxa"/>
            <w:vAlign w:val="bottom"/>
            <w:tcBorders>
              <w:top w:val="single" w:sz="8" w:color="0000FF"/>
            </w:tcBorders>
            <w:gridSpan w:val="35"/>
          </w:tcPr>
          <w:p>
            <w:pPr>
              <w:spacing w:after="0" w:line="135" w:lineRule="exact"/>
              <w:rPr>
                <w:rFonts w:ascii="Arial" w:cs="Arial" w:eastAsia="Arial" w:hAnsi="Arial"/>
                <w:sz w:val="15"/>
                <w:szCs w:val="15"/>
                <w:color w:val="0000FF"/>
              </w:rPr>
            </w:pPr>
            <w:hyperlink r:id="rId229">
              <w:r>
                <w:rPr>
                  <w:rFonts w:ascii="Arial" w:cs="Arial" w:eastAsia="Arial" w:hAnsi="Arial"/>
                  <w:sz w:val="15"/>
                  <w:szCs w:val="15"/>
                  <w:color w:val="0000FF"/>
                </w:rPr>
                <w:t>and Shareholder Representative Services LLC (incorporated by reference to Exhibit 99.2 of the Form 8-K filed on October 19, 2020 (File No. 001</w:t>
              </w:r>
            </w:hyperlink>
          </w:p>
        </w:tc>
        <w:tc>
          <w:tcPr>
            <w:tcW w:w="160" w:type="dxa"/>
            <w:vAlign w:val="bottom"/>
            <w:gridSpan w:val="8"/>
          </w:tcPr>
          <w:p>
            <w:pPr>
              <w:jc w:val="right"/>
              <w:ind w:right="100"/>
              <w:spacing w:after="0" w:line="135" w:lineRule="exact"/>
              <w:rPr>
                <w:rFonts w:ascii="Arial" w:cs="Arial" w:eastAsia="Arial" w:hAnsi="Arial"/>
                <w:sz w:val="15"/>
                <w:szCs w:val="15"/>
                <w:color w:val="0000FF"/>
                <w:w w:val="79"/>
              </w:rPr>
            </w:pPr>
            <w:hyperlink r:id="rId229">
              <w:r>
                <w:rPr>
                  <w:rFonts w:ascii="Arial" w:cs="Arial" w:eastAsia="Arial" w:hAnsi="Arial"/>
                  <w:sz w:val="15"/>
                  <w:szCs w:val="15"/>
                  <w:color w:val="0000FF"/>
                  <w:w w:val="79"/>
                </w:rPr>
                <w:t>-</w:t>
              </w:r>
            </w:hyperlink>
          </w:p>
        </w:tc>
        <w:tc>
          <w:tcPr>
            <w:tcW w:w="10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229">
              <w:r>
                <w:rPr>
                  <w:rFonts w:ascii="Arial" w:cs="Arial" w:eastAsia="Arial" w:hAnsi="Arial"/>
                  <w:sz w:val="14"/>
                  <w:szCs w:val="14"/>
                  <w:color w:val="0000FF"/>
                </w:rPr>
                <w:t>34927)</w:t>
              </w:r>
              <w:r>
                <w:rPr>
                  <w:rFonts w:ascii="Arial" w:cs="Arial" w:eastAsia="Arial" w:hAnsi="Arial"/>
                  <w:sz w:val="14"/>
                  <w:szCs w:val="14"/>
                  <w:u w:val="single" w:color="auto"/>
                  <w:color w:val="0000FF"/>
                </w:rPr>
                <w:t>)</w:t>
              </w:r>
            </w:hyperlink>
          </w:p>
        </w:tc>
        <w:tc>
          <w:tcPr>
            <w:tcW w:w="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30">
              <w:r>
                <w:rPr>
                  <w:rFonts w:ascii="Arial" w:cs="Arial" w:eastAsia="Arial" w:hAnsi="Arial"/>
                  <w:sz w:val="15"/>
                  <w:szCs w:val="15"/>
                  <w:color w:val="0000FF"/>
                </w:rPr>
                <w:t>Stock Purchase Agreement, dated September 3, 2021, between Lugano Buyer Inc., Mordechai Haim Ferder, as trustee of The Haim Family Trust</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20" w:type="dxa"/>
            <w:vAlign w:val="bottom"/>
            <w:tcBorders>
              <w:top w:val="single" w:sz="8" w:color="0000FF"/>
            </w:tcBorders>
            <w:gridSpan w:val="37"/>
          </w:tcPr>
          <w:p>
            <w:pPr>
              <w:spacing w:after="0" w:line="129" w:lineRule="exact"/>
              <w:rPr>
                <w:rFonts w:ascii="Arial" w:cs="Arial" w:eastAsia="Arial" w:hAnsi="Arial"/>
                <w:sz w:val="14"/>
                <w:szCs w:val="14"/>
                <w:color w:val="0000FF"/>
              </w:rPr>
            </w:pPr>
            <w:hyperlink r:id="rId230">
              <w:r>
                <w:rPr>
                  <w:rFonts w:ascii="Arial" w:cs="Arial" w:eastAsia="Arial" w:hAnsi="Arial"/>
                  <w:sz w:val="14"/>
                  <w:szCs w:val="14"/>
                  <w:color w:val="0000FF"/>
                </w:rPr>
                <w:t>dated 2/24/2009, Edit Fintzi Ferder, as trustee of The RF 2021 Irrevocable Trust dated 8/30/2021, Mordechai Haim Ferder, as trustee of The TF</w:t>
              </w:r>
            </w:hyperlink>
          </w:p>
        </w:tc>
        <w:tc>
          <w:tcPr>
            <w:tcW w:w="120" w:type="dxa"/>
            <w:vAlign w:val="bottom"/>
            <w:gridSpan w:val="6"/>
          </w:tcPr>
          <w:p>
            <w:pPr>
              <w:spacing w:after="0"/>
              <w:rPr>
                <w:sz w:val="11"/>
                <w:szCs w:val="11"/>
                <w:color w:val="auto"/>
              </w:rPr>
            </w:pPr>
          </w:p>
        </w:tc>
        <w:tc>
          <w:tcPr>
            <w:tcW w:w="10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700" w:type="dxa"/>
            <w:vAlign w:val="bottom"/>
            <w:tcBorders>
              <w:top w:val="single" w:sz="8" w:color="0000FF"/>
              <w:bottom w:val="single" w:sz="8" w:color="0000FF"/>
            </w:tcBorders>
            <w:gridSpan w:val="32"/>
          </w:tcPr>
          <w:p>
            <w:pPr>
              <w:spacing w:after="0" w:line="129" w:lineRule="exact"/>
              <w:rPr>
                <w:rFonts w:ascii="Arial" w:cs="Arial" w:eastAsia="Arial" w:hAnsi="Arial"/>
                <w:sz w:val="14"/>
                <w:szCs w:val="14"/>
                <w:color w:val="0000FF"/>
              </w:rPr>
            </w:pPr>
            <w:hyperlink r:id="rId230">
              <w:r>
                <w:rPr>
                  <w:rFonts w:ascii="Arial" w:cs="Arial" w:eastAsia="Arial" w:hAnsi="Arial"/>
                  <w:sz w:val="14"/>
                  <w:szCs w:val="14"/>
                  <w:color w:val="0000FF"/>
                </w:rPr>
                <w:t>2021 Irrevocable Trust dated 8/30/2021, Simba IL Holdings, LLC and Mordechai Haim Ferder in his individual capacity and as initial representative</w:t>
              </w:r>
            </w:hyperlink>
          </w:p>
        </w:tc>
        <w:tc>
          <w:tcPr>
            <w:tcW w:w="240" w:type="dxa"/>
            <w:vAlign w:val="bottom"/>
            <w:tcBorders>
              <w:bottom w:val="single" w:sz="8" w:color="0000FF"/>
            </w:tcBorders>
            <w:gridSpan w:val="11"/>
          </w:tcPr>
          <w:p>
            <w:pPr>
              <w:spacing w:after="0"/>
              <w:rPr>
                <w:sz w:val="11"/>
                <w:szCs w:val="11"/>
                <w:color w:val="auto"/>
              </w:rPr>
            </w:pPr>
          </w:p>
        </w:tc>
        <w:tc>
          <w:tcPr>
            <w:tcW w:w="10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20" w:type="dxa"/>
            <w:vAlign w:val="bottom"/>
            <w:gridSpan w:val="2"/>
            <w:vMerge w:val="restart"/>
          </w:tcPr>
          <w:p>
            <w:pPr>
              <w:ind w:left="40"/>
              <w:spacing w:after="0"/>
              <w:rPr>
                <w:sz w:val="20"/>
                <w:szCs w:val="20"/>
                <w:color w:val="auto"/>
              </w:rPr>
            </w:pPr>
            <w:r>
              <w:rPr>
                <w:rFonts w:ascii="Arial" w:cs="Arial" w:eastAsia="Arial" w:hAnsi="Arial"/>
                <w:sz w:val="15"/>
                <w:szCs w:val="15"/>
                <w:color w:val="auto"/>
              </w:rPr>
              <w:t>99.12</w:t>
            </w:r>
          </w:p>
        </w:tc>
        <w:tc>
          <w:tcPr>
            <w:tcW w:w="580" w:type="dxa"/>
            <w:vAlign w:val="bottom"/>
          </w:tcPr>
          <w:p>
            <w:pPr>
              <w:spacing w:after="0"/>
              <w:rPr>
                <w:sz w:val="12"/>
                <w:szCs w:val="12"/>
                <w:color w:val="auto"/>
              </w:rPr>
            </w:pPr>
          </w:p>
        </w:tc>
        <w:tc>
          <w:tcPr>
            <w:tcW w:w="9940" w:type="dxa"/>
            <w:vAlign w:val="bottom"/>
            <w:gridSpan w:val="43"/>
          </w:tcPr>
          <w:p>
            <w:pPr>
              <w:spacing w:after="0" w:line="142" w:lineRule="exact"/>
              <w:rPr>
                <w:rFonts w:ascii="Arial" w:cs="Arial" w:eastAsia="Arial" w:hAnsi="Arial"/>
                <w:sz w:val="15"/>
                <w:szCs w:val="15"/>
                <w:color w:val="0000FF"/>
              </w:rPr>
            </w:pPr>
            <w:hyperlink r:id="rId230">
              <w:r>
                <w:rPr>
                  <w:rFonts w:ascii="Arial" w:cs="Arial" w:eastAsia="Arial" w:hAnsi="Arial"/>
                  <w:sz w:val="15"/>
                  <w:szCs w:val="15"/>
                  <w:color w:val="0000FF"/>
                </w:rPr>
                <w:t>of the Sellers (incorporated by reference to Exhibit 99.2 of the Form 8-K filed on September 7, 2021 (File No. 001-34927 and Accession No.</w:t>
              </w:r>
            </w:hyperlink>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rPr>
            </w:pPr>
            <w:hyperlink r:id="rId230">
              <w:r>
                <w:rPr>
                  <w:rFonts w:ascii="Arial" w:cs="Arial" w:eastAsia="Arial" w:hAnsi="Arial"/>
                  <w:sz w:val="13"/>
                  <w:szCs w:val="13"/>
                  <w:color w:val="0000FF"/>
                </w:rPr>
                <w:t>0001345126-21-000039)).</w:t>
              </w:r>
            </w:hyperlink>
          </w:p>
        </w:tc>
        <w:tc>
          <w:tcPr>
            <w:tcW w:w="1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ind w:left="40"/>
              <w:spacing w:after="0"/>
              <w:rPr>
                <w:sz w:val="20"/>
                <w:szCs w:val="20"/>
                <w:color w:val="auto"/>
              </w:rPr>
            </w:pPr>
            <w:r>
              <w:rPr>
                <w:rFonts w:ascii="Arial" w:cs="Arial" w:eastAsia="Arial" w:hAnsi="Arial"/>
                <w:sz w:val="15"/>
                <w:szCs w:val="15"/>
                <w:color w:val="auto"/>
              </w:rPr>
              <w:t>99.13</w:t>
            </w:r>
          </w:p>
        </w:tc>
        <w:tc>
          <w:tcPr>
            <w:tcW w:w="580" w:type="dxa"/>
            <w:vAlign w:val="bottom"/>
          </w:tcPr>
          <w:p>
            <w:pPr>
              <w:spacing w:after="0"/>
              <w:rPr>
                <w:sz w:val="17"/>
                <w:szCs w:val="17"/>
                <w:color w:val="auto"/>
              </w:rPr>
            </w:pPr>
          </w:p>
        </w:tc>
        <w:tc>
          <w:tcPr>
            <w:tcW w:w="10100" w:type="dxa"/>
            <w:vAlign w:val="bottom"/>
            <w:gridSpan w:val="51"/>
          </w:tcPr>
          <w:p>
            <w:pPr>
              <w:spacing w:after="0"/>
              <w:rPr>
                <w:rFonts w:ascii="Arial" w:cs="Arial" w:eastAsia="Arial" w:hAnsi="Arial"/>
                <w:sz w:val="15"/>
                <w:szCs w:val="15"/>
                <w:color w:val="0000FF"/>
              </w:rPr>
            </w:pPr>
            <w:hyperlink r:id="rId231">
              <w:r>
                <w:rPr>
                  <w:rFonts w:ascii="Arial" w:cs="Arial" w:eastAsia="Arial" w:hAnsi="Arial"/>
                  <w:sz w:val="15"/>
                  <w:szCs w:val="15"/>
                  <w:color w:val="0000FF"/>
                </w:rPr>
                <w:t>Stock Purchase Agreement, dated June 4, 2022, between VP PrimaLoft Holdings, LLC and Relentless Intermediate, Inc. (incorporated by reference</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40" w:type="dxa"/>
            <w:vAlign w:val="bottom"/>
            <w:tcBorders>
              <w:top w:val="single" w:sz="8" w:color="0000FF"/>
            </w:tcBorders>
            <w:gridSpan w:val="48"/>
          </w:tcPr>
          <w:p>
            <w:pPr>
              <w:spacing w:after="0" w:line="129" w:lineRule="exact"/>
              <w:rPr>
                <w:rFonts w:ascii="Arial" w:cs="Arial" w:eastAsia="Arial" w:hAnsi="Arial"/>
                <w:sz w:val="14"/>
                <w:szCs w:val="14"/>
                <w:color w:val="0000FF"/>
              </w:rPr>
            </w:pPr>
            <w:hyperlink r:id="rId231">
              <w:r>
                <w:rPr>
                  <w:rFonts w:ascii="Arial" w:cs="Arial" w:eastAsia="Arial" w:hAnsi="Arial"/>
                  <w:sz w:val="14"/>
                  <w:szCs w:val="14"/>
                  <w:color w:val="0000FF"/>
                </w:rPr>
                <w:t>to Exhibit 99.3 of the Form 8-K filed on June 6, 2022 (File No. 001-34927)).</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93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0" w:type="dxa"/>
            <w:vAlign w:val="bottom"/>
            <w:tcBorders>
              <w:top w:val="single" w:sz="8" w:color="0000FF"/>
            </w:tcBorders>
            <w:gridSpan w:val="6"/>
          </w:tcPr>
          <w:p>
            <w:pPr>
              <w:jc w:val="center"/>
              <w:ind w:left="1015"/>
              <w:spacing w:after="0"/>
              <w:rPr>
                <w:sz w:val="20"/>
                <w:szCs w:val="20"/>
                <w:color w:val="auto"/>
              </w:rPr>
            </w:pPr>
            <w:r>
              <w:rPr>
                <w:rFonts w:ascii="Arial" w:cs="Arial" w:eastAsia="Arial" w:hAnsi="Arial"/>
                <w:sz w:val="16"/>
                <w:szCs w:val="16"/>
                <w:color w:val="auto"/>
              </w:rPr>
              <w:t>E-4</w:t>
            </w:r>
          </w:p>
        </w:tc>
        <w:tc>
          <w:tcPr>
            <w:tcW w:w="5020" w:type="dxa"/>
            <w:vAlign w:val="bottom"/>
            <w:gridSpan w:val="37"/>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4580" w:type="dxa"/>
            <w:vAlign w:val="bottom"/>
            <w:vMerge w:val="restart"/>
          </w:tcPr>
          <w:p>
            <w:pPr>
              <w:spacing w:after="0"/>
              <w:rPr>
                <w:sz w:val="14"/>
                <w:szCs w:val="14"/>
                <w:color w:val="auto"/>
              </w:rPr>
            </w:pPr>
          </w:p>
        </w:tc>
        <w:tc>
          <w:tcPr>
            <w:tcW w:w="5420" w:type="dxa"/>
            <w:vAlign w:val="bottom"/>
            <w:gridSpan w:val="5"/>
            <w:vMerge w:val="restart"/>
          </w:tcPr>
          <w:p>
            <w:pPr>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28"/>
        </w:trPr>
        <w:tc>
          <w:tcPr>
            <w:tcW w:w="58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Number</w:t>
            </w:r>
          </w:p>
        </w:tc>
        <w:tc>
          <w:tcPr>
            <w:tcW w:w="580" w:type="dxa"/>
            <w:vAlign w:val="bottom"/>
          </w:tcPr>
          <w:p>
            <w:pPr>
              <w:spacing w:after="0"/>
              <w:rPr>
                <w:sz w:val="11"/>
                <w:szCs w:val="11"/>
                <w:color w:val="auto"/>
              </w:rPr>
            </w:pPr>
          </w:p>
        </w:tc>
        <w:tc>
          <w:tcPr>
            <w:tcW w:w="4580" w:type="dxa"/>
            <w:vAlign w:val="bottom"/>
            <w:vMerge w:val="continue"/>
          </w:tcPr>
          <w:p>
            <w:pPr>
              <w:spacing w:after="0"/>
              <w:rPr>
                <w:sz w:val="11"/>
                <w:szCs w:val="11"/>
                <w:color w:val="auto"/>
              </w:rPr>
            </w:pPr>
          </w:p>
        </w:tc>
        <w:tc>
          <w:tcPr>
            <w:tcW w:w="54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8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tcPr>
          <w:p>
            <w:pPr>
              <w:spacing w:after="0"/>
              <w:rPr>
                <w:sz w:val="20"/>
                <w:szCs w:val="20"/>
                <w:color w:val="auto"/>
              </w:rPr>
            </w:pPr>
            <w:r>
              <w:rPr>
                <w:rFonts w:ascii="Arial" w:cs="Arial" w:eastAsia="Arial" w:hAnsi="Arial"/>
                <w:sz w:val="15"/>
                <w:szCs w:val="15"/>
                <w:color w:val="auto"/>
              </w:rPr>
              <w:t>99.14</w:t>
            </w:r>
          </w:p>
        </w:tc>
        <w:tc>
          <w:tcPr>
            <w:tcW w:w="580" w:type="dxa"/>
            <w:vAlign w:val="bottom"/>
          </w:tcPr>
          <w:p>
            <w:pPr>
              <w:spacing w:after="0"/>
              <w:rPr>
                <w:sz w:val="16"/>
                <w:szCs w:val="16"/>
                <w:color w:val="auto"/>
              </w:rPr>
            </w:pPr>
          </w:p>
        </w:tc>
        <w:tc>
          <w:tcPr>
            <w:tcW w:w="10000" w:type="dxa"/>
            <w:vAlign w:val="bottom"/>
            <w:gridSpan w:val="6"/>
          </w:tcPr>
          <w:p>
            <w:pPr>
              <w:spacing w:after="0"/>
              <w:rPr>
                <w:rFonts w:ascii="Arial" w:cs="Arial" w:eastAsia="Arial" w:hAnsi="Arial"/>
                <w:sz w:val="15"/>
                <w:szCs w:val="15"/>
                <w:color w:val="0000FF"/>
              </w:rPr>
            </w:pPr>
            <w:hyperlink r:id="rId233">
              <w:r>
                <w:rPr>
                  <w:rFonts w:ascii="Arial" w:cs="Arial" w:eastAsia="Arial" w:hAnsi="Arial"/>
                  <w:sz w:val="15"/>
                  <w:szCs w:val="15"/>
                  <w:color w:val="0000FF"/>
                </w:rPr>
                <w:t>Merger and Stock Purchase Agreement, dated January 14, 2024, by and among The Honey Pot Company Holdings, LLC, VMG Honey Pot Blocker,</w:t>
              </w:r>
            </w:hyperlink>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980" w:type="dxa"/>
            <w:vAlign w:val="bottom"/>
            <w:tcBorders>
              <w:top w:val="single" w:sz="8" w:color="0000FF"/>
            </w:tcBorders>
            <w:gridSpan w:val="5"/>
          </w:tcPr>
          <w:p>
            <w:pPr>
              <w:spacing w:after="0" w:line="129" w:lineRule="exact"/>
              <w:rPr>
                <w:rFonts w:ascii="Arial" w:cs="Arial" w:eastAsia="Arial" w:hAnsi="Arial"/>
                <w:sz w:val="14"/>
                <w:szCs w:val="14"/>
                <w:color w:val="0000FF"/>
              </w:rPr>
            </w:pPr>
            <w:hyperlink r:id="rId233">
              <w:r>
                <w:rPr>
                  <w:rFonts w:ascii="Arial" w:cs="Arial" w:eastAsia="Arial" w:hAnsi="Arial"/>
                  <w:sz w:val="14"/>
                  <w:szCs w:val="14"/>
                  <w:color w:val="0000FF"/>
                </w:rPr>
                <w:t>Inc., NVB1, Inc., VMG Tax-Exempt IV, L.P., New Voices Fund, LP, THP Intermediate, Inc., THP Merger Sub, LLC, the Sellers’ Representative and</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20" w:type="dxa"/>
            <w:vAlign w:val="bottom"/>
            <w:tcBorders>
              <w:top w:val="single" w:sz="8" w:color="0000FF"/>
            </w:tcBorders>
            <w:gridSpan w:val="4"/>
          </w:tcPr>
          <w:p>
            <w:pPr>
              <w:spacing w:after="0" w:line="129" w:lineRule="exact"/>
              <w:rPr>
                <w:rFonts w:ascii="Arial" w:cs="Arial" w:eastAsia="Arial" w:hAnsi="Arial"/>
                <w:sz w:val="14"/>
                <w:szCs w:val="14"/>
                <w:color w:val="0000FF"/>
              </w:rPr>
            </w:pPr>
            <w:hyperlink r:id="rId233">
              <w:r>
                <w:rPr>
                  <w:rFonts w:ascii="Arial" w:cs="Arial" w:eastAsia="Arial" w:hAnsi="Arial"/>
                  <w:sz w:val="14"/>
                  <w:szCs w:val="14"/>
                  <w:color w:val="0000FF"/>
                </w:rPr>
                <w:t>certain other equity holders of THP.(incorporated by reference to Exhibit 99.3 of the Form 8-K filed on January 16, 2024 (File No. 001-34927)).</w:t>
              </w:r>
            </w:hyperlink>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0" w:type="dxa"/>
            <w:vAlign w:val="bottom"/>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0" w:type="dxa"/>
            <w:vAlign w:val="bottom"/>
            <w:gridSpan w:val="6"/>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5"/>
                <w:szCs w:val="15"/>
                <w:color w:val="auto"/>
              </w:rPr>
              <w:t>101.INS*</w:t>
            </w:r>
          </w:p>
        </w:tc>
        <w:tc>
          <w:tcPr>
            <w:tcW w:w="10000" w:type="dxa"/>
            <w:vAlign w:val="bottom"/>
            <w:gridSpan w:val="6"/>
          </w:tcPr>
          <w:p>
            <w:pPr>
              <w:spacing w:after="0"/>
              <w:rPr>
                <w:sz w:val="20"/>
                <w:szCs w:val="20"/>
                <w:color w:val="auto"/>
              </w:rPr>
            </w:pPr>
            <w:r>
              <w:rPr>
                <w:rFonts w:ascii="Arial" w:cs="Arial" w:eastAsia="Arial" w:hAnsi="Arial"/>
                <w:sz w:val="15"/>
                <w:szCs w:val="15"/>
                <w:color w:val="auto"/>
              </w:rPr>
              <w:t>the Inline XBRL document.</w:t>
            </w:r>
          </w:p>
        </w:tc>
        <w:tc>
          <w:tcPr>
            <w:tcW w:w="0" w:type="dxa"/>
            <w:vAlign w:val="bottom"/>
          </w:tcPr>
          <w:p>
            <w:pPr>
              <w:spacing w:after="0"/>
              <w:rPr>
                <w:sz w:val="1"/>
                <w:szCs w:val="1"/>
                <w:color w:val="auto"/>
              </w:rPr>
            </w:pPr>
          </w:p>
        </w:tc>
      </w:tr>
      <w:tr>
        <w:trPr>
          <w:trHeight w:val="203"/>
        </w:trPr>
        <w:tc>
          <w:tcPr>
            <w:tcW w:w="1160" w:type="dxa"/>
            <w:vAlign w:val="bottom"/>
            <w:gridSpan w:val="2"/>
          </w:tcPr>
          <w:p>
            <w:pPr>
              <w:spacing w:after="0"/>
              <w:rPr>
                <w:sz w:val="20"/>
                <w:szCs w:val="20"/>
                <w:color w:val="auto"/>
              </w:rPr>
            </w:pPr>
            <w:r>
              <w:rPr>
                <w:rFonts w:ascii="Arial" w:cs="Arial" w:eastAsia="Arial" w:hAnsi="Arial"/>
                <w:sz w:val="15"/>
                <w:szCs w:val="15"/>
                <w:color w:val="auto"/>
              </w:rPr>
              <w:t>101.SCH*</w:t>
            </w:r>
          </w:p>
        </w:tc>
        <w:tc>
          <w:tcPr>
            <w:tcW w:w="10000" w:type="dxa"/>
            <w:vAlign w:val="bottom"/>
            <w:gridSpan w:val="6"/>
          </w:tcPr>
          <w:p>
            <w:pPr>
              <w:spacing w:after="0"/>
              <w:rPr>
                <w:sz w:val="20"/>
                <w:szCs w:val="20"/>
                <w:color w:val="auto"/>
              </w:rPr>
            </w:pPr>
            <w:r>
              <w:rPr>
                <w:rFonts w:ascii="Arial" w:cs="Arial" w:eastAsia="Arial" w:hAnsi="Arial"/>
                <w:sz w:val="15"/>
                <w:szCs w:val="15"/>
                <w:color w:val="auto"/>
              </w:rPr>
              <w:t>Inline XBRL Taxonomy Extension Schema Document</w:t>
            </w:r>
          </w:p>
        </w:tc>
        <w:tc>
          <w:tcPr>
            <w:tcW w:w="0" w:type="dxa"/>
            <w:vAlign w:val="bottom"/>
          </w:tcPr>
          <w:p>
            <w:pPr>
              <w:spacing w:after="0"/>
              <w:rPr>
                <w:sz w:val="1"/>
                <w:szCs w:val="1"/>
                <w:color w:val="auto"/>
              </w:rPr>
            </w:pPr>
          </w:p>
        </w:tc>
      </w:tr>
      <w:tr>
        <w:trPr>
          <w:trHeight w:val="203"/>
        </w:trPr>
        <w:tc>
          <w:tcPr>
            <w:tcW w:w="1160" w:type="dxa"/>
            <w:vAlign w:val="bottom"/>
            <w:gridSpan w:val="2"/>
          </w:tcPr>
          <w:p>
            <w:pPr>
              <w:spacing w:after="0"/>
              <w:rPr>
                <w:sz w:val="20"/>
                <w:szCs w:val="20"/>
                <w:color w:val="auto"/>
              </w:rPr>
            </w:pPr>
            <w:r>
              <w:rPr>
                <w:rFonts w:ascii="Arial" w:cs="Arial" w:eastAsia="Arial" w:hAnsi="Arial"/>
                <w:sz w:val="15"/>
                <w:szCs w:val="15"/>
                <w:color w:val="auto"/>
              </w:rPr>
              <w:t>101.CAL*</w:t>
            </w:r>
          </w:p>
        </w:tc>
        <w:tc>
          <w:tcPr>
            <w:tcW w:w="10000" w:type="dxa"/>
            <w:vAlign w:val="bottom"/>
            <w:gridSpan w:val="6"/>
          </w:tcPr>
          <w:p>
            <w:pPr>
              <w:spacing w:after="0"/>
              <w:rPr>
                <w:sz w:val="20"/>
                <w:szCs w:val="20"/>
                <w:color w:val="auto"/>
              </w:rPr>
            </w:pPr>
            <w:r>
              <w:rPr>
                <w:rFonts w:ascii="Arial" w:cs="Arial" w:eastAsia="Arial" w:hAnsi="Arial"/>
                <w:sz w:val="15"/>
                <w:szCs w:val="15"/>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160" w:type="dxa"/>
            <w:vAlign w:val="bottom"/>
            <w:gridSpan w:val="2"/>
          </w:tcPr>
          <w:p>
            <w:pPr>
              <w:spacing w:after="0"/>
              <w:rPr>
                <w:sz w:val="20"/>
                <w:szCs w:val="20"/>
                <w:color w:val="auto"/>
              </w:rPr>
            </w:pPr>
            <w:r>
              <w:rPr>
                <w:rFonts w:ascii="Arial" w:cs="Arial" w:eastAsia="Arial" w:hAnsi="Arial"/>
                <w:sz w:val="15"/>
                <w:szCs w:val="15"/>
                <w:color w:val="auto"/>
              </w:rPr>
              <w:t>101.DEF*</w:t>
            </w:r>
          </w:p>
        </w:tc>
        <w:tc>
          <w:tcPr>
            <w:tcW w:w="10000" w:type="dxa"/>
            <w:vAlign w:val="bottom"/>
            <w:gridSpan w:val="6"/>
          </w:tcPr>
          <w:p>
            <w:pPr>
              <w:spacing w:after="0"/>
              <w:rPr>
                <w:sz w:val="20"/>
                <w:szCs w:val="20"/>
                <w:color w:val="auto"/>
              </w:rPr>
            </w:pPr>
            <w:r>
              <w:rPr>
                <w:rFonts w:ascii="Arial" w:cs="Arial" w:eastAsia="Arial" w:hAnsi="Arial"/>
                <w:sz w:val="15"/>
                <w:szCs w:val="15"/>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160" w:type="dxa"/>
            <w:vAlign w:val="bottom"/>
            <w:gridSpan w:val="2"/>
          </w:tcPr>
          <w:p>
            <w:pPr>
              <w:spacing w:after="0"/>
              <w:rPr>
                <w:sz w:val="20"/>
                <w:szCs w:val="20"/>
                <w:color w:val="auto"/>
              </w:rPr>
            </w:pPr>
            <w:r>
              <w:rPr>
                <w:rFonts w:ascii="Arial" w:cs="Arial" w:eastAsia="Arial" w:hAnsi="Arial"/>
                <w:sz w:val="15"/>
                <w:szCs w:val="15"/>
                <w:color w:val="auto"/>
              </w:rPr>
              <w:t>101.LAB*</w:t>
            </w:r>
          </w:p>
        </w:tc>
        <w:tc>
          <w:tcPr>
            <w:tcW w:w="10000" w:type="dxa"/>
            <w:vAlign w:val="bottom"/>
            <w:gridSpan w:val="6"/>
          </w:tcPr>
          <w:p>
            <w:pPr>
              <w:spacing w:after="0"/>
              <w:rPr>
                <w:sz w:val="20"/>
                <w:szCs w:val="20"/>
                <w:color w:val="auto"/>
              </w:rPr>
            </w:pPr>
            <w:r>
              <w:rPr>
                <w:rFonts w:ascii="Arial" w:cs="Arial" w:eastAsia="Arial" w:hAnsi="Arial"/>
                <w:sz w:val="15"/>
                <w:szCs w:val="15"/>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160" w:type="dxa"/>
            <w:vAlign w:val="bottom"/>
            <w:gridSpan w:val="2"/>
          </w:tcPr>
          <w:p>
            <w:pPr>
              <w:spacing w:after="0"/>
              <w:rPr>
                <w:sz w:val="20"/>
                <w:szCs w:val="20"/>
                <w:color w:val="auto"/>
              </w:rPr>
            </w:pPr>
            <w:r>
              <w:rPr>
                <w:rFonts w:ascii="Arial" w:cs="Arial" w:eastAsia="Arial" w:hAnsi="Arial"/>
                <w:sz w:val="15"/>
                <w:szCs w:val="15"/>
                <w:color w:val="auto"/>
              </w:rPr>
              <w:t>101.PRE*</w:t>
            </w:r>
          </w:p>
        </w:tc>
        <w:tc>
          <w:tcPr>
            <w:tcW w:w="10000" w:type="dxa"/>
            <w:vAlign w:val="bottom"/>
            <w:gridSpan w:val="6"/>
          </w:tcPr>
          <w:p>
            <w:pPr>
              <w:spacing w:after="0"/>
              <w:rPr>
                <w:sz w:val="20"/>
                <w:szCs w:val="20"/>
                <w:color w:val="auto"/>
              </w:rPr>
            </w:pPr>
            <w:r>
              <w:rPr>
                <w:rFonts w:ascii="Arial" w:cs="Arial" w:eastAsia="Arial" w:hAnsi="Arial"/>
                <w:sz w:val="15"/>
                <w:szCs w:val="15"/>
                <w:color w:val="auto"/>
              </w:rPr>
              <w:t>Inline XBRL Taxonomy Extension Presentation Linkbase Document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1180" w:hanging="1154"/>
        <w:spacing w:after="0"/>
        <w:tabs>
          <w:tab w:leader="none" w:pos="1180" w:val="left"/>
        </w:tabs>
        <w:numPr>
          <w:ilvl w:val="1"/>
          <w:numId w:val="93"/>
        </w:numPr>
        <w:rPr>
          <w:rFonts w:ascii="Arial" w:cs="Arial" w:eastAsia="Arial" w:hAnsi="Arial"/>
          <w:sz w:val="15"/>
          <w:szCs w:val="15"/>
          <w:color w:val="auto"/>
        </w:rPr>
      </w:pPr>
      <w:r>
        <w:rPr>
          <w:rFonts w:ascii="Arial" w:cs="Arial" w:eastAsia="Arial" w:hAnsi="Arial"/>
          <w:sz w:val="15"/>
          <w:szCs w:val="15"/>
          <w:color w:val="auto"/>
        </w:rPr>
        <w:t>Cover page formatted as Inline XBRL and contained in Exhibit 101</w:t>
      </w:r>
    </w:p>
    <w:p>
      <w:pPr>
        <w:spacing w:after="0" w:line="200" w:lineRule="exact"/>
        <w:rPr>
          <w:rFonts w:ascii="Arial" w:cs="Arial" w:eastAsia="Arial" w:hAnsi="Arial"/>
          <w:sz w:val="15"/>
          <w:szCs w:val="15"/>
          <w:color w:val="auto"/>
        </w:rPr>
      </w:pPr>
    </w:p>
    <w:p>
      <w:pPr>
        <w:spacing w:after="0" w:line="22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-252095</wp:posOffset>
            </wp:positionV>
            <wp:extent cx="7543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0" w:lineRule="exact"/>
        <w:rPr>
          <w:sz w:val="20"/>
          <w:szCs w:val="20"/>
          <w:color w:val="auto"/>
        </w:rPr>
      </w:pPr>
    </w:p>
    <w:p>
      <w:pPr>
        <w:ind w:left="540" w:hanging="534"/>
        <w:spacing w:after="0"/>
        <w:tabs>
          <w:tab w:leader="none" w:pos="5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Denotes management contracts and compensatory plans or arrangements.</w:t>
      </w:r>
    </w:p>
    <w:p>
      <w:pPr>
        <w:spacing w:after="0" w:line="30" w:lineRule="exact"/>
        <w:rPr>
          <w:sz w:val="20"/>
          <w:szCs w:val="20"/>
          <w:color w:val="auto"/>
        </w:rPr>
      </w:pPr>
    </w:p>
    <w:p>
      <w:pPr>
        <w:jc w:val="both"/>
        <w:ind w:left="540" w:hanging="534"/>
        <w:spacing w:after="0" w:line="224" w:lineRule="auto"/>
        <w:tabs>
          <w:tab w:leader="none" w:pos="5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32.2 hereto are deemed to accompany this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E-5</w:t>
      </w:r>
    </w:p>
    <w:p>
      <w:pPr>
        <w:sectPr>
          <w:pgSz w:w="11900" w:h="16838" w:orient="portrait"/>
          <w:cols w:equalWidth="0" w:num="1">
            <w:col w:w="11180"/>
          </w:cols>
          <w:pgMar w:left="340" w:top="445" w:right="379" w:bottom="1440" w:gutter="0" w:footer="0" w:header="0"/>
        </w:sectPr>
      </w:pPr>
    </w:p>
    <w:bookmarkStart w:id="203" w:name="page204"/>
    <w:bookmarkEnd w:id="203"/>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4.10</w:t>
      </w:r>
    </w:p>
    <w:p>
      <w:pPr>
        <w:spacing w:after="0" w:line="200" w:lineRule="exact"/>
        <w:rPr>
          <w:sz w:val="20"/>
          <w:szCs w:val="20"/>
          <w:color w:val="auto"/>
        </w:rPr>
      </w:pPr>
    </w:p>
    <w:p>
      <w:pPr>
        <w:spacing w:after="0" w:line="272"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DESCRIPTION OF REGISTRANT’S SECURITIES REGISTERED UNDER SECTION 12 OF THE SECURITIES EXCHANGE ACT OF 1934</w:t>
      </w:r>
    </w:p>
    <w:p>
      <w:pPr>
        <w:spacing w:after="0" w:line="200" w:lineRule="exact"/>
        <w:rPr>
          <w:sz w:val="20"/>
          <w:szCs w:val="20"/>
          <w:color w:val="auto"/>
        </w:rPr>
      </w:pP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The following is a summary of the material terms of the registered securities of Compass Diversified Holdings (the "trust") and the corresponding trusts interests of Compass Group Diversified Holdings (the "company" and, collectively with the trust, "we", "us" and "our"). The description is based, in part, on the Third Amended and Restated Trust Agreement of the trust dated as of August 3, 2021 (as further amended, the "trust agreement") and the Sixth Amended and Restated Operating Agreement of the company dated as of August 3, 2021 (as further amended, the "LLC agreement").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The following descriptions of the trust agreement and the LLC agreement are subject to the provisions of the Delaware Statutory Trust Act and the Delaware Limited Liability Company Act. Certain provisions of the trust agreement and the LLC agreement are intended to be consistent with the Delaware General Corporation Law, which we refer to as the DGCL, and the powers of the company, the governance processes and the rights of the trust as the holder of the trust interests and the shareholders of the trust are generally intended to be similar in many respects to those of a typical Delaware corporation under the DGCL, with certain exceptions.</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The summaries and descriptions below do not purport to be complete statements of the relevant provisions of the trust agreement and the LLC agreement. The statements that follow are subject to, and are qualified in their entirety by, reference to all of the provisions of each of the trust agreement and the LLC agreement, which will govern your rights as a holder of the shares and the trust's rights as a holder of trust interests. Each of our trust agreement and LLC agreement is included as exhibits to our Annual Report on Form 10-K.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trust is authorized to issue shares each representing one undivided beneficial interest corresponding to one underlying trust interest in the company held by the trust. Shares of the trust may be common shares, which correspond to underlying trust common interests in the company, or preferred shares, which correspond to trust preferred interests in the company.</w:t>
      </w:r>
    </w:p>
    <w:p>
      <w:pPr>
        <w:spacing w:after="0" w:line="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trust interests, which consist of trust common interests and trust preferred interests, are one of two classes of equity interests in the company — the trust interests, of which 100% are held by the trust, and the allocation interests, of which 100% are held by Sostratus LLC.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Shares in the Trust</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common share of the trust represents one undivided beneficial interest in the trust property and corresponds to one underlying trust common interest held by the trust. Unless the trust is dissolved, it must remain the holder of 100% of the trust common interests and at all times the company will have outstanding the identical number of trust common interests as the number of outstanding common shares of the trust. Pursuant to the trust agreement, the trust is authorized to issue up to 500,000,000 common shares and the company is authorized to issue a corresponding number of trust common interests. All common shares and trust common interests, when they are issued, will be fully paid and nonassessable. Holders of common shares have no preemptive, subscription or conversion rights. There are no redemption or sinking fund provisions applicable to the common shares. The rights of the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common shares will be subject to, and may be adversely affected by, the rights of holders of any preferred shares that may be issued in the future.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shares of the trust are listed on the New York Stock Exchange under the symbol "CODI."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Shares in the Trust</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preferred share of the trust represents one undivided beneficial interest in the trust property and corresponds to one underlying trust preferred interest held by the trust. Unless the trust is dissolved, it must remain the holder of 100% of the trust preferred interests and at all times the company will have outstanding the identical number of trust preferred interests as the number of outstanding preferred shares of the trust. Pursuant to the trust agreement, the trust is authorized to issue up to 50,000,000 preferred shares and the company is authorized to issue a corresponding number of trust preferred interests. All preferred shares and trust preferred interests, when they are issued, are and will be fully paid and nonassessable.</w:t>
      </w:r>
    </w:p>
    <w:p>
      <w:pPr>
        <w:spacing w:after="0" w:line="8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company's board of directors may determine, without further action by the holders of our shares, the terms, designations, preferences, rights, powers and duties of the preferred shares offered by this prospectus, as reflected in a share designation, including:</w:t>
      </w:r>
    </w:p>
    <w:p>
      <w:pPr>
        <w:spacing w:after="0" w:line="38" w:lineRule="exact"/>
        <w:rPr>
          <w:sz w:val="20"/>
          <w:szCs w:val="20"/>
          <w:color w:val="auto"/>
        </w:rPr>
      </w:pPr>
    </w:p>
    <w:p>
      <w:pPr>
        <w:ind w:left="640" w:hanging="308"/>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if any, of such shares to share in the trust's profits and losses or items thereof;</w:t>
      </w:r>
    </w:p>
    <w:p>
      <w:pPr>
        <w:spacing w:after="0" w:line="12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if any, of such shares to share in the trust's distributions, the dates distributions on such shares will be payable and whether distributions with respect to such shares will be cumulative or non-cumulative;</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such shares upon dissolution and liquidation of the trust;</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the terms and conditions upon which, the trust may redeem such shares;</w:t>
      </w:r>
    </w:p>
    <w:p>
      <w:pPr>
        <w:spacing w:after="0" w:line="10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shares are issued with the privilege of conversion or exchange and, if so, the conversion or exchange price or prices or rate or rates, any rate adjustments, the date or dates on which, or the period or periods during which, such shares will be convertible or exchangeable, and all other terms and conditions upon which the conversion or exchange may be made;</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upon which such shares will be issued, evidenced by certificates and assigned or transferred;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method for determining the percentage interest as to such shares;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amounts of any sinking fund provided for the purchase or redemption of such shares;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there will be restrictions on the issuance of preferred shares of the same class or series or any other class or series; and</w:t>
      </w:r>
    </w:p>
    <w:p>
      <w:pPr>
        <w:spacing w:after="0" w:line="107"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if any, of the holder of each such share to vote on trust matters, including matters relating to the relative rights, preferences and privileges of such shares.</w:t>
      </w:r>
    </w:p>
    <w:p>
      <w:pPr>
        <w:spacing w:after="0" w:line="3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color w:val="auto"/>
        </w:rPr>
        <w:t>A share designation (or any resolution of the board of directors of the company amending any share designation) will constitute an amendment to the trust agreement. However, the company's board of directors will not, without prior shareholder approval, issue or use any preferred shares for any defensive or anti-takeover purpose or for the purpose of implementing any shareholder rights plan.</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Currently, the trust has 7.250% Series A Preferred Shares (the “Series A Preferred Shares”), 7.875% Series B Fixed-to-Floating Rate Cumulative Preferred Shares (the “Series B Preferred Shares”) and 7.875% Series C Cumulative Preferred Shares (the “Series C Preferred Shares”)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81" w:lineRule="exact"/>
        <w:rPr>
          <w:sz w:val="20"/>
          <w:szCs w:val="20"/>
          <w:color w:val="auto"/>
        </w:rPr>
      </w:pPr>
    </w:p>
    <w:p>
      <w:pPr>
        <w:ind w:right="760"/>
        <w:spacing w:after="0" w:line="415" w:lineRule="auto"/>
        <w:rPr>
          <w:sz w:val="20"/>
          <w:szCs w:val="20"/>
          <w:color w:val="auto"/>
        </w:rPr>
      </w:pPr>
      <w:r>
        <w:rPr>
          <w:rFonts w:ascii="Times New Roman" w:cs="Times New Roman" w:eastAsia="Times New Roman" w:hAnsi="Times New Roman"/>
          <w:sz w:val="20"/>
          <w:szCs w:val="20"/>
          <w:color w:val="auto"/>
        </w:rPr>
        <w:t xml:space="preserve">which are listed on the New York Stock Exchange under the symbols "CODI PR A," "CODI PR B" and "CODI PR C," respectively. </w:t>
      </w:r>
      <w:r>
        <w:rPr>
          <w:rFonts w:ascii="Times New Roman" w:cs="Times New Roman" w:eastAsia="Times New Roman" w:hAnsi="Times New Roman"/>
          <w:sz w:val="20"/>
          <w:szCs w:val="20"/>
          <w:b w:val="1"/>
          <w:bCs w:val="1"/>
          <w:color w:val="auto"/>
        </w:rPr>
        <w:t>Equity Interests in the Company</w:t>
      </w:r>
    </w:p>
    <w:p>
      <w:pPr>
        <w:spacing w:after="0" w:line="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company is authorized, pursuant to action by the company's board of directors, to issue up to 500,000,000 trust common interests in one or more series.</w:t>
      </w:r>
    </w:p>
    <w:p>
      <w:pPr>
        <w:spacing w:after="0" w:line="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is authorized, pursuant to action by the company's board of directors, to issue up to 50,000,000 trust preferred interests in one or more classes or series, with the terms, designations, preferences, rights, powers and duties of any such trust preferred interests reflected in a trust interest designation.</w:t>
      </w:r>
    </w:p>
    <w:p>
      <w:pPr>
        <w:spacing w:after="0" w:line="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addition to the trust common interests and trust preferred interests, which we refer to collectively as the trust interests, the company is authorized, pursuant to action by the company's board of directors, to issue up to 1,000 allocation interests. In connection with the formation of the company, our manager acquired 100% of the allocation interests so authorized and issued. On June 27, 2013, our manager assigned its allocation interests to Sostratus LLC. All allocation interests are fully paid and nonassessable. Other than the allocation interests held by Sostratus LLC, the company is not authorized to issue any other allocation interests.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acting through its board of directors, may declare and pay distributions on the applicable interests of the company, subject to any applicable trust interest designation. Any distributions so declared will be paid on such interests in proportion to the number of such interests held by the holders thereof. The members of our manager currently have a nominal indirect equity interest in the company, which is subject to dilution if additional shares, including the common shares and preferred shares described herein, are offered in the future. The company's board of directors may, in its sole discretion and at any time, declare and pay distributions from the cash flow available for distributions to the holders of its interests, subject to any applicable trust interest designation.</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Upon receipt of any distributions declared and paid by the company, the trust will, pursuant to the terms of the trust agreement, distribute within five business days the amounts determined by the company, out of such distributions in cash to its applicable shareholders, in proportion to their percentage ownership of the common shares or preferred shares on the related record date. The record date for distributions by the company will be the same as the record date for corresponding distributions by the trust.</w:t>
      </w:r>
    </w:p>
    <w:p>
      <w:pPr>
        <w:spacing w:after="0" w:line="7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Certain members of our manager indirectly own allocation interests in the Company through their ownership of Sostratus LLC. The owner of the allocation interests in the company is sometimes referred to herein as the "Allocation Member." Upon the occurrence of certain events, the company will pay a profit allocation to the Allocation Member, as holder of the allocation interests.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and Consent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outstanding share, subject to any applicable share designation, is entitled to one vote on any company matter with respect to which the trust is entitled to vote, as provided in the LLC agreement and as detailed below. Pursuant to the terms of the LLC agreement and the trust agreement, the company will act at the direction of the trust only with respect to those matters subject to vote by the holders of trust interests of the company. The company, as sponsor of the trust, will provide to the trust, for transmittal to shareholders of the trust, the appropriate form of proxy to enable shareholders of the trust to direct,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proportion to their percentage ownership of the shares, the trust's vote with respect to the trust interests. The trust will vote its trust interests in the same proportion as the vote of holders of the shares. For purposes of this summary, the voting rights of holders of the trust interests of the company that effectively will be exercised by the shareholders of the trust by proxy will be referred to as the voting rights of the holders of the shares.</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LLC agreement provides that the holders of trust interests are entitled, at each annual meeting of members of the company beginning in 2022, to vote for the election of all of the directors (other than any director appointed by Allocation Member) for a one-year term, subject to any applicable trust interest designation. Because neither the trust agreement nor the LLC agreement provides for cumulative voting rights, the holders of a plurality of the voting power of the then outstanding shares represented at a shareholders meeting will effectively be able to elect all the directors of the company (other than any director appointed by Allocation Member) standing for election, subject to any applicable share designation or trust interest designation.</w:t>
      </w:r>
    </w:p>
    <w:p>
      <w:pPr>
        <w:spacing w:after="0" w:line="8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LLC agreement further provides that holders of allocation interests will not be entitled to any voting rights, except that holders of allocation interests will have, in accordance with the terms of the LLC agreement:</w:t>
      </w:r>
    </w:p>
    <w:p>
      <w:pPr>
        <w:spacing w:after="0" w:line="38" w:lineRule="exact"/>
        <w:rPr>
          <w:sz w:val="20"/>
          <w:szCs w:val="20"/>
          <w:color w:val="auto"/>
        </w:rPr>
      </w:pPr>
    </w:p>
    <w:p>
      <w:pPr>
        <w:ind w:left="640" w:hanging="308"/>
        <w:spacing w:after="0"/>
        <w:tabs>
          <w:tab w:leader="none" w:pos="6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or consent rights in connection with certain anti-takeover provisions, as discussed below;</w:t>
      </w:r>
    </w:p>
    <w:p>
      <w:pPr>
        <w:spacing w:after="0" w:line="12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consent right with respect to the amendment or modification of the provisions providing for distributions to the holders of allocation interests;</w:t>
      </w:r>
    </w:p>
    <w:p>
      <w:pPr>
        <w:spacing w:after="0" w:line="64"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consent right to any amendment to the provision entitling the holders of allocation interests to appoint directors who will serve on the board of directors of the company;</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consent right with respect to any amendment of the provision of the LLC agreement governing amendments thereof;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consent right with respect to any amendment that would adversely affect the holders of allocation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 of Directors Appointee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holder of the allocation interests, our Allocation Member has the right to appoint one director (or two directors if the board size is increased to nine or more directors) to the company's board of directors. No such appointed director on the company's board of directors will be required to stand for election by the shareholders. No such appointed director who is also a member of the company's management will receive any compensation (other than reimbursements that are permitted for directors) or will have any special voting rights.</w:t>
      </w:r>
    </w:p>
    <w:p>
      <w:pPr>
        <w:spacing w:after="0" w:line="114"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20"/>
          <w:szCs w:val="20"/>
          <w:b w:val="1"/>
          <w:bCs w:val="1"/>
          <w:color w:val="auto"/>
        </w:rPr>
        <w:t>Right to Bring a Derivative Action and Enforcement of the Provisions of the LLC Agreement by Holders of the Shares and Our Manager</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trust agreement and the LLC agreement both provide that holders of common shares representing at least ten percent of the outstanding common shares shall have the right to directly institute a legal proceeding against the company to enforce the provisions of the LLC agreement. In addition, the trust agreement and the LLC agreement provide that holders of common shares representing at least ten percent of the outstanding common shares have the right to cause the trust to institute any legal proceeding for any remedy available to the trust, including the bringing of a derivative action in the right of the company under Section 18-1001 of the Delaware Limited Liability Company Act relating to the right to bring derivative actions. Holders of common shares will have the right to direct the time, method and place of conducting such legal proceedings brought by the trust. The Allocation Member, as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35" w:lineRule="exact"/>
        <w:rPr>
          <w:sz w:val="20"/>
          <w:szCs w:val="20"/>
          <w:color w:val="auto"/>
        </w:rPr>
      </w:pPr>
    </w:p>
    <w:p>
      <w:pPr>
        <w:ind w:right="280"/>
        <w:spacing w:after="0" w:line="415" w:lineRule="auto"/>
        <w:rPr>
          <w:sz w:val="20"/>
          <w:szCs w:val="20"/>
          <w:color w:val="auto"/>
        </w:rPr>
      </w:pPr>
      <w:r>
        <w:rPr>
          <w:rFonts w:ascii="Times New Roman" w:cs="Times New Roman" w:eastAsia="Times New Roman" w:hAnsi="Times New Roman"/>
          <w:sz w:val="20"/>
          <w:szCs w:val="20"/>
          <w:color w:val="auto"/>
        </w:rPr>
        <w:t xml:space="preserve">the allocation interests, has the right to directly institute proceedings against the company to enforce the provisions of the LLC agreement. </w:t>
      </w:r>
      <w:r>
        <w:rPr>
          <w:rFonts w:ascii="Times New Roman" w:cs="Times New Roman" w:eastAsia="Times New Roman" w:hAnsi="Times New Roman"/>
          <w:sz w:val="20"/>
          <w:szCs w:val="20"/>
          <w:b w:val="1"/>
          <w:bCs w:val="1"/>
          <w:color w:val="auto"/>
        </w:rPr>
        <w:t>Acquisition Exchange and Optional Purchase</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trust agreement and the LLC agreement provide that, if at any time more than 90% of the then outstanding voting shares entitled to vote are beneficially owned by one person, who we refer to as the acquirer and which time we refer to as the control date, such acquirer has the right to cause the trust, acting at the direction of the company's board of directors, to mandatorily exchange all shares then outstanding for an equal number of underlying trust interests, which we refer to as an acquisition exchange, and dissolve the trust. The company, as sponsor of the trust, will cause the transfer agent of the shares to mail a copy of notice of such acquisition exchange to the shareholders of the trust at least 30 days prior to the exchange of shares for underlying trust interests. Upon the completion of such acquisition exchange, each holder of shares immediately prior to the completion of the acquisition exchange will be admitted to the company as a member in respect of an equal number of underlying trust interests and the trust will cease to be a member of the company.</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LLC agreement provides that, following such exchange, the acquirer shall have the right to purchase at the offer price, as defined in the LLC agreement, from the other holders of trust interests for cash all, but not less than all, of the outstanding trust interests that the acquirer does not own as of the control date. While this provision of the LLC agreement provides for a fair price requirement, the LLC agreement does not provide members with appraisal rights to which shareholders of a Delaware corporation would be entitled under Section 262 of the DGCL. The acquirer can exercise its right to effect such purchase by delivering notice to the company and the transfer agent of its election to make the purchase not less than 60 days prior to the control date. The company will cause the transfer agent to mail the notice of the purchase to the record holders of the trust interests at least 30 days prior to the control date. We refer to the date of purchase as the purchase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Voluntary Exchange</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trust agreement and the LLC agreement provide that in the event the company's board of directors determines that the existence of the trust results, or is reasonably likely to result, in a material tax detriment to the trust, the holders of shares, the company or any of the members, the company, as sponsor of the trust, shall cause the trust to exchange all shares then outstanding for an equal number of underlying trust interests and dissolve the trust. We refer to such an exchange as a voluntary exchange. The company, as sponsor of the trust, will cause the transfer agent for the shares to mail a copy of notice of such voluntary exchange to the shareholders of the trust at least 30 days prior to the exchange of shares for underlying trust interests. Upon the completion of such voluntary exchange, each holder of shares immediately prior to the completion of the voluntary exchange will be admitted to the company as a member in respect of an equal number of underlying trust interests and the trust will cease to be a member of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Election of the Trust</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may, acting through its board of directors, without further action by the shareholders, at such time as it may determine, cause the trust to elect to be treated as a corporation for U.S. federal income tax purposes and, thereafter, must maintain the trust's status as an association taxable as a corporation. Effective as of September 1, 2021, the trust has elected to be treated as a corporation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Election of the Company</w:t>
      </w:r>
    </w:p>
    <w:p>
      <w:pPr>
        <w:spacing w:after="0" w:line="17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In circumstances where the trust has been dissolved, the LLC agreement provides that the company's board of directors may, without the consent or vote of holders of trust interests, cause the company to elect to be treated as a corporation for U.S. federal income tax purposes.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Conversion of the Trust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may, acting through its board of directors, without further action by the shareholders:</w:t>
      </w:r>
    </w:p>
    <w:p>
      <w:pPr>
        <w:spacing w:after="0" w:line="121" w:lineRule="exact"/>
        <w:rPr>
          <w:sz w:val="20"/>
          <w:szCs w:val="20"/>
          <w:color w:val="auto"/>
        </w:rPr>
      </w:pPr>
    </w:p>
    <w:p>
      <w:pPr>
        <w:ind w:left="660" w:hanging="328"/>
        <w:spacing w:after="0" w:line="283" w:lineRule="auto"/>
        <w:tabs>
          <w:tab w:leader="none" w:pos="64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trust to be converted to a corporation, through direct conversion, merger into, or conveyance of all assets to, a corporation which otherwise has no assets, liabilities or operations at the time;</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convert or exchange the trust shares into or for shares of stock of one or more classes in such corporation; and</w:t>
      </w:r>
    </w:p>
    <w:p>
      <w:pPr>
        <w:spacing w:after="0" w:line="121"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the organizational documents of the corporation with terms that provide the shareholders and the holder of the allocation interests in the company with substantially similar rights and obligations as the trust agreement and the LLC agreement (including to reflect the election of directors of such corporation directly by the stockholders of such corporation rather than through the trust agreement and the LLC agreement), with any such alterations thereto as are required by the laws governing such corporation or determined by the board to be in the best interests of the trust and the shareholders.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 to LLC Agreement for Conversion of the Trust</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the trust is converted to, or the trust is merged into or all of the trust's assets are conveyed to, a corporation pursuant to the trust agreement, without further approval of the company's members but subject to the prior written consent of the Allocation Member if the rights of the Allocation Member would be adversely affected, the company's board of directors may amend the LLC agreement as the board determines is necessary or appropriate to reflect such conversion, merger or conveyance.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Dissolution of the Trust and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LLC agreement provides for the dissolution and winding up of the company upon the occurrence of:</w:t>
      </w:r>
    </w:p>
    <w:p>
      <w:pPr>
        <w:spacing w:after="0" w:line="121" w:lineRule="exact"/>
        <w:rPr>
          <w:sz w:val="20"/>
          <w:szCs w:val="20"/>
          <w:color w:val="auto"/>
        </w:rPr>
      </w:pPr>
    </w:p>
    <w:p>
      <w:pPr>
        <w:jc w:val="both"/>
        <w:ind w:left="660" w:hanging="328"/>
        <w:spacing w:after="0" w:line="261" w:lineRule="auto"/>
        <w:tabs>
          <w:tab w:leader="none" w:pos="64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 resolution by a majority vote of the company's board of directors approving the dissolution, winding up and liquidation of the company and the approval of such action by the affirmative vote of the holders of a majority of the outstanding trust interests entitled to vote thereon;</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unanimous vote of the holders of the outstanding trust interests entitled to vote to dissolve, wind up and liquidate the company;</w:t>
      </w:r>
    </w:p>
    <w:p>
      <w:pPr>
        <w:spacing w:after="0" w:line="107" w:lineRule="exact"/>
        <w:rPr>
          <w:rFonts w:ascii="Times New Roman" w:cs="Times New Roman" w:eastAsia="Times New Roman" w:hAnsi="Times New Roman"/>
          <w:sz w:val="20"/>
          <w:szCs w:val="20"/>
          <w:color w:val="auto"/>
        </w:rPr>
      </w:pPr>
    </w:p>
    <w:p>
      <w:pPr>
        <w:jc w:val="both"/>
        <w:ind w:left="660" w:right="20" w:hanging="328"/>
        <w:spacing w:after="0" w:line="261" w:lineRule="auto"/>
        <w:tabs>
          <w:tab w:leader="none" w:pos="64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judicial determination that an event has occurred that makes it not reasonably practical to carry on the business of the company in conformity with the LLC agreement as determined in accordance with Section 18-802 of the Delaware Limited Liability Company Act; or</w:t>
      </w:r>
    </w:p>
    <w:p>
      <w:pPr>
        <w:spacing w:after="0" w:line="73"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the legal existence of the last remaining member of the company or the occurrence of any other event that terminates the continued membership of the last remaining member of the company, unless the company is continued without dissolution in a manner provided under the LLC agreement or the Delaware Limited Liability Company Act.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trust agreement provides for the dissolution and winding up of the trust upon the occurrence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81" w:lineRule="exact"/>
        <w:rPr>
          <w:sz w:val="20"/>
          <w:szCs w:val="20"/>
          <w:color w:val="auto"/>
        </w:rPr>
      </w:pPr>
    </w:p>
    <w:p>
      <w:pPr>
        <w:ind w:left="640" w:hanging="308"/>
        <w:spacing w:after="0"/>
        <w:tabs>
          <w:tab w:leader="none" w:pos="6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exchange or a voluntary exchange;</w:t>
      </w:r>
    </w:p>
    <w:p>
      <w:pPr>
        <w:spacing w:after="0" w:line="12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of a certificate of cancellation of the company or its failure to revive its certificate of formation within 10 days following revocation of the company's certificate of formation;</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entry of a decree of judicial dissolution by a court of competent jurisdiction over the company or the trust; or</w:t>
      </w:r>
    </w:p>
    <w:p>
      <w:pPr>
        <w:spacing w:after="0" w:line="107"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regular trustees of written notice from the company at any time of its determination to dissolve the trust and distribute the trust interests in exchange for the shares.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refer to these events as dissolution events. Following the occurrence of a dissolution event with respect to the trust, each share will be mandatorily exchanged for an underlying trust interest of the company. Upon dissolution of the company in accordance with the terms of the LLC agreement, the then holders of trust interests will be entitled to share in the assets of the company legally available for distribution following payment to creditors, subject to any applicable trust interest designation, in accordance with the positive balance in such holders' capital accounts required by the LLC agreement, including any applicable trust interest designation, after giving effect to all contributions, distributions and allocations for all periods.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Series A Preferred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June 28, 2017, the trust executed a share designation, which was amended and restated on August 3, 2021 and further amended on March 20, 2024 and September 4, 2024 (as so amended and restated and further amended, the “Series A Share Designation”). The Series A Share Designation designates 5,701,955 shares of the preferred shares of the trust, no par value, as the Series A Preferred Shares with the powers, designations, preferences and other rights as set forth therein.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Distributions on the Series A Preferred Shares are payable when, as and if declared by the board of directors of the company out of funds legally available, at a rate per annum equal to 7.250% of the $25.00 liquidation preference per share. Distributions on the Series A Preferred Shares are payable quarterly on January 30, April 30, July 30 and October 30 of each year, when, as and if declared by the board of directors of the company in its sole discretion. If any of those dates is not a business day, then distributions are payable on the next succeeding business day. Declared distributions will be payable on the relevant distribution payment date to holders of record as they appear on our share register at the close of business, New York City time, on the January 15, April 15, July 15 and October 15, as the case may be, immediately preceding the relevant distribution payment date. These record dates will apply regardless of whether a particular record date is a business day, provided that if the record date is not a business day, the declared distributions will be payable on the relevant distribution payment date to holders of record as they appear on the trust’s share register at the close of business, New York City time, on the business day immediately preceding such record date. A “business day” as used herein means any day other than a Saturday, a Sunday or a day on which banks in The City of New York are required, permitted or authorized, by applicable law or executive order, to be closed for regular banking business.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we issue additional Series A Preferred Shares, distributions on such additional shares, to the extent declared, will accrue from the original issuance date of such additional shares or any other date we specify at the time such additional shares are issued. Distributions on the Series A Preferred Shares are non-cumulative. Accordingly, if the board of directors of the company does not declare a distribution before the scheduled record date for any distribution period, the trust will not make a distribution in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8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distribution period, whether or not distributions on the Series A Preferred Shares are declared or paid for any future distribution period. A “distribution period” as used herein refers to the period from and including a distribution payment date to, but excluding, the next distribution payment date, provided that the initial distribution period commences on and includes June 28, 2017. Distributions payable on the Series A Preferred Shares for any distribution period will be computed on the basis of a 360-day year consisting of twelve 30-day months.</w:t>
      </w:r>
    </w:p>
    <w:p>
      <w:pPr>
        <w:spacing w:after="0" w:line="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Series A Preferred Shares rank junior to the allocation interests to the extent provided in the LLC agreement, and senior to the common shares to the extent provided in the trust agreement, with respect to the payment of distributions. Unless distributions have been declared and paid or declared and set apart for payment on the Series A Preferred Shares for a quarterly distribution period, no distribution may be declared or paid or set apart for payment on the common shares (or on any other shares that the trust has, or may in the future, issue ranking, as to the payment of distributions, junior to the Series A Preferred Shares (together with the common shares, "Series A junior shares")) for the remainder of that quarterly distribution period, other than distributions paid in Series A junior shares or options, warrants or rights to subscribe for or purchase Series A junior shares, and we and our subsidiaries may not directly or indirectly repurchase, redeem or otherwise acquire for consideration common shares (or any Series A junior shares). However, for a subsequent distribution period, payments on Series A junior shares can be made again as long as distributions have been made on the Series A Preferred Shares for that period (even if no distributions have been made in one or more prior periods).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board of directors of the company, or a duly authorized committee thereof, may, in its discretion, choose to cause the trust to pay distributions on the Series A Preferred Shares without the payment of any distributions on any Series A junior shares. No distributions may be declared or paid or set apart for payment on any Series A Preferred Shares if at the same time any arrears exist or default exists in the payment of distributions on any outstanding series of Series A senior shares (defined below), if any are issued.</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When distributions are not paid (or duly provided for) on any distribution payment date (or, in the case of Series A parity shares (as defined below) having distribution payment dates different from the distribution payment dates pertaining to the Series A Preferred Shares, on a distribution payment date falling within the related distribution period (as defined below) for the Series A Preferred Shares) in full upon the Series A Preferred Shares or any Series A parity shares, all distributions declared upon the Series A Preferred Shares and all such Series A parity shares payable on such distribution payment date (or, in the case of Series A parity shares having distribution payment dates different from the distribution payment dates pertaining to the Series A Preferred Shares, on a distribution payment date falling within the related distribution period for the Series A Preferred Shares) shall be declared pro rata so that the respective amounts of such distributions shall bear the same ratio to each other as all declared and unpaid distributions per share on the Series A Preferred Shares and all unpaid distributions, including any accumulations, on all Series A parity shares payable on such distribution payment date (or in the case of Series A parity shares having distribution payment dates different from the distribution payment dates pertaining to the Series A Preferred Shares, on a distribution payment date falling within the related distribution period for the Series A Preferred Shares) bear to each other.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Ranking</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Series A Preferred Shares rank senior to the Series A junior shares with respect to payment of distributions and distribution of the trust's assets upon the trust's liquidation, dissolution or winding up. The Series A Preferred Shares rank equally with any equity securities, including our Series B Preferred Shares, Series C Preferred Shares and other preferred shares, that the trust may issue in the future, the terms of which provide that such securities will rank equally with the Series A Preferred Shares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respect to payment of distributions and distribution of the trust's assets upon its liquidation, dissolution or winding up ("Series A parity shares"). The Series A Preferred Shares rank junior to (i) all of the trust's existing and future indebtedness, and (ii) any of the trust's equity securities, including preferred shares, that the trust or the company may issue in the future, the terms of which provide that such securities will rank senior to the Series A Preferred Shares with respect to payment of distributions and distribution of the trust's assets upon its liquidation, dissolution or winding up (such equity securities, "Series A senior shares"). The Series A Preferred Shares rank junior to the company's allocation interests with respect to the payment of distributions prior to dissolution of the company, and equally with the company's allocation interests upon liquidation, dissolution or winding up of the company or the trust; provided however that the rights allocated to the allocation interest may reduce the amount distributable to the Series A Preferred Shares upon the liquidation, dissolution or winding up of the trust. Other than the company's allocation interests, there are no Series A senior shares or interests in the company outstanding.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Maturity</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Series A Preferred Shares do not have a maturity date, and the trust is not required to redeem or repurchase the Series A Preferred Shares. Accordingly, the Series A Preferred Shares will remain outstanding indefinitely unless the board of directors of the company decides to cause the trust to redeem or repurchase them.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Redemption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trust may not redeem the Series A Preferred Shares prior to July 30, 2022. On or after July 30, 2022, the board of directors of the company may cause the trust, at its option, out of funds legally available to redeem the Series A Preferred Shares, in whole or in part, upon not less than 30 nor more than 60 days' notice, at a price of $25.00 per Series A Preferred Share plus any accumulated and unpaid distributions thereon, if any, to, but excluding, the redemption date, without payment of any undeclared distributions. Holders of the Series A Preferred Shares have no right to require the redemption of the Series A Preferred Shares.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Repurchase at the Option of Holders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a Series A Fundamental Change (as defined below) occurs, unless, prior to or concurrently with the time the board of directors of the company is required to cause the trust to make a Series A Fundamental Change Offer (as described below), the board of directors of the company has caused the company to previously or concurrently mail or transmit electronically a redemption notice with respect to all of the outstanding Series A Preferred Shares, the board of directors of the company will cause the trust to make an offer to purchase all of the Series A Preferred Shares pursuant to the offer described below (the "Series A Fundamental Change Offer"), out of funds received by the trust on the Series A Trust Preferred Interests (as defined below under "—Series A Trust Preferred Interests") and legally available, at a price in cash (the “Series A Fundamental Change Payment”) of $25.25 per Series A Preferred Share, plus declared and unpaid distributions thereon to, but excluding, the Series A Fundamental Change Payment Date (as defined below), without payment of any undeclared distributions. Within 30 days following any Series A Fundamental Change, the board of directors of the company will cause the trust to send notice of such Series A Fundamental Change Offer by first class mail to each holder of Series A Preferred Shares or otherwise in accordance with the procedures of the Depository Trust Company with the following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81" w:lineRule="exact"/>
        <w:rPr>
          <w:sz w:val="20"/>
          <w:szCs w:val="20"/>
          <w:color w:val="auto"/>
        </w:rPr>
      </w:pPr>
    </w:p>
    <w:p>
      <w:pPr>
        <w:jc w:val="both"/>
        <w:ind w:left="660" w:hanging="328"/>
        <w:spacing w:after="0" w:line="261" w:lineRule="auto"/>
        <w:tabs>
          <w:tab w:leader="none" w:pos="64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 Series A Fundamental Change Offer is being made pursuant to the share designation designating the Series A Preferred Shares and that all Series A Preferred Shares properly tendered pursuant to such Series A Fundamental Change Offer will be accepted for payment by the trust;</w:t>
      </w:r>
    </w:p>
    <w:p>
      <w:pPr>
        <w:spacing w:after="0" w:line="73"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and the purchase date, which will be no earlier than 30 days nor later than 60 days from the date such notice is mailed (the “Series A Fundamental Change Payment Date”);</w:t>
      </w:r>
    </w:p>
    <w:p>
      <w:pPr>
        <w:spacing w:after="0" w:line="64"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Series A Preferred Share not properly tendered will remain outstanding and entitled to receive distributions when, as and if declared by the board of directors of the company;</w:t>
      </w:r>
    </w:p>
    <w:p>
      <w:pPr>
        <w:spacing w:after="0" w:line="38"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trust defaults in the payment pursuant to the Series A Fundamental Change Offer, all Series A Preferred Shares accepted for payment pursuant to the Series A Fundamental Change Offer will be cancelled and cease to be outstanding on the Series A Fundamental Change Payment Date;</w:t>
      </w:r>
    </w:p>
    <w:p>
      <w:pPr>
        <w:spacing w:after="0" w:line="73"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instructions determined by the company, consistent with this covenant, that a holder of Series A Preferred Shares must follow in order to have its Series A Preferred Shares purchased; and</w:t>
      </w:r>
    </w:p>
    <w:p>
      <w:pPr>
        <w:spacing w:after="0" w:line="38"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notice is mailed prior to the occurrence of a Series A Fundamental Change, that such offer is conditioned on the occurrence of such Series A Fundamental Change.</w:t>
      </w: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will not be required to cause the trust to make a Series A Fundamental Change Offer upon a Series A Fundamental Change if a third party makes the Series A Fundamental Change Offer in the manner, at the times and otherwise in compliance with the requirements set forth in the share designation designating the Series A Preferred Shares applicable to a Series A Fundamental Change Offer made by the trust and purchases all Series A Preferred Shares validly tendered and not withdrawn under such Series A Fundamental Change Offer.</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and the trust will comply, to the extent applicable, with the requirements of Section 14(e) of the Securities Exchange Act of 1934, as amended (the “Exchange Act”), and any other securities laws or regulations in connection with the repurchase of Series A Preferred Shares pursuant to this covenant. To the extent the provisions of any securities laws or regulations conflict with provisions of the share designation designating the Series A Preferred Shares, the company and the trust will comply with the applicable securities laws and regulations and will not be deemed to have breached their obligations described in such share designation by virtue thereof.</w:t>
      </w:r>
    </w:p>
    <w:p>
      <w:pPr>
        <w:spacing w:after="0" w:line="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the Series A Fundamental Change Payment Date, the board of directors of the company shall cause the trust, to the extent permitted by law and to the extent of funds received by the trust on the Series A Trust Preferred Interests, to:</w:t>
      </w:r>
    </w:p>
    <w:p>
      <w:pPr>
        <w:spacing w:after="0" w:line="65" w:lineRule="exact"/>
        <w:rPr>
          <w:sz w:val="20"/>
          <w:szCs w:val="20"/>
          <w:color w:val="auto"/>
        </w:rPr>
      </w:pPr>
    </w:p>
    <w:p>
      <w:pPr>
        <w:ind w:left="640" w:hanging="308"/>
        <w:spacing w:after="0"/>
        <w:tabs>
          <w:tab w:leader="none" w:pos="6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for payment all Series A Preferred Shares properly tendered pursuant to the Series A Fundamental Change Offer;</w:t>
      </w:r>
    </w:p>
    <w:p>
      <w:pPr>
        <w:spacing w:after="0" w:line="107"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the paying agent an amount equal to the aggregate payment pursuant to the Series A Fundamental Change Offer in respect of all Series A Preferred Shares so tendered; and</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 the Series A Preferred Shares so accepted.</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(i) a Series A Fundamental Change occurs and (ii) (x) we do not give notice prior to the 31st day following the Series A Fundamental Change of either (1) a Series A Fundamental Change Offer or (2) the intention to redeem all the outstanding Series A Preferred Shares or (y) we default upon our obligation to repurchase or redeem the Series A Preferred Shares on the Series A Fundamental Change Payment Date or redemption date, the distribution rate per annum on the Series A Preferred Shares will increase by 5.00%, beginning on the 31st day following such Series A Fundamental Change. Notwithstanding any requirement that we offer to repurchase or redeem all the outstanding Series A Preferred Shares,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increase in the distribution rate per annum described in the immediately preceding sentence is the sole remedy to holders of Series A Preferred Shares upon the occurrence of any of the events described in the immediately preceding sentence. Following any such increase in the distribution rate per annum, we will be under no further obligation to offer to repurchase or redeem any Series A Preferred Shares.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“Fundamental Change” means the occurrence of the following:</w:t>
      </w:r>
    </w:p>
    <w:p>
      <w:pPr>
        <w:spacing w:after="0" w:line="108" w:lineRule="exact"/>
        <w:rPr>
          <w:sz w:val="20"/>
          <w:szCs w:val="20"/>
          <w:color w:val="auto"/>
        </w:rPr>
      </w:pPr>
    </w:p>
    <w:p>
      <w:pPr>
        <w:jc w:val="both"/>
        <w:ind w:left="660" w:hanging="328"/>
        <w:spacing w:after="0" w:line="258" w:lineRule="auto"/>
        <w:tabs>
          <w:tab w:leader="none" w:pos="64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Series A Preferred Shares (or preferred shares into which the Series A Preferred Shares have been converted or for which the Series A Preferred Shares have been exchanged in accordance with the provisions described below under “— Voting Rights”) cease to be listed or quoted on any of the New York Stock Exchange, the Nasdaq Global Select Market or the Nasdaq Global Market (or any of their successors) or another U.S. national securities exchange for a period of 20 consecutive trading days; or</w:t>
      </w:r>
    </w:p>
    <w:p>
      <w:pPr>
        <w:spacing w:after="0" w:line="77"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trust (or the issuer of preferred shares into which the Series A Preferred Shares have been converted or for which the Series A Preferred Shares have been exchanged in accordance with the provisions described below under “— Voting Rights”) are no longer subject to, and are not voluntarily filing the annual reports, information, documents and other reports that the company and the trust would be so required to file if so subject to, the reporting requirements of Section 13(a) or 15(d) of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Holders of the Series A Preferred Shares generally have no voting rights. However, if and whenever six quarterly distributions (whether or not consecutive) payable on the Series A Preferred Shares have not been declared and paid (a "Nonpayment"), the number of directors then constituting the board of directors of the company will be increased by two and the holders of the Series A Preferred Shares, voting together as a single class with the holders of any other series of Series A parity shares then outstanding upon which like voting rights have been conferred and are exercisable (any such other series, the "Series A voting preferred shares"), will have the right to elect these two additional directors at a meeting of the holders of the Series A Preferred Shares and such other Series A voting preferred shares. When quarterly distributions have been declared and paid on the Series A Preferred Shares for four consecutive quarters following the Nonpayment, the right of the holders of the Series A Preferred Shares and any other Series A voting preferred shares to elect these two additional directors will cease, the terms of office of these two directors will forthwith terminate and the number of directors constituting the board of directors of the company will be reduced accordingly. However, the right of the holders of the Series A Preferred Shares and any other Series A voting preferred shares to elect two additional directors will again vest if and whenever six additional quarterly distributions have not been declared and paid, as described above.</w:t>
      </w:r>
    </w:p>
    <w:p>
      <w:pPr>
        <w:spacing w:after="0" w:line="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approval of two-thirds of the votes entitled to be cast by the holders of outstanding Series A Preferred Shares and all other series of Series A voting preferred shares, acting as a single class regardless of series, at a meeting of shareholders, is required in order (i) to amend, alter or repeal any provisions of the trust agreement relating to the Series A Preferred Shares or other series of Series A voting preferred shares, whether by merger, consolidation or otherwise, to affect materially and adversely the voting powers, rights or preferences of the holders of the Series A Preferred Shares or other series of Series A voting preferred shares, unless in connection with any such amendment, alteration or repeal, each Series A Preferred Share and any other voting preferred share remains outstanding without the terms thereof being materially changed in any respect adverse to the holders thereof or is converted into or exchanged for preferred shares of the surviving entity having preferences, conversion and other rights, voting powers, restrictions, limitations as to distributions, qualifications and terms and conditions of redemption thereof substantially similar to those of the Series A Preferred Shares or any other series of Series A voting preferred shares, as the case may be, or (ii) to authorize, create or increase the authorized amount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class or series of preferred shares having rights senior to the Series A Preferred Shares with respect to the payment of distributions or amounts upon liquidation, dissolution or winding up; provided, however, that in the case of clause (i) above, if such amendment affects materially and adversely the rights, preferences, privileges or voting powers of one or more but not all of the classes or series of Series A voting preferred shares (including the Series A Preferred Shares for this purpose), only the consent of the holders of at least two-thirds of the outstanding shares of the classes or series so affected, voting as a class, is required in lieu of (or, if such consent is required by law, in addition to) the consent of the holders of two-thirds of the Series A voting preferred shares (including the Series A Preferred Shares for this purpose) as a class.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Amount Payable in Liquidation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Upon any voluntary or involuntary liquidation, dissolution or winding up of the trust (other than in the case of a voluntary exchange or acquisition exchange (as defined in the trust agreement) of preferred shares for trust preferred interests) ("Liquidation"), each holder of the Series A Preferred Shares will be entitled to a payment out of the trust's assets available for distribution to the holders of the Series A Preferred Shares following the satisfaction of all claims ranking senior to the Series A Preferred Shares. Such payment will be equal to their preferred capital account balance (the "Series A Preferred Share Liquidation Value").</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capital account balance for each Series A Preferred Share equals $25.00 initially and is increased each year by an allocation of gross income (excluding capital gains) recognized by us (including any gross income recognized in the year of Liquidation). The allocations of gross income to the capital account balances for the Series A Preferred Shares in any year will not exceed the sum of the amount of distributions paid on the Series A Preferred Shares during such year. If the board of directors of the company declares a distribution on the Series A Preferred Shares, the amount of the distribution paid on each such Series A Preferred Share will be deducted from the capital account balance for such Series A Preferred Share, whether or not such capital account balance received an allocation of gross income in respect of such distribution. The allocation of gross income to the capital account balances for the Series A Preferred Shares is intended to entitle the holders of the Series A Preferred Shares to a preference over the holders of outstanding common shares upon the trust's Liquidation, to the extent required to permit each holder of a Series A Preferred Share to receive the Series A Preferred Share Liquidation Value in respect of such share. In addition, a special allocation of gross income (from any source) in the year of Liquidation will be made if necessary so that a holder's preferred capital account balance equals the Series A Preferred Share Liquidation Value. If, however, the trust were to have insufficient gross income to achieve this result, then the amount that a holder of Series A Preferred Shares would receive upon liquidation may be less than the Series A Preferred Share Liquidation Value.</w:t>
      </w:r>
    </w:p>
    <w:p>
      <w:pPr>
        <w:spacing w:after="0" w:line="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After each holder of Series A Preferred Shares receives a payment equal to the capital account balance for such holder's shares (even if such payment is less than the Series A Preferred Share Liquidation Value of such holder's shares), holders will not be entitled to any further participation in any distribution of the trust's assets.</w:t>
      </w:r>
    </w:p>
    <w:p>
      <w:pPr>
        <w:spacing w:after="0" w:line="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For any period in which the trust is an association taxable as a corporation for U.S. federal income tax purposes, the capital account balance for each Series A Preferred Share will be deemed equal to the sum of $25.00 per Series A Preferred Share and declared and unpaid distributions, if any, to, but excluding, the date of the liquidation, dissolution or winding up of the trust on the Series A Preferred Shares, with the intent to provide holders of Series A Preferred Shares the same rights to liquidation proceeds regardless of whether the trust is taxable as a partnership or a corporation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Series A Preferred Shares are not convertible into common shares or any other class or series of shares or any other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Series A Trust Preferred Interests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Series A Preferred Share corresponds to one underlying trust preferred interest of the company held by the trust of the same class and series, and with corresponding rights, powers and duties, as the Series A Preferred Shares (the "Series A Trust Preferred Interests"). Unless the trust is dissolved, it must remain the holder of 100% of the company's trust interests, including the Series A Trust Preferred Interests, and, at all times, the trust will have outstanding the identical number of common shares and preferred shares, including the Series A Preferred Shares, as the number of outstanding trust common interests and trust preferred interests, including the Series A Trust Preferred Interests, of the company that are of the corresponding class and series.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Series B Preferred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March 13, 2018, the trust executed a share designation, which was amended and restated on August 3, 2021 and further amended on March 20, 2024 and September 4, 2024 (as so amended and restated and further amended, the “Series B Share Designation”). The Series B Share Designation designates 8,327,295 shares of the preferred shares of the trust, no par value, as the Series B Preferred Shares with the powers, designations, preferences and other rights as set forth therein.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Holders of Series B Preferred Shares are entitled to receive, when, as and if declared by the board of directors of the company, cumulative cash distributions on the liquidation preference of the Series B Preferred Shares at a rate equal to (1) 7.875% per annum of the liquidation preference per share for each quarterly distribution period from the original issue date of the Series B Preferred Shares to, but excluding, April 30, 2028, which we refer to as the Fixed Rate Period, and (2) the then applicable three-month LIBOR (as defined and described below) plus a spread of 4.985% per annum of the liquidation preference per share for each quarterly distribution period from April 30, 2028 through the redemption date of the Series B Preferred Shares, if any, which we refer to as the Floating Rate Period. A “distribution period” as used herein refers to the period commencing on and including a distribution payment date to, but excluding, the next distribution payment date, provided that (i) the initial distribution period commences on and includes March 13, 2018 and (ii) the distribution period commencing on April 30, 2028 will commence on April 30, 2028 irrespective of whether such day is a business day.</w:t>
      </w:r>
    </w:p>
    <w:p>
      <w:pPr>
        <w:spacing w:after="0" w:line="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Fixed Rate Period</w:t>
      </w:r>
      <w:r>
        <w:rPr>
          <w:rFonts w:ascii="Times New Roman" w:cs="Times New Roman" w:eastAsia="Times New Roman" w:hAnsi="Times New Roman"/>
          <w:sz w:val="20"/>
          <w:szCs w:val="20"/>
          <w:color w:val="auto"/>
        </w:rPr>
        <w:t>. Distributions payable on the Series B Preferred Shares for any distribution period that is included in the Fixed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Rate Period will be computed on the basis of a 360-day year consisting of twelve 30-day months. During the Fixed Rate Period, if any date on which distributions would otherwise be payable is not a business day, then the distribution will be paid on the next business day as if it were paid on the scheduled distribution payment date, and no interest or other amount will accrue on the distribution so payable for the period from and after that distribution payment date to the date the distribution is paid.</w:t>
      </w:r>
    </w:p>
    <w:p>
      <w:pPr>
        <w:spacing w:after="0" w:line="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u w:val="single" w:color="auto"/>
          <w:color w:val="auto"/>
        </w:rPr>
        <w:t>Floating Rate Period</w:t>
      </w:r>
      <w:r>
        <w:rPr>
          <w:rFonts w:ascii="Times New Roman" w:cs="Times New Roman" w:eastAsia="Times New Roman" w:hAnsi="Times New Roman"/>
          <w:sz w:val="20"/>
          <w:szCs w:val="20"/>
          <w:color w:val="auto"/>
        </w:rPr>
        <w:t>. Distributions payable on the Series B Preferred Shares for the Floating Rate Period will be computed based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actual number of days in a distribution period and a 360-day year. During the Floating Rate Period, if any date on which distributions would otherwise be payable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 a business day, then payment of any distribution payable on such date will be made on the next succeeding business day unless that day falls in the next calendar month, in which case the distribution payment date will be the immediately preceding business day, and, in either case, distributions will accrue to, but exclude, the actual date the distribution is paid.</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distribution rate during the Floating Rate Period will be reset quarterly (the first day of each distribution period will be a distribution reset date). The distribution rate for each distribution period in the Floating Rate Period will be determined by a calculation agent using three-month LIBOR as in effect on the second London banking day prior to the beginning of the distribution period, which date is the “distribution determination date” for the distribution period. The calculation agent then will add three-month LIBOR as determined on the distribution determination date and the applicable spread. Absent manifest error, the calculation agent’s determination of the distribution rate for a distribution period for the Series B Preferred Shares will be binding and conclusive on you, the transfer agent and us. A “London banking day” is any day on which dealings in deposits in U.S. dollars are transacted in the London interbank market.</w:t>
      </w:r>
    </w:p>
    <w:p>
      <w:pPr>
        <w:spacing w:after="0" w:line="8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distribution rate for a distribution period during the Floating Rate Period will be based on the three-month London interbank offered rate, which we refer to as “three-month LIBOR,” and will be determined as follows:</w:t>
      </w:r>
    </w:p>
    <w:p>
      <w:pPr>
        <w:spacing w:after="0" w:line="38" w:lineRule="exact"/>
        <w:rPr>
          <w:sz w:val="20"/>
          <w:szCs w:val="20"/>
          <w:color w:val="auto"/>
        </w:rPr>
      </w:pPr>
    </w:p>
    <w:p>
      <w:pPr>
        <w:jc w:val="both"/>
        <w:ind w:left="660" w:hanging="328"/>
        <w:spacing w:after="0" w:line="261" w:lineRule="auto"/>
        <w:tabs>
          <w:tab w:leader="none" w:pos="65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three-month LIBOR will be equal to the London interbank offered rate for deposits in U.S. dollars having an index maturity of three months, in amounts of at least $1,000,000, as such rate appears on “Reuters Page LIBOR01” at approximately 11:00 a.m. London time on the relevant distribution determination date.</w:t>
      </w:r>
    </w:p>
    <w:p>
      <w:pPr>
        <w:spacing w:after="0" w:line="73" w:lineRule="exact"/>
        <w:rPr>
          <w:rFonts w:ascii="Times New Roman" w:cs="Times New Roman" w:eastAsia="Times New Roman" w:hAnsi="Times New Roman"/>
          <w:sz w:val="20"/>
          <w:szCs w:val="20"/>
          <w:color w:val="auto"/>
        </w:rPr>
      </w:pPr>
    </w:p>
    <w:p>
      <w:pPr>
        <w:jc w:val="both"/>
        <w:ind w:left="660" w:hanging="328"/>
        <w:spacing w:after="0" w:line="249" w:lineRule="auto"/>
        <w:tabs>
          <w:tab w:leader="none" w:pos="65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such rate appears on “Reuters Page LIBOR01” or if the “Reuters Page LIBOR01” is not available at approximately 11:00 a.m. London time on the relevant distribution determination date, then the calculation agent will request the principal London offices of each of four major reference banks in the London interbank market, as selected by the calculation agent after consultation with us, to provide the calculation agent with its offered quotation for deposits in U.S. dollars for a period of three months, commencing on the related distribution reset date, to prime banks in the London interbank market, at approximately 11:00 a.m. London time on that distribution determination date that is representative of a single transaction in U.S. dollars in amounts of at least $1,000,000 in that market at that time. If at least two quotations are provided, three-month LIBOR will be the arithmetic mean (rounded upward if necessary, to the nearest 0.00001 of 1%) of those quotations. If fewer than two quotations are provided, three-month LIBOR will be the arithmetic mean (rounded upward if necessary, to the nearest 0.00001 of 1%) of the rates quoted at approximately 11:00 a.m. New York City time on that distribution determination date by three major banks in New York, New York, as selected by the calculation agent after consultation with us, for loans in U.S. dollars to leading European banks, for a period of three months commencing on the related distribution reset date that is representative of a single transaction in U.S. dollars in amounts of at least $1,000,000 in that market at that time. If no quotation is provided as described above, then if a calculation agent has not been appointed at such time, we will appoint a calculation agent who shall, after consulting such sources as it deems comparable to any of the foregoing quotations or display page, or any such source as it deems reasonable from which to estimate LIBOR or any of the foregoing lending rates, shall determine LIBOR for the second London banking day immediately preceding the first day of such distribution period in its sole discretion. If the calculation agent is unable or unwilling to determine LIBOR as provided in the immediately preceding sentence, then LIBOR will be equal to three-month LIBOR for the then current distribution period, or, in the case of the first distribution period in the Floating Rate Period, the most recent distribution rate that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81"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been determined based on the last available Reuters Page LIBOR01 had the Floating Rate Period been applicable prior to the first distribution period in the Floating Rate Period.</w:t>
      </w:r>
    </w:p>
    <w:p>
      <w:pPr>
        <w:spacing w:after="0" w:line="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Notwithstanding the foregoing, if we determine on the relevant distribution determination date that the LIBOR base rate has been discontinued, then we will appoint a calculation agent and the calculation agent will consult with an investment bank of national standing to determine whether there is an industry accepted substitute or successor base rate to three-month LIBOR. If, after such consultation, the calculation agent determines that there is an industry accepted substitute or successor base rate, the calculation agent shall use such substitute or successor base rate. In such case, the calculation agent in its sole discretion may (without implying a corresponding obligation to do so) also implement changes to the business day convention, the definition of business day, the distribution determination date and any method for obtaining the substitute or successor base rate if such rate is unavailable on the relevant business day, in a manner that is consistent with industry accepted practices for such substitute or successor base rate. Unless the calculation agent determines that there is an industry accepted substitute or successor base rate as so provided above, the calculation agent will, in consultation with us, follow the steps specified in clause (ii) in the immediately preceding paragraph in order to determine three-month LIBOR for the applicable distribution period.</w:t>
      </w:r>
    </w:p>
    <w:p>
      <w:pPr>
        <w:spacing w:after="0" w:line="6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As used herein, “calculation agent” shall mean a third party independent financial institution of national standing with experience providing such services, which will be appointed by us prior to April 30, 2028.</w:t>
      </w:r>
    </w:p>
    <w:p>
      <w:pPr>
        <w:spacing w:after="0" w:line="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the event we issue additional Series B Preferred Shares, distributions on such additional shares will accrue from the original issuance date of such additional shares or any other date we specify at the time such additional shares are issued. Distributions on the Series B Preferred Shares accumulate daily and are cumulative from, and including, the date of original issuance. The distributions payable on any distribution payment date include distributions accumulated to, but not including, such distribution payment date. Distributions on the Series B Preferred Shares are payable quarterly, in arrears, on January 30, April 30, July 30 and October 30 of each year.</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Declared distributions are payable on the relevant distribution payment date to holders of record as they appear on our share register at the close of business, New York City time, on the January 15, April 15, July 15 and October 15, as the case may be, immediately preceding the relevant distribution payment date. These record dates apply regardless of whether a particular record date is a business day, provided that if the record date is not a business day, the declared distributions are payable on the relevant distribution payment date to holders of record as they appear on the trust's share register at the close of business, New York City time, on the business day immediately preceding such record date. During the Fixed Rate Period, a “business day” means any day other than a Saturday, a Sunday or a day on which banks in The City of New York are required, permitted or authorized, by applicable law or executive order, to be closed for regular banking business, and during the Floating Rate Period, a ”business day” means any day that would be considered a business day during the Fixed Rate Period that is also a London banking day.</w:t>
      </w:r>
    </w:p>
    <w:p>
      <w:pPr>
        <w:spacing w:after="0" w:line="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Distributions on the Series B Preferred Shares accumulate whether or not (i) the terms and provisions of any laws or agreements referred to in the preceding paragraph at any time prohibit the current payment of distributions, (ii) we have earnings, (iii) there are funds legally available for the payment of those distributions and (iv) those distributions are declared. No interest, or sum in lieu of interest, is payable in respect of any distribution payment or payments on the Series B Preferred Shares which may be in arrears, and holders of Series B Preferred Shares are not entitled to any distributions in excess of full cumulative distributions described above. Any distribution payment made on the Series B Preferred Shares will first be credited against the earliest accumulated but unpaid distribution due with respect to those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Series B Preferred Shares rank junior to the allocation interests to the extent provided in the LLC agreement, and senior to the common shares to the extent provided in the trust agreement, with respect to the payment of distributions. Unless full cumulative distributions on the Series B Preferred Shares have been or contemporaneously are declared and paid or declared and set apart for payment on the Series B Preferred Shares for all past distribution periods, no distribution may be declared or paid or set apart for payment on the common shares (or on any other shares that the trust may issue in the future ranking, as to the payment of distributions, junior to the Series B Preferred Shares (together with the common shares, "Series B junior shares")), other than distributions paid in Series B junior shares or options, warrants or rights to subscribe for or purchase Series B junior shares, and we and our subsidiaries may not directly or indirectly repurchase, redeem or otherwise acquire for consideration common shares (or any Series B junior shares).</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board of directors of the company, or a duly authorized committee thereof, may, in its discretion, choose to cause the trust to pay distributions on the Series B Preferred Shares without the payment of any distributions on any Series B junior shares. No distributions may be declared or paid or set apart for payment on any Series B Preferred Shares if at the same time any arrears exist or default exists in the payment of distributions on any outstanding series of Series B senior shares (defined below), if any are issued.</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When distributions are not paid in full (or a sum sufficient for such full payment is not so set apart) upon the Series B Preferred Shares and our Series B parity shares (as defined below), all distributions declared upon the Series B Preferred Shares and such Series B parity shares must be declared pro rata so that the amount of distributions declared per Series B Preferred Share and such Series B parity shares will in all cases bear to each other the same ratio that accumulated distributions per share on the Series B Preferred Shares and such Series B parity shares (which will not include any accrual in respect of unpaid distributions for prior distribution periods if such other Series B parity shares do not have a cumulative distribution) bear to each other. No interest, or sum of money in lieu of interest, will be payable in respect of any distribution payment or payments on the Series B Preferred Shares which may be in arrears.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Ranking</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Series B Preferred Shares rank senior to the Series B junior shares with respect to payment of distributions and distribution of the trust's assets upon the trust's liquidation, dissolution or winding up. The Series B Preferred Shares rank equally with any equity securities, including our Series A Preferred Shares, Series C Preferred Shares and other preferred shares, that the trust may issue in the future, the terms of which provide that such securities will rank equally with the Series B Preferred Shares with respect to payment of distributions and distribution of the trust's assets upon its liquidation, dissolution or winding up ("Series B parity shares"). The Series B Preferred Shares rank junior to (i) all of the trust's existing and future indebtedness, and (ii) any of the trust's equity securities, including preferred shares, that the trust or the company may issue in the future, the terms of which provide that such securities will rank senior to the Series B Preferred Shares with respect to payment of distributions and distribution of the trust's assets upon its liquidation, dissolution or winding up (such equity securities, "Series B senior shares"). The Series B Preferred Shares rank junior to the company's allocation interests with respect to the payment of distributions prior to dissolution of the company, and equally with the company's allocation interests upon liquidation, dissolution or winding up of the company or the trust; provided however that the rights allocated to the allocation interest may reduce the amount distributable to the Series B Preferred Shares upon the liquidation, dissolution or winding up of the trust. Other than the company's allocation interests, there are no Series B senior shares or interests in the company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Maturity</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Series B Preferred Shares do not have a maturity date, and the trust is not required to redeem or repurchase the Series B Preferred Shares. Accordingly, the Series B Preferred Shares will remain outstanding indefinitely unless the board of directors of the company decides to cause the trust to redeem or repurchase them.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Redemption</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trust may not redeem the Series B Preferred Shares prior to April 30, 2028. On or after April 30, 2028, the board of directors of the company may cause the trust, at its option, out of funds legally available to redeem the Series B Preferred Shares, in whole or in part, upon not less than 30 nor more than 60 days' notice, at a price of $25.00 per Series B Preferred Share plus any accumulated and unpaid distributions thereon (whether or not authorized or declared) to, but excluding, the redemption date.</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Immediately prior to any redemption of Series B Preferred Shares, we will pay, in cash, any accumulated and unpaid distributions to, but excluding, the redemption date, unless a redemption date falls after a distribution record date and prior to the corresponding distribution payment date, in which case each holder of Series B Preferred Shares at the close of business on such distribution record date will be entitled to the distribution payable on such shares on the corresponding distribution payment date notwithstanding the redemption of such shares before such distribution payment date. Except as provided above, we will make no payment or allowance for unpaid distributions, whether or not in arrears, on the Series B Preferred Shares to be redeemed.</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Unless full cumulative distributions on all Series B Preferred Shares have been or contemporaneously are declared and paid or declared and a sum sufficient for the payment thereof has been or contemporaneously is set apart for payment for all past distribution periods, no Series B Preferred Shares may be redeemed unless all outstanding Series B Preferred Shares are simultaneously redeemed, and we may not purchase or otherwise acquire directly or indirectly any Series B Preferred Shares (except by conversion into or exchange for shares of, or options, warrants or rights to purchase or subscribe for, our common stock or other Series B junior shares we may issue or pursuant to a purchase or exchange offer made on the same terms to all holders of Series B Preferred Shares and all Series B parity shares).</w:t>
      </w:r>
    </w:p>
    <w:p>
      <w:pPr>
        <w:spacing w:after="0" w:line="71" w:lineRule="exact"/>
        <w:rPr>
          <w:sz w:val="20"/>
          <w:szCs w:val="20"/>
          <w:color w:val="auto"/>
        </w:rPr>
      </w:pPr>
    </w:p>
    <w:p>
      <w:pPr>
        <w:ind w:right="2240"/>
        <w:spacing w:after="0" w:line="422" w:lineRule="auto"/>
        <w:rPr>
          <w:sz w:val="20"/>
          <w:szCs w:val="20"/>
          <w:color w:val="auto"/>
        </w:rPr>
      </w:pPr>
      <w:r>
        <w:rPr>
          <w:rFonts w:ascii="Times New Roman" w:cs="Times New Roman" w:eastAsia="Times New Roman" w:hAnsi="Times New Roman"/>
          <w:sz w:val="20"/>
          <w:szCs w:val="20"/>
          <w:color w:val="auto"/>
        </w:rPr>
        <w:t xml:space="preserve">Holders of the Series B Preferred Shares have no right to require the redemption of the Series B Preferred Shares. </w:t>
      </w:r>
      <w:r>
        <w:rPr>
          <w:rFonts w:ascii="Times New Roman" w:cs="Times New Roman" w:eastAsia="Times New Roman" w:hAnsi="Times New Roman"/>
          <w:sz w:val="20"/>
          <w:szCs w:val="20"/>
          <w:b w:val="1"/>
          <w:bCs w:val="1"/>
          <w:i w:val="1"/>
          <w:iCs w:val="1"/>
          <w:color w:val="auto"/>
        </w:rPr>
        <w:t>Repurchase at the Option of Holders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a Series B Fundamental Change (as defined below) occurs, unless, prior to or concurrently with the time the board of directors of the company is required to cause the trust to make a Series B Fundamental Change Offer (as described below), the board of directors of the company has caused the company to previously or concurrently mail or transmit electronically a redemption notice with respect to all of the outstanding Series B Preferred Shares, the board of directors of the company will cause the trust to make an offer to purchase all of the Series B Preferred Shares pursuant to the offer described below (the "Series B Fundamental Change Offer"), out of funds received by the trust on the Series B Trust Preferred Interests (as defined below under "—Series B Trust Preferred Interests") and legally available, at a price in cash (the “Series B Fundamental Change Payment”) of $25.25 per Series B Preferred Share, plus any accumulated and unpaid distributions thereon (whether or not authorized or declared) to, but excluding, the Series B Fundamental Change Payment Date (as defined below). Within 30 days following any Series B Fundamental Change, the board of directors of the company will cause the trust to send notice of such Series B Fundamental Change Offer by first class mail to each holder of Series B Preferred Shares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otherwise in accordance with the procedures of the Depository Trust Company with the following information:</w:t>
      </w:r>
    </w:p>
    <w:p>
      <w:pPr>
        <w:spacing w:after="0" w:line="121" w:lineRule="exact"/>
        <w:rPr>
          <w:sz w:val="20"/>
          <w:szCs w:val="20"/>
          <w:color w:val="auto"/>
        </w:rPr>
      </w:pPr>
    </w:p>
    <w:p>
      <w:pPr>
        <w:jc w:val="both"/>
        <w:ind w:left="660" w:hanging="328"/>
        <w:spacing w:after="0" w:line="261" w:lineRule="auto"/>
        <w:tabs>
          <w:tab w:leader="none" w:pos="64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 Series B Fundamental Change Offer is being made pursuant to the share designation designating the Series B Preferred Shares and that all Series B Preferred Shares properly tendered pursuant to such Series B Fundamental Change Offer will be accepted for payment by the trust;</w:t>
      </w:r>
    </w:p>
    <w:p>
      <w:pPr>
        <w:spacing w:after="0" w:line="59"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and the purchase date, which will be no earlier than 30 days nor later than 60 days from the date such notice is mailed (the “Series B Fundamental Change Payment Date”);</w:t>
      </w:r>
    </w:p>
    <w:p>
      <w:pPr>
        <w:spacing w:after="0" w:line="5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Series B Preferred Share not properly tendered will remain outstanding and distributions will continue to accumulate on such shares;</w:t>
      </w:r>
    </w:p>
    <w:p>
      <w:pPr>
        <w:spacing w:after="0" w:line="64"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trust defaults in the payment pursuant to the Series B Fundamental Change Offer, all Series B Preferred Shares accepted for payment pursuant to the Series B Fundamental Change Offer will be cancelled and cease to be outstanding on the Series B Fundamental Change Payment Date;</w:t>
      </w:r>
    </w:p>
    <w:p>
      <w:pPr>
        <w:spacing w:after="0" w:line="73"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instructions determined by the company, consistent with this covenant, that a holder of Series B Preferred Shares must follow in order to have its Series B Preferred Shares purchased; and</w:t>
      </w:r>
    </w:p>
    <w:p>
      <w:pPr>
        <w:spacing w:after="0" w:line="64"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notice is mailed prior to the occurrence of a Series B Fundamental Change, that such offer is conditioned on the occurrence of such Series B Fundamental Change.</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will not be required to cause the trust to make a Series B Fundamental Change Offer upon a Series B Fundamental Change if a third party makes the Series B Fundamental Change Offer in the manner, at the times and otherwise in compliance with the requirements set forth in the share designation designating the Series B Preferred Shares applicable to a Series B Fundamental Change Offer made by the trust and purchases all Series B Preferred Shares validly tendered and not withdrawn under such Series B Fundamental Change Offer.</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and the trust will comply, to the extent applicable, with the requirements of Section 14(e) of the Exchange Act and any other securities laws or regulations in connection with the repurchase of Series B Preferred Shares pursuant to this covenant. To the extent the provisions of any securities laws or regulations conflict with provisions of the share designation designating the Series B Preferred Shares, the company and the trust will comply with the applicable securities laws and regulations and will not be deemed to have breached their obligations described in such share designation by virtue thereof.</w:t>
      </w:r>
    </w:p>
    <w:p>
      <w:pPr>
        <w:spacing w:after="0" w:line="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the Series B Fundamental Change Payment Date, the board of directors of the company shall cause the trust, to the extent permitted by law and to the extent of funds received by the trust on the Series B Trust Preferred Interests, to:</w:t>
      </w:r>
    </w:p>
    <w:p>
      <w:pPr>
        <w:spacing w:after="0" w:line="38" w:lineRule="exact"/>
        <w:rPr>
          <w:sz w:val="20"/>
          <w:szCs w:val="20"/>
          <w:color w:val="auto"/>
        </w:rPr>
      </w:pPr>
    </w:p>
    <w:p>
      <w:pPr>
        <w:ind w:left="640" w:hanging="308"/>
        <w:spacing w:after="0"/>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for payment all Series B Preferred Shares properly tendered pursuant to the Series B Fundamental Change Offer;</w:t>
      </w:r>
    </w:p>
    <w:p>
      <w:pPr>
        <w:spacing w:after="0" w:line="121"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the paying agent an amount equal to the aggregate payment pursuant to the Series B Fundamental Change Offer in respect of all Series B Preferred Shares so tendered; and</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 the Series B Preferred Shares so accepted.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(i) a Series B Fundamental Change occurs and (ii) (x) we do not give notice prior to the 31st day following the Series B Fundamental Change of either (1) a Series B Fundamental Change Offer or (2) the intention to redeem all the outstanding Series B Preferred Shares or (y) we default upon our obligation to repurchase or redeem the Series B Preferred Shares on the Series B Fundamental Change Payment Date or redemption date, the distribution rate per annum on the Series B Preferred Shares will increase by 5.00%, beginning on the 31st day following such Series B Fundamental Change. Notwithstanding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requirement that we offer to repurchase or redeem all the outstanding Series B Preferred Shares, the increase in the distribution rate per annum described in the immediately preceding sentence is the sole remedy to holders of Series B Preferred Shares upon the occurrence of any of the events described in the immediately preceding sentence. Following any such increase in the distribution rate per annum, we will be under no further obligation to offer to repurchase or redeem any Series B Preferred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“Fundamental Change” means the occurrence of the following:</w:t>
      </w:r>
    </w:p>
    <w:p>
      <w:pPr>
        <w:spacing w:after="0" w:line="121" w:lineRule="exact"/>
        <w:rPr>
          <w:sz w:val="20"/>
          <w:szCs w:val="20"/>
          <w:color w:val="auto"/>
        </w:rPr>
      </w:pPr>
    </w:p>
    <w:p>
      <w:pPr>
        <w:jc w:val="both"/>
        <w:ind w:left="660" w:hanging="328"/>
        <w:spacing w:after="0" w:line="258" w:lineRule="auto"/>
        <w:tabs>
          <w:tab w:leader="none" w:pos="64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Series B Preferred Shares (or preferred shares into which the Series B Preferred Shares have been converted or for which the Series B Preferred Shares have been exchanged in accordance with the provisions described below under “— Voting Rights”) cease to be listed or quoted on any of the New York Stock Exchange, the Nasdaq Global Select Market or the Nasdaq Global Market (or any of their successors) or another U.S. national securities exchange for a period of 20 consecutive trading days; or</w:t>
      </w:r>
    </w:p>
    <w:p>
      <w:pPr>
        <w:spacing w:after="0" w:line="64" w:lineRule="exact"/>
        <w:rPr>
          <w:rFonts w:ascii="Times New Roman" w:cs="Times New Roman" w:eastAsia="Times New Roman" w:hAnsi="Times New Roman"/>
          <w:sz w:val="20"/>
          <w:szCs w:val="20"/>
          <w:color w:val="auto"/>
        </w:rPr>
      </w:pPr>
    </w:p>
    <w:p>
      <w:pPr>
        <w:jc w:val="both"/>
        <w:ind w:left="660" w:hanging="328"/>
        <w:spacing w:after="0" w:line="257" w:lineRule="auto"/>
        <w:tabs>
          <w:tab w:leader="none" w:pos="64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trust (or the issuer of preferred shares into which the Series B Preferred Shares have been converted or for which the Series B Preferred Shares have been exchanged in accordance with the provisions described below under “— Voting Rights”) are no longer subject to, and are not voluntarily filing the annual reports, information, documents and other reports that the company and the trust would be so required to file if so subject to, the reporting requirements of Section 13(a) or 15(d) of the Exchange Act.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Holders of the Series B Preferred Shares generally have no voting rights. However, if and whenever distributions on any Series B Preferred Shares are in arrears for six or more full quarterly distribution periods (whether or not consecutive), the number of directors then constituting the board of directors of the company will be increased by two (if not already increased by two by reason of the election of directors by the holders of any other class or series of Series B parity shares upon which like voting rights have been conferred and are exercisable) and the holders of the Series B Preferred Shares, voting together as a single class with the holders of any other series of Series B parity shares then outstanding upon which like voting rights have been conferred and are exercisable (any such other series, the "Series B voting preferred shares"), will have the right to elect these two additional directors at a meeting of the holders of the Series B Preferred Shares and such other Series B voting preferred shares. When all distributions accumulated on the Series B Preferred Shares for all past distribution periods and the then current distribution period have been fully paid, the right of the holders of the Series B Preferred Shares and any other Series B voting preferred shares to elect these two additional directors will cease and, unless there are other classes or series of Series B parity shares upon which like voting rights have been conferred and are exercisable, the terms of office of these two directors will terminate and the number of directors constituting the board of directors of the company will be reduced accordingly.</w:t>
      </w:r>
    </w:p>
    <w:p>
      <w:pPr>
        <w:spacing w:after="0" w:line="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approval of two-thirds of the votes entitled to be cast by the holders of outstanding Series B Preferred Shares and all other series of Series B voting preferred shares, acting as a single class regardless of series, at a meeting of shareholders, is required in order (i) to amend, alter or repeal any provisions of the trust agreement relating to the Series B Preferred Shares or other series of Series B voting preferred shares, whether by merger, consolidation or otherwise, to affect materially and adversely the voting powers, rights or preferences of the holders of the Series B Preferred Shares or other series of Series B voting preferred shares, unless in connection with any such amendment, alteration or repeal, each Series B Preferred Share and any other Series B voting preferred share remains outstanding without the terms thereof being materially changed in any respect adverse to the holders thereof or is converted into or exchanged for preferred shares of the surviving entity having preferences, conversion and other rights, voting powers, restrictions, limitations as to distributions, qualifications and terms and conditions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redemption thereof substantially similar to those of the Series B Preferred Shares or any other series of Series B voting preferred shares, as the case may be, or (ii) to authorize, create or increase the authorized amount of, any class or series of preferred shares having rights senior to the Series B Preferred Shares with respect to the payment of distributions or amounts upon liquidation, dissolution or winding up; provided, however, that in the case of clause (i) above, if such amendment affects materially and adversely the rights, preferences, privileges or voting powers of one or more but not all of the classes or series of Series B voting preferred shares (including the Series B Preferred Shares for this purpose), only the consent of the holders of at least two-thirds of the outstanding shares of the classes or series so affected, voting as a class, is required in lieu of (or, if such consent is required by law, in addition to) the consent of the holders of two-thirds of the Series B voting preferred shares (including the Series B Preferred Shares for this purpose) as a class.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Amount Payable in Liquidation</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Upon any Liquidation, each holder of the Series B Preferred Shares will be entitled to a payment out of the trust's assets available for distribution to the holders of the Series B Preferred Shares following the satisfaction of all claims ranking senior to the Series B Preferred Shares. Such payment will be equal to their preferred capital account balance (the "Series B Preferred Share Liquidation Value").</w:t>
      </w:r>
    </w:p>
    <w:p>
      <w:pPr>
        <w:spacing w:after="0" w:line="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capital account balance for each Series B Preferred Share equals $25.00 initially and is increased each year by an allocation of gross income (excluding capital gains) recognized by us (including any gross income recognized in the year of Liquidation). The allocations of gross income to the capital account balances for the Series B Preferred Shares in any year will not exceed the sum of the amount of distributions paid on the Series B Preferred Shares during such year. If the board of directors of the company declares a distribution on the Series B Preferred Shares, the amount of the distribution paid on each such Series B Preferred Share will be deducted from the capital account balance for such Series B Preferred Share, whether or not such capital account balance received an allocation of gross income in respect of such distribution. The allocation of gross income to the capital account balances for the Series B Preferred Shares is intended to entitle the holders of the Series B Preferred Shares to a preference over the holders of outstanding common shares upon the trust's Liquidation, to the extent required to permit each holder of a Series B Preferred Share to receive the Series B Preferred Share Liquidation Value in respect of such share. In addition, a special allocation of gross income (from any source) in the year of Liquidation will be made if necessary so that a holder's preferred capital account balance equals the Series B Preferred Share Liquidation Value. If, however, the trust were to have insufficient gross income to achieve this result, then the amount that a holder of Series B Preferred Shares would receive upon liquidation may be less than the Series B Preferred Share Liquidation Value.</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After each holder of Series B Preferred Shares receives a payment equal to the capital account balance for such holder's shares (even if such payment is less than the Series B Preferred Share Liquidation Value of such holder's shares), holders will not be entitled to any further participation in any distribution of the trust's assets.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any period in which the trust is an association taxable as a corporation for U.S. federal income tax purposes, the capital account balance for each Series B Preferred Share will be deemed equal to the sum of $25.00 per Series B Preferred Share and declared and unpaid distributions, if any, to, but excluding, the date of the liquidation, dissolution or winding up of the trust on the Series B Preferred Shares, with the intent to provide holders of Series B Preferred Shares the same rights to liquidation proceeds regardless of whether the trust is taxable as a partnership or a corporation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Series B Preferred Shares are not convertible into common shares or any other class or series of shares or any other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Series B Trust Preferred Interests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Series B Preferred Share corresponds to one underlying trust preferred interest of the company held by the trust of the same class and series, and with corresponding rights, powers and duties, as the Series B Preferred Shares (the "Series B Trust Preferred Interests"). Unless the trust is dissolved, it must remain the holder of 100% of the company's trust interests, including the Series B Trust Preferred Interests, and, at all times, the trust will have outstanding the identical number of common shares and preferred shares, including the Series B Preferred Shares, as the number of outstanding trust common interests and trust preferred interests, including the Series B Trust Preferred Interests, of the company that are of the corresponding class and series.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Series C Preferred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November 20, 2019, the trust executed a share designation, which was amended and restated on August 3, 2021 and further amended on March 20, 2024 and September 4, 2024 (as so amended and restated and further amended, the “Series C Share Designation”). The Series C Share Designation designates 8,468,682 shares of the preferred shares of the trust, no par value, as the Series C Preferred Shares with the powers, designations, preferences and other rights as set forth therein.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Holders of Series C Preferred Shares are entitled to receive, when, as and if declared by the board of directors of the company, cumulative cash distributions on the liquidation preference of the Series C Preferred Shares at a rate equal to 7.875% per annum of the liquidation preference per share for each quarterly distribution period from the original issue date of the Series C Preferred Shares through the redemption date of the Series C Preferred Shares, if any. A “distribution period” as used herein refers to the period from and including a distribution payment date to, but excluding, the next distribution payment date, provided that the initial distribution period commences on and includes November 20, 2019. Distributions payable on the Series C Preferred Shares for any distribution period will be computed on the basis of a 360-day year consisting of twelve 30-day months.</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the event we issue additional Series C Preferred Shares, distributions on such additional shares will accrue from the original issuance date of such additional shares or any other date we specify at the time such additional shares are issued. Distributions on the Series C Preferred Shares accumulate daily and are cumulative from, and including, the date of original issuance. The distributions payable on any distribution payment date include distributions accumulated to, but not including, such distribution payment date. Distributions on the Series C Preferred Shares are payable quarterly, in arrears, on January 30, April 30, July 30 and October 30 of each year. Declared distributions are payable on the relevant distribution payment date to holders of record as they appear on our share register at the close of business, New York City time, on the January 15, April 15, July 15 and October 15, as the case may be, immediately preceding the relevant distribution payment date. These record dates apply regardless of whether a particular record date is a business day, provided that if the record date is not a business day, the declared distributions are payable on the relevant distribution payment date to holders of record as they appear on the trust's share register at the close of business, New York City time, on the business day immediately preceding such record date. A “business day” as used herein means any day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8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Saturday, a Sunday or a day on which banks in The City of New York are required, permitted or authorized, by applicable law or executive order, to be closed for regular banking business.</w:t>
      </w:r>
    </w:p>
    <w:p>
      <w:pPr>
        <w:spacing w:after="0" w:line="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Distributions on the Series C Preferred Shares accumulate whether or not (i) the terms and provisions of any laws or agreements referred to in the preceding paragraph at any time prohibit the current payment of distributions, (ii) we have earnings, (iii) there are funds legally available for the payment of those distributions and (iv) those distributions are declared. No interest, or sum in lieu of interest, is payable in respect of any distribution payment or payments on the Series C Preferred Shares which may be in arrears, and holders of Series C Preferred Shares are not entitled to any distributions in excess of full cumulative distributions described above. Any distribution payment made on the Series C Preferred Shares will first be credited against the earliest accumulated but unpaid distribution due with respect to those shares.</w:t>
      </w:r>
    </w:p>
    <w:p>
      <w:pPr>
        <w:spacing w:after="0" w:line="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Series C Preferred Shares rank junior to the allocation interests to the extent provided in the LLC agreement, and senior to the common shares to the extent provided in the trust agreement, with respect to the payment of distributions. Unless full cumulative distributions on the Series C Preferred Shares have been or contemporaneously are declared and paid or declared and set apart for payment on the Series C Preferred Shares for all past distribution periods, no distribution may be declared or paid or set apart for payment on the common shares (or on any other shares that the trust may issue in the future ranking, as to the payment of distributions, junior to the Series C Preferred Shares (together with the common shares, "Series C junior shares")), other than distributions paid in Series C junior shares or options, warrants or rights to subscribe for or purchase Series C junior shares, and we and our subsidiaries may not directly or indirectly repurchase, redeem or otherwise acquire for consideration common shares (or any Series C junior shares).</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board of directors of the company, or a duly authorized committee thereof, may, in its discretion, choose to cause the trust to pay distributions on the Series C Preferred Shares without the payment of any distributions on any Series C junior shares. No distributions may be declared or paid or set apart for payment on any Series C Preferred Shares if at the same time any arrears exist or default exists in the payment of distributions on any outstanding series of Series C senior shares (defined below), if any are issued.</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When distributions are not paid in full (or a sum sufficient for such full payment is not so set apart) upon the Series C Preferred Shares and our Series C parity shares (as defined below), all distributions declared upon the Series C Preferred Shares and such Series C parity shares must be declared pro rata so that the amount of distributions declared per Series C Preferred Share and such Series C parity shares will in all cases bear to each other the same ratio that accumulated distributions per share on the Series C Preferred Shares and such Series C parity shares (which will not include any accrual in respect of unpaid distributions for prior distribution periods if such other Series C parity shares do not have a cumulative distribution) bear to each other. No interest, or sum of money in lieu of interest, will be payable in respect of any distribution payment or payments on the Series C Preferred Shares which may be in arrears.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Ranking</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Series C Preferred Shares rank senior to the Series C junior shares with respect to payment of distributions and distribution of the trust's assets upon the trust's liquidation, dissolution or winding up. The Series C Preferred Shares rank equally with any equity securities, including our Series A Preferred Shares, Series B Preferred Shares and other preferred shares, that the trust may issue in the future, the terms of which provide that such securities will rank equally with the Series C Preferred Shares with respect to payment of distributions and distribution of the trust's assets upon its liquidation, dissolution or winding up ("Series C parity shares"). The Series C Preferred Shares rank junior to (i) all of the trust's existing and future indebtedness, and (ii) any of the trust's equity securities, including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that the trust or the company may issue in the future, the terms of which provide that such securities will rank senior to the Series C Preferred Shares with respect to payment of distributions and distribution of the trust's assets upon its liquidation, dissolution or winding up (such equity securities, "Series C senior shares"). The Series C Preferred Shares rank junior to the company's allocation interests with respect to the payment of distributions prior to dissolution of the company, and equally with the company's allocation interests upon liquidation, dissolution or winding up of the company or the trust; provided however that the rights allocated to the allocation interest may reduce the amount distributable to the Series C Preferred Shares upon the liquidation, dissolution or winding up of the trust. Other than the company's allocation interests, there are no Series C senior shares or interests in the company outstanding.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Maturity</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Series C Preferred Shares do not have a maturity date, and the trust is not required to redeem or repurchase the Series C Preferred Shares. Accordingly, the Series C Preferred Shares will remain outstanding indefinitely unless the board of directors of the company decides to cause the trust to redeem or repurchase them.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Redemption</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trust may not redeem the Series C Preferred Shares prior to January 30, 2025. On or after January 30, 2025, the board of directors of the company may cause the trust, at its option, out of funds legally available to redeem the Series C Preferred Shares, in whole or in part, upon not less than 30 nor more than 60 days' notice, at a price of $25.00 per Series C Preferred Share plus any accumulated and unpaid distributions thereon (whether or not authorized or declared) to, but excluding, the redemption date.</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Immediately prior to any redemption of Series C Preferred Shares, we will pay, in cash, any accumulated and unpaid distributions to, but excluding, the redemption date, unless a redemption date falls after a distribution record date and prior to the corresponding distribution payment date, in which case each holder of Series C Preferred Shares at the close of business on such distribution record date will be entitled to the distribution payable on such shares on the corresponding distribution payment date notwithstanding the redemption of such shares before such distribution payment date. Except as provided above, we will make no payment or allowance for unpaid distributions, whether or not in arrears, on the Series C Preferred Shares to be redeemed.</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Unless full cumulative distributions on all Series C Preferred Shares have been or contemporaneously are declared and paid or declared and a sum sufficient for the payment thereof has been or contemporaneously is set apart for payment for all past distribution periods, no Series C Preferred Shares may be redeemed unless all outstanding Series C Preferred Shares are simultaneously redeemed, and we may not purchase or otherwise acquire directly or indirectly any Series C Preferred Shares (except by conversion into or exchange for shares of, or options, warrants or rights to purchase or subscribe for, our common stock or other Series C junior shares we may issue or pursuant to a purchase or exchange offer made on the same terms to all holders of Series C Preferred Shares and all Series C parity shares).</w:t>
      </w:r>
    </w:p>
    <w:p>
      <w:pPr>
        <w:spacing w:after="0" w:line="84" w:lineRule="exact"/>
        <w:rPr>
          <w:sz w:val="20"/>
          <w:szCs w:val="20"/>
          <w:color w:val="auto"/>
        </w:rPr>
      </w:pPr>
    </w:p>
    <w:p>
      <w:pPr>
        <w:ind w:right="2240"/>
        <w:spacing w:after="0" w:line="415" w:lineRule="auto"/>
        <w:rPr>
          <w:sz w:val="20"/>
          <w:szCs w:val="20"/>
          <w:color w:val="auto"/>
        </w:rPr>
      </w:pPr>
      <w:r>
        <w:rPr>
          <w:rFonts w:ascii="Times New Roman" w:cs="Times New Roman" w:eastAsia="Times New Roman" w:hAnsi="Times New Roman"/>
          <w:sz w:val="20"/>
          <w:szCs w:val="20"/>
          <w:color w:val="auto"/>
        </w:rPr>
        <w:t xml:space="preserve">Holders of the Series C Preferred Shares have no right to require the redemption of the Series C Preferred Shares. </w:t>
      </w:r>
      <w:r>
        <w:rPr>
          <w:rFonts w:ascii="Times New Roman" w:cs="Times New Roman" w:eastAsia="Times New Roman" w:hAnsi="Times New Roman"/>
          <w:sz w:val="20"/>
          <w:szCs w:val="20"/>
          <w:b w:val="1"/>
          <w:bCs w:val="1"/>
          <w:i w:val="1"/>
          <w:iCs w:val="1"/>
          <w:color w:val="auto"/>
        </w:rPr>
        <w:t>Repurchase at the Option of Holders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a Series C Fundamental Change (as defined below) occurs, unless, prior to or concurrently with the time the board of directors of the company is required to cause the trust to make a Series C Fundamental Change Offer (as described below), the board of directors of the company has caused the company to previously or concurrently mail or transmit electronically a redemption notice with respect to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outstanding Series C Preferred Shares, the board of directors of the company will cause the trust to make an offer to purchase all of the Series C Preferred Shares pursuant to the offer described below (the "Series C Fundamental Change Offer"), out of funds received by the trust on the Series C Trust Preferred Interests (as defined below under "—Series C Trust Preferred Interests") and legally available, at a price in cash (the “Series C Fundamental Change Payment”) of $25.25 per Series C Preferred Share, plus any accumulated and unpaid distributions thereon (whether or not authorized or declared) to, but excluding, the Series C Fundamental Change Payment Date (as defined below). Within 30 days following any Series C Fundamental Change, the board of directors of the company will cause the trust to send notice of such Series C Fundamental Change Offer by first class mail to each holder of Series C Preferred Shares or otherwise in accordance with the procedures of the Depository Trust Company with the following information:</w:t>
      </w:r>
    </w:p>
    <w:p>
      <w:pPr>
        <w:spacing w:after="0" w:line="87" w:lineRule="exact"/>
        <w:rPr>
          <w:sz w:val="20"/>
          <w:szCs w:val="20"/>
          <w:color w:val="auto"/>
        </w:rPr>
      </w:pPr>
    </w:p>
    <w:p>
      <w:pPr>
        <w:jc w:val="both"/>
        <w:ind w:left="660" w:hanging="328"/>
        <w:spacing w:after="0" w:line="261" w:lineRule="auto"/>
        <w:tabs>
          <w:tab w:leader="none" w:pos="64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 Series C Fundamental Change Offer is being made pursuant to the share designation designating the Series C Preferred Shares and that all Series C Preferred Shares properly tendered pursuant to such Series C Fundamental Change Offer will be accepted for payment by the trust;</w:t>
      </w:r>
    </w:p>
    <w:p>
      <w:pPr>
        <w:spacing w:after="0" w:line="73"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and the purchase date, which will be no earlier than 30 days nor later than 60 days from the date such notice is mailed (the “Series C Fundamental Change Payment Date”);</w:t>
      </w:r>
    </w:p>
    <w:p>
      <w:pPr>
        <w:spacing w:after="0" w:line="64"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Series C Preferred Share not properly tendered will remain outstanding and distributions will continue to accumulate on such shares;</w:t>
      </w:r>
    </w:p>
    <w:p>
      <w:pPr>
        <w:spacing w:after="0" w:line="64"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trust defaults in the payment pursuant to the Series C Fundamental Change Offer, all Series C Preferred Shares accepted for payment pursuant to the Series C Fundamental Change Offer will be cancelled and cease to be outstanding on the Series C Fundamental Change Payment Date;</w:t>
      </w:r>
    </w:p>
    <w:p>
      <w:pPr>
        <w:spacing w:after="0" w:line="73"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instructions determined by the company, consistent with this covenant, that a holder of Series C Preferred Shares must follow in order to have its Series C Preferred Shares purchased; and</w:t>
      </w:r>
    </w:p>
    <w:p>
      <w:pPr>
        <w:spacing w:after="0" w:line="64"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notice is mailed prior to the occurrence of a Series C Fundamental Change, that such offer is conditioned on the occurrence of such Series C Fundamental Change.</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will not be required to cause the trust to make a Series C Fundamental Change Offer upon a Series C Fundamental Change if a third party makes the Series C Fundamental Change Offer in the manner, at the times and otherwise in compliance with the requirements set forth in the share designation designating the Series C Preferred Shares applicable to a Series C Fundamental Change Offer made by the trust and purchases all Series C Preferred Shares validly tendered and not withdrawn under such Series C Fundamental Change Offer.</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and the trust will comply, to the extent applicable, with the requirements of Section 14(e) of the Exchange Act and any other securities laws or regulations in connection with the repurchase of Series C Preferred Shares pursuant to this covenant. To the extent the provisions of any securities laws or regulations conflict with provisions of the share designation designating the Series C Preferred Shares, the company and the trust will comply with the applicable securities laws and regulations and will not be deemed to have breached their obligations described in such share designation by virtue thereof.</w:t>
      </w:r>
    </w:p>
    <w:p>
      <w:pPr>
        <w:spacing w:after="0" w:line="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the Series C Fundamental Change Payment Date, the board of directors of the company shall cause the trust, to the extent permitted by law and to the extent of funds received by the trust on the Series C Trust Preferred Interests, to:</w:t>
      </w:r>
    </w:p>
    <w:p>
      <w:pPr>
        <w:spacing w:after="0" w:line="52" w:lineRule="exact"/>
        <w:rPr>
          <w:sz w:val="20"/>
          <w:szCs w:val="20"/>
          <w:color w:val="auto"/>
        </w:rPr>
      </w:pPr>
    </w:p>
    <w:p>
      <w:pPr>
        <w:ind w:left="640" w:hanging="308"/>
        <w:spacing w:after="0"/>
        <w:tabs>
          <w:tab w:leader="none" w:pos="6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for payment all Series C Preferred Shares properly tendered pursuant to the Series C Fundamental Change Offer;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6"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81" w:lineRule="exact"/>
        <w:rPr>
          <w:sz w:val="20"/>
          <w:szCs w:val="20"/>
          <w:color w:val="auto"/>
        </w:rPr>
      </w:pPr>
    </w:p>
    <w:p>
      <w:pPr>
        <w:ind w:left="660" w:right="20" w:hanging="328"/>
        <w:spacing w:after="0" w:line="283" w:lineRule="auto"/>
        <w:tabs>
          <w:tab w:leader="none" w:pos="64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the paying agent an amount equal to the aggregate payment pursuant to the Series C Fundamental Change Offer in respect of all Series C Preferred Shares so tendered; and</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 the Series C Preferred Shares so accepted.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If (i) a Series C Fundamental Change occurs and (ii) (x) we do not give notice prior to the 31st day following the Series C Fundamental Change of either (1) a Series C Fundamental Change Offer or (2) the intention to redeem all the outstanding Series C Preferred Shares or (y) we default upon our obligation to repurchase or redeem the Series C Preferred Shares on the Series C Fundamental Change Payment Date or redemption date, the distribution rate per annum on the Series C Preferred Shares will increase by 5.00%, beginning on the 31st day following such Series C Fundamental Change. Notwithstanding any requirement that we offer to repurchase or redeem all the outstanding Series C Preferred Shares, the increase in the distribution rate per annum described in the immediately preceding sentence is the sole remedy to holders of Series C Preferred Shares upon the occurrence of any of the events described in the immediately preceding sentence. Following any such increase in the distribution rate per annum, we will be under no further obligation to offer to repurchase or redeem any Series C Preferred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“Fundamental Change” means the occurrence of the following:</w:t>
      </w:r>
    </w:p>
    <w:p>
      <w:pPr>
        <w:spacing w:after="0" w:line="121" w:lineRule="exact"/>
        <w:rPr>
          <w:sz w:val="20"/>
          <w:szCs w:val="20"/>
          <w:color w:val="auto"/>
        </w:rPr>
      </w:pPr>
    </w:p>
    <w:p>
      <w:pPr>
        <w:jc w:val="both"/>
        <w:ind w:left="660" w:hanging="328"/>
        <w:spacing w:after="0" w:line="258" w:lineRule="auto"/>
        <w:tabs>
          <w:tab w:leader="none" w:pos="64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Series C Preferred Shares (or preferred shares into which the Series C Preferred Shares have been converted or for which the Series C Preferred Shares have been exchanged in accordance with the provisions described below under “— Voting Rights”) cease to be listed or quoted on any of the New York Stock Exchange, the Nasdaq Global Select Market or the Nasdaq Global Market (or any of their successors) or another U.S. national securities exchange for a period of 20 consecutive trading days; or</w:t>
      </w:r>
    </w:p>
    <w:p>
      <w:pPr>
        <w:spacing w:after="0" w:line="64"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trust (or the issuer of preferred shares into which the Series C Preferred Shares have been converted or for which the Series C Preferred Shares have been exchanged in accordance with the provisions described below under “— Voting Rights”) are no longer subject to, and are not voluntarily filing the annual reports, information, documents and other reports that the company and the trust would be so required to file if so subject to, the reporting requirements of Section 13(a) or 15(d) of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Holders of the Series C Preferred Shares generally have no voting rights. However, if and whenever distributions on any Series C Preferred Shares are in arrears for six or more full quarterly distribution periods (whether or not consecutive), the number of directors then constituting the board of directors of the company will be increased by two (if not already increased by two by reason of the election of directors by the holders of any other class or series of Series C parity shares upon which like voting rights have been conferred and are exercisable) and the holders of the Series C Preferred Shares, voting together as a single class with the holders of any other series of Series C parity shares then outstanding upon which like voting rights have been conferred and are exercisable (any such other series, the "Series C voting preferred shares"), will have the right to elect these two additional directors at a meeting of the holders of the Series C Preferred Shares and such other Series C voting preferred shares. When all distributions accumulated on the Series C Preferred Shares for all past distribution periods and the then current distribution period have been fully paid, the right of the holders of the Series C Preferred Shares and any other Series C voting preferred shares to elect these two additional directors will cease and, unless there are other classes or series of Series C parity shares upon which like voting rights have been conferred and are exercisable, the terms of office of these two directors will terminate and the number of directors constituting the board of directors of the company will be reduced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approval of two-thirds of the votes entitled to be cast by the holders of outstanding Series C Preferred Shares and all other series of Series C voting preferred shares, acting as a single class regardless of series, at a meeting of shareholders, is required in order (i) to amend, alter or repeal any provisions of the trust agreement relating to the Series C Preferred Shares or other series of Series C voting preferred shares, whether by merger, consolidation or otherwise, to affect materially and adversely the voting powers, rights or preferences of the holders of the Series C Preferred Shares or other series of Series C voting preferred shares, unless in connection with any such amendment, alteration or repeal, each Series C Preferred Share and any other Series C voting preferred share remains outstanding without the terms thereof being materially changed in any respect adverse to the holders thereof or is converted into or exchanged for preferred shares of the surviving entity having preferences, conversion and other rights, voting powers, restrictions, limitations as to distributions, qualifications and terms and conditions of redemption thereof substantially similar to those of the Series C Preferred Shares or any other series of Series C voting preferred shares, as the case may be, or (ii) to authorize, create or increase the authorized amount of, any class or series of preferred shares having rights senior to the Series C Preferred Shares with respect to the payment of distributions or amounts upon liquidation, dissolution or winding up; provided, however, that in the case of clause (i) above, if such amendment affects materially and adversely the rights, preferences, privileges or voting powers of one or more but not all of the classes or series of Series C voting preferred shares (including the Series C Preferred Shares for this purpose), only the consent of the holders of at least two-thirds of the outstanding shares of the classes or series so affected, voting as a class, is required in lieu of (or, if such consent is required by law, in addition to) the consent of the holders of two-thirds of the Series C voting preferred shares (including the Series C Preferred Shares for this purpose) as a class.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Amount Payable in Liquidation</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Upon any Liquidation, each holder of the Series C Preferred Shares will be entitled to a payment out of the trust's assets available for distribution to the holders of the Series C Preferred Shares following the satisfaction of all claims ranking senior to the Series C Preferred Shares. Such payment will be equal to their preferred capital account balance (the "Series C Preferred Share Liquidation Value").</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capital account balance for each Series C Preferred Share equals $25.00 initially and is increased each year by an allocation of gross income (excluding capital gains) recognized by us (including any gross income recognized in the year of Liquidation). The allocations of gross income to the capital account balances for the Series C Preferred Shares in any year will not exceed the sum of the amount of distributions paid on the Series C Preferred Shares during such year. If the board of directors of the company declares a distribution on the Series C Preferred Shares, the amount of the distribution paid on each such Series C Preferred Share will be deducted from the capital account balance for such Series C Preferred Share, whether or not such capital account balance received an allocation of gross income in respect of such distribution. The allocation of gross income to the capital account balances for the Series C Preferred Shares is intended to entitle the holders of the Series C Preferred Shares to a preference over the holders of outstanding common shares upon the trust's Liquidation, to the extent required to permit each holder of a Series C Preferred Share to receive the Series C Preferred Share Liquidation Value in respect of such share. In addition, a special allocation of gross income (from any source) in the year of Liquidation will be made if necessary so that a holder's preferred capital account balance equals the Series C Preferred Share Liquidation Value. If, however, the trust were to have insufficient gross income to achieve this result, then the amount that a holder of Series C Preferred Shares would receive upon liquidation may be less than the Series C Preferred Share Liquidation Value.</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After each holder of Series C Preferred Shares receives a payment equal to the capital account balance for such holder's shares (even if such payment is less than the Series C Preferred Share Liquidation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holder's shares), holders will not be entitled to any further participation in any distribution of the trust's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any period in which the trust is an association taxable as a corporation for U.S. federal income tax purposes, the capital account balance for each Series C Preferred Share will be deemed equal to the sum of $25.00 per Series C Preferred Share and declared and unpaid distributions, if any, to, but excluding, the date of the liquidation, dissolution or winding up of the trust on the Series C Preferred Shares, with the intent to provide holders of Series C Preferred Shares the same rights to liquidation proceeds regardless of whether the trust is taxable as a partnership or a corporation for U.S. federal income tax purposes.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Series C Preferred Shares are not convertible into common shares or any other class or series of shares or any other 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Series C Trust Preferred Interests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Series C Preferred Share corresponds to one underlying trust preferred interest of the company held by the trust of the same class and series, and with corresponding rights, powers and duties, as the Series C Preferred Shares (the "Series C Trust Preferred Interests"). Unless the trust is dissolved, it must remain the holder of 100% of the company's trust interests, including the Series C Trust Preferred Interests, and, at all times, the trust will have outstanding the identical number of common shares and preferred shares, including the Series C Preferred Shares, as the number of outstanding trust common interests and trust preferred interests, including the Series C Trust Preferred Interests, of the company that are of the corresponding class and series.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Anti-Takeover Provisions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Certain provisions of the management services agreement, the trust agreement and the LLC agreement may make it more difficult for third parties to acquire control of the trust and the company by various means. These provisions could deprive the shareholders of the trust of opportunities to realize a premium on the shares owned by them. In addition, these provisions may adversely affect the prevailing market price of the shares. These provisions are intended to:</w:t>
      </w:r>
    </w:p>
    <w:p>
      <w:pPr>
        <w:spacing w:after="0" w:line="79" w:lineRule="exact"/>
        <w:rPr>
          <w:sz w:val="20"/>
          <w:szCs w:val="20"/>
          <w:color w:val="auto"/>
        </w:rPr>
      </w:pPr>
    </w:p>
    <w:p>
      <w:pPr>
        <w:ind w:left="640" w:hanging="308"/>
        <w:spacing w:after="0"/>
        <w:tabs>
          <w:tab w:leader="none" w:pos="6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 our manager and its economic interests in the company;</w:t>
      </w:r>
    </w:p>
    <w:p>
      <w:pPr>
        <w:spacing w:after="0" w:line="107"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 the position of our manager and its rights to manage the business and affairs of the company under the management services agreement;</w:t>
      </w:r>
    </w:p>
    <w:p>
      <w:pPr>
        <w:spacing w:after="0" w:line="5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the likelihood of continuity and stability in the composition of the company's board of directors and in the policies formulated by the company's board of directors;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discourage certain types of transactions which may involve an actual or threatened change in control of the trust and the company;</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discourage certain tactics that may be used in proxy fights;</w:t>
      </w:r>
    </w:p>
    <w:p>
      <w:pPr>
        <w:spacing w:after="0" w:line="121"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encourage persons seeking to acquire control of the trust and the company to consult first with the company's board of directors to negotiate the terms of any proposed business combination or offer; and</w:t>
      </w:r>
    </w:p>
    <w:p>
      <w:pPr>
        <w:spacing w:after="0" w:line="38"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vulnerability of the trust and the company to an unsolicited proposal for a takeover that does not contemplate the acquisition of all of the outstanding shares or that is otherwise unfair to shareholders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Anti-Takeover Effects of the Management Services Agreement</w:t>
      </w:r>
    </w:p>
    <w:p>
      <w:pPr>
        <w:spacing w:after="0" w:line="1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limited circumstances in which our manager may be terminated means that it will be very difficult for a potential acquirer of the company to take over the management and operation of our business. Under the terms of the management services agreement, our manager may only be terminated by the company in certain limited circumstances.</w:t>
      </w:r>
    </w:p>
    <w:p>
      <w:pPr>
        <w:spacing w:after="0" w:line="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Furthermore, our manager has the right to resign and terminate the management services agreement upon 180 days' notice. Upon the termination of the management services agreement, seconded officers, employees, representatives and delegates of our manager and its affiliates who are performing the services that are the subject of the management services agreement will resign their respective position with the company and cease to work at the date of our manager's termination or at any other time as determined by our manager. Any appointed director may continue serving on the company's board of directors subject to our Allocation Member's continued ownership of the allocation interests.</w:t>
      </w:r>
    </w:p>
    <w:p>
      <w:pPr>
        <w:spacing w:after="0" w:line="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If we terminate the management services agreement, the company and the trust will agree, and the company will agree to cause its businesses, to cease using the term "Compass," including any trademarks based on the name of the company and trust owned by our manager, entirely in their businesses and operations within 180 days of such termination. This agreement would require the trust, the company and its businesses to change their names to remove any reference to the term "Compass" or any trademarks owned by our manager.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Anti-Takeover Provisions in the Trust Agreement and the LLC Agreement</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 number of provisions of the trust agreement and the LLC agreement also could have the effect of making it more difficult for a third party to acquire, or of discouraging a third party from acquiring, control of the trust and the company. The trust agreement and the LLC agreement prohibit the merger or consolidation of the trust and the company with or into any limited liability company, corporation, statutory trust, business trust or association, real estate investment trust, common-law trust or any other unincorporated business, including a partnership, or the sale, lease or exchange of all or substantially all of the trust's or the company's property or assets unless, in each case, the company's board of directors adopts a resolution by a majority vote approving such action and unless (i) in the case of the company, such action is approved by the affirmative vote of the holders of a majority of each of the outstanding trust interests and allocation interests entitled to vote thereon or (ii) in the case of the trust, such action is approved by the affirmative vote of the holders of a majority of the outstanding shares entitled to vote thereon.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the trust agreement and the LLC agreement each contain provisions based on Section 203 of the DGCL which prohibit the company and the trust from engaging in a business combination with an interested shareholder unless (i) in the case of the company, such business combination is approved by the affirmative vote of the holders of 66 2/3% of each of the outstanding trust interests and allocation interests entitled to vote thereon ,or (ii) in the case of the trust, such business combination is approved by the affirmative vote of the holders of 66 2/3% of the outstanding shares entitled to vote thereon, in each case, excluding shares or trust interests, as the case may be, held by the interested shareholder or any affiliate or associate of the interested shareholder.</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Subject to the right of our manager to appoint directors and any successor in the event of a vacancy, the LLC agreement authorizes the company's board of directors to fill vacancies. This provision could prevent a shareholder of the trust from effectively obtaining an indirect majority representation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company's board of directors by permitting the existing board of directors to increase the number of directors and to fill the vacancies with its own nominees. The LLC agreement also provides that directors may be removed, with or without cause, only by the affirmative vote of holders of 85% of the outstanding trust interests entitled to vote thereon that so elected or appointed such director. An appointed director may only be removed by the Allocation Member, as holder of the allocation interests.</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trust agreement does not permit holders of the shares to act by written consent. Instead, shareholders may only take action via proxy, which, when the action relates to the trust's exercise of its rights as a member of the company, may be presented at a duly called annual or special meeting of members of the company and will constitute the vote of the trust. For so long as the trust remains the sole owner of the trust interests, the trust will act as a member of the company by written consent, including to vote its trust interests in a manner that reflects the vote by proxy of the holders of the shares. Furthermore, the trust agreement and the LLC agreement provide that special meetings may only be called by the chairman of the company's board of directors or by resolution adopted by the company's board of directors.</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trust agreement and the LLC agreement also provide that members, or holders of shares, subject to any applicable share designation or trust interest designation, seeking to bring business before an annual meeting of members or to nominate candidates for election as directors at an annual meeting of members of the company, must provide notice thereof in writing to the company not less than 120 days and not more than 150 days prior to the anniversary date of the preceding year's annual meeting of members or as otherwise required by requirements of the Exchange Act. In addition, the member or holder of shares furnishing such notice must be a member or shareholder, as the case may be, of record on both (i) the date of delivering such notice and (ii) the record date for the determination of members or shareholders, as the case may be, entitled to vote at such meeting. The trust agreement and the LLC agreement specify certain requirements as to the form and content of a member's or shareholder's notice, as the case may be. These provisions may preclude members or holders of shares from bringing matters before members or holders of shares at an annual meeting or from making nominations for directors at an annual or special meeting of members.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Allocation Member has certain rights with respect to appointing one or more directors, as discussed above.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Authorized but unissued shares are available for future issuance, without approval of the shareholders of the trust. These additional shares may be utilized for a variety of purposes, including future public offerings to raise additional capital or to fund acquisitions, as well as option plans for employees of the company or its businesses. The existence of authorized but unissued shares could render more difficult or discourage an attempt to obtain control of the trust by means of a proxy contest, tender offer, merger or otherwise.</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However, the company's board of directors will not, without prior shareholder approval, issue or use any preferred shares for any defensive or anti-takeover purpose or for the purpose of implementing any shareholder rights plan.</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the company's board of directors has broad authority to amend the trust agreement and the LLC agreement, as discussed below. The company's board of directors could, in the future, choose to amend the trust agreement or the LLC agreement to include other provisions which have the intention or effect of discouraging takeover attempts.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 of the LLC Agreement</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LLC agreement (including the distribution provisions thereof) may be amended only by a majority vote of the board of directors of the company, except that amending the following provisions requires an affirmative vote of at least a majority of the outstanding trust interests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81" w:lineRule="exact"/>
        <w:rPr>
          <w:sz w:val="20"/>
          <w:szCs w:val="20"/>
          <w:color w:val="auto"/>
        </w:rPr>
      </w:pPr>
    </w:p>
    <w:p>
      <w:pPr>
        <w:ind w:left="640" w:hanging="308"/>
        <w:spacing w:after="0"/>
        <w:tabs>
          <w:tab w:leader="none" w:pos="6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purpose or powers of the company;</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authorization of an increase in trust interests;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distribution rights of the trust interests;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regarding the right to acquire trust interests after an acquisition exchange described above;</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holders of shares to enforce the LLC agreement or to institute any legal proceeding for any remedy available to the trust;</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hiring of a replacement manager following the termination of the management services agreement;</w:t>
      </w:r>
    </w:p>
    <w:p>
      <w:pPr>
        <w:spacing w:after="0" w:line="12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merger or consolidation of the company, the sale, lease or exchange of all or substantially all of the company's assets and certain other business combinations or transactions;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holders of trust interests to vote on the dissolution, winding up and liquidation of the company;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the LLC agreement governing amendments thereof;</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provided, however, that the company's board of directors may, without the vote of any outstanding trust interests, adopt any trust interest designation setting forth the terms of the trust preferred interests to be issued, which will amend the LLC agreement, and the board of directors, without the vote of any outstanding trust interests, may otherwise amend the LLC agreement to the extent the board of directors determines that it is necessary or desirable in order to effectuate any issuance of trust preferred interests.</w:t>
      </w:r>
    </w:p>
    <w:p>
      <w:pPr>
        <w:spacing w:after="0" w:line="6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 addition, the Allocation Member, as holder of the allocation interests, will have the rights specified above under "— Voting and Consent Rights."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 of the Trust Agreement</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trust agreement may be amended, revised, supplemented or otherwise modified, and provisions of the trust agreement waived by the company, as sponsor of the trust, and the regular trustees acting at the company's direction. However, the company may not, without the affirmative vote of a majority of the outstanding shares entitled to vote thereon, enter into or consent to any modification or waiver of the provisions of the trust agreement that would:</w:t>
      </w:r>
    </w:p>
    <w:p>
      <w:pPr>
        <w:spacing w:after="0" w:line="64" w:lineRule="exact"/>
        <w:rPr>
          <w:sz w:val="20"/>
          <w:szCs w:val="20"/>
          <w:color w:val="auto"/>
        </w:rPr>
      </w:pPr>
    </w:p>
    <w:p>
      <w:pPr>
        <w:ind w:left="660" w:hanging="328"/>
        <w:spacing w:after="0" w:line="283" w:lineRule="auto"/>
        <w:tabs>
          <w:tab w:leader="none" w:pos="64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trust to fail or cease to qualify for the exemption from the status of an "investment company" under the Investment Company Act;</w:t>
      </w:r>
    </w:p>
    <w:p>
      <w:pPr>
        <w:spacing w:after="0" w:line="5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trust to issue a class of common equity securities other than the common shares (as described above under "— Common Shares in the Trust"), or issue any debt securities or any derivative securities or amend the provision of the trust agreement prohibiting any such issuances;</w:t>
      </w:r>
    </w:p>
    <w:p>
      <w:pPr>
        <w:spacing w:after="0" w:line="59"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affect the exclusive and absolute right of our shareholders entitled to vote to direct the voting of the trust, as a member of the company, with respect to all matters reserved for the vote of members of the company pursuant to the LLC agreement;</w:t>
      </w:r>
    </w:p>
    <w:p>
      <w:pPr>
        <w:spacing w:after="0" w:line="5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the merger or consolidation of the trust, the sale, lease or exchange of all or substantially all of the trust's property or assets and certain other business combinations or transactions;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the distribution rights of the shares;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number of authorized shares;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81" w:lineRule="exact"/>
        <w:rPr>
          <w:sz w:val="20"/>
          <w:szCs w:val="20"/>
          <w:color w:val="auto"/>
        </w:rPr>
      </w:pPr>
    </w:p>
    <w:p>
      <w:pPr>
        <w:ind w:left="640" w:hanging="308"/>
        <w:spacing w:after="0"/>
        <w:tabs>
          <w:tab w:leader="none" w:pos="6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the provisions of the trust agreement governing the amendment thereof.</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provided, however, that the company's board of directors may, without the vote of any outstanding shares, adopt any share designation setting forth the terms of the preferred shares to be issued, which will amend the trust agreement, and the board of directors, without the vote of any outstanding shares, may otherwise amend the trust agreement to the extent the board of directors determines that it is necessary or desirable in order to effectuate any issuance of preferred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Trustees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Messrs. Elias J. Sabo and Stephen Keller currently serve as the regular trustees of the trust, and BNY Mellon Trust of Delaware currently serves as the Delaware trustee of the trust.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transfer agent and registrar for the shares and the trust interests is Broadridge Corporate Issuer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FIRST AMENDED AND RESTATED EMPLOYMENT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FIRST AMENDED AND RESTATED EMPLOYMENT AGREEMENT is effective as of August 31, 2024 (the “</w:t>
      </w:r>
      <w:r>
        <w:rPr>
          <w:rFonts w:ascii="Times New Roman" w:cs="Times New Roman" w:eastAsia="Times New Roman" w:hAnsi="Times New Roman"/>
          <w:sz w:val="20"/>
          <w:szCs w:val="20"/>
          <w:u w:val="single" w:color="auto"/>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by and between </w:t>
      </w:r>
      <w:r>
        <w:rPr>
          <w:rFonts w:ascii="Times New Roman" w:cs="Times New Roman" w:eastAsia="Times New Roman" w:hAnsi="Times New Roman"/>
          <w:sz w:val="20"/>
          <w:szCs w:val="20"/>
          <w:b w:val="1"/>
          <w:bCs w:val="1"/>
          <w:color w:val="auto"/>
        </w:rPr>
        <w:t>Stephen Keller</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Compass Group Management LLC</w:t>
      </w:r>
      <w:r>
        <w:rPr>
          <w:rFonts w:ascii="Times New Roman" w:cs="Times New Roman" w:eastAsia="Times New Roman" w:hAnsi="Times New Roman"/>
          <w:sz w:val="20"/>
          <w:szCs w:val="20"/>
          <w:color w:val="auto"/>
        </w:rPr>
        <w:t>, a Delaware limited liability company (the “</w:t>
      </w:r>
      <w:r>
        <w:rPr>
          <w:rFonts w:ascii="Times New Roman" w:cs="Times New Roman" w:eastAsia="Times New Roman" w:hAnsi="Times New Roman"/>
          <w:sz w:val="20"/>
          <w:szCs w:val="20"/>
          <w:u w:val="single" w:color="auto"/>
          <w:color w:val="auto"/>
        </w:rPr>
        <w:t>Manager</w:t>
      </w:r>
      <w:r>
        <w:rPr>
          <w:rFonts w:ascii="Times New Roman" w:cs="Times New Roman" w:eastAsia="Times New Roman" w:hAnsi="Times New Roman"/>
          <w:sz w:val="20"/>
          <w:szCs w:val="20"/>
          <w:color w:val="auto"/>
        </w:rPr>
        <w:t>”) and amends and restates in its entirety that certain Employment Agreement made and entered into effective as of August 31, 2024 by and between Executive and the Manager.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right="20" w:firstLine="518"/>
        <w:spacing w:after="0" w:line="283" w:lineRule="auto"/>
        <w:rPr>
          <w:sz w:val="20"/>
          <w:szCs w:val="20"/>
          <w:color w:val="auto"/>
        </w:rPr>
      </w:pPr>
      <w:r>
        <w:rPr>
          <w:rFonts w:ascii="Times New Roman" w:cs="Times New Roman" w:eastAsia="Times New Roman" w:hAnsi="Times New Roman"/>
          <w:sz w:val="20"/>
          <w:szCs w:val="20"/>
          <w:color w:val="auto"/>
        </w:rPr>
        <w:t>WHEREAS, the Manager wishes to the employ the Executive as Executive Vice President of Finance, and the Executive wishes to be employed by the Manager with such title and in such role;</w:t>
      </w:r>
    </w:p>
    <w:p>
      <w:pPr>
        <w:spacing w:after="0" w:line="38" w:lineRule="exact"/>
        <w:rPr>
          <w:sz w:val="20"/>
          <w:szCs w:val="20"/>
          <w:color w:val="auto"/>
        </w:rPr>
      </w:pPr>
    </w:p>
    <w:p>
      <w:pPr>
        <w:jc w:val="both"/>
        <w:ind w:firstLine="518"/>
        <w:spacing w:after="0" w:line="283" w:lineRule="auto"/>
        <w:rPr>
          <w:sz w:val="20"/>
          <w:szCs w:val="20"/>
          <w:color w:val="auto"/>
        </w:rPr>
      </w:pPr>
      <w:r>
        <w:rPr>
          <w:rFonts w:ascii="Times New Roman" w:cs="Times New Roman" w:eastAsia="Times New Roman" w:hAnsi="Times New Roman"/>
          <w:sz w:val="20"/>
          <w:szCs w:val="20"/>
          <w:color w:val="auto"/>
        </w:rPr>
        <w:t>WHEREAS, the Manager and the Executive wish to set forth in writing the terms and conditions of the Executive’s employment in this First Amended and Restated Employment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5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mutual promises contained herein, and of other good and sufficient consideration, the receipt and sufficiency of which are hereby acknowledged, the Manager and the Executive, intending to be legally bound hereby, agree as follows: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Article 1. </w:t>
      </w:r>
      <w:r>
        <w:rPr>
          <w:rFonts w:ascii="Times New Roman" w:cs="Times New Roman" w:eastAsia="Times New Roman" w:hAnsi="Times New Roman"/>
          <w:sz w:val="20"/>
          <w:szCs w:val="20"/>
          <w:u w:val="single" w:color="auto"/>
          <w:color w:val="auto"/>
        </w:rPr>
        <w:t>Employment, Responsibilities, and Acceptance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The Manager agrees to employ the Executive, and the Executive agrees to be so employed, on the terms set forth herein. The Executive and the Manager each hereby acknowledge and agree that the Executive’s employment with the Manager is “at will” and that each of the Executive and the Manager are free to terminate the employment relationship at any time for any reason.</w:t>
      </w:r>
    </w:p>
    <w:p>
      <w:pPr>
        <w:spacing w:after="0" w:line="73"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Responsibilities</w:t>
      </w:r>
      <w:r>
        <w:rPr>
          <w:rFonts w:ascii="Times New Roman" w:cs="Times New Roman" w:eastAsia="Times New Roman" w:hAnsi="Times New Roman"/>
          <w:sz w:val="20"/>
          <w:szCs w:val="20"/>
          <w:color w:val="auto"/>
        </w:rPr>
        <w:t>. The Executive shall faithfully and diligently perform all such acts and have such titles, duties, powers, and responsibilities as may be prescribed or delegated from time to time by the manager of the Manager (the “</w:t>
      </w:r>
      <w:r>
        <w:rPr>
          <w:rFonts w:ascii="Times New Roman" w:cs="Times New Roman" w:eastAsia="Times New Roman" w:hAnsi="Times New Roman"/>
          <w:sz w:val="20"/>
          <w:szCs w:val="20"/>
          <w:u w:val="single" w:color="auto"/>
          <w:color w:val="auto"/>
        </w:rPr>
        <w:t>Managing Member</w:t>
      </w:r>
      <w:r>
        <w:rPr>
          <w:rFonts w:ascii="Times New Roman" w:cs="Times New Roman" w:eastAsia="Times New Roman" w:hAnsi="Times New Roman"/>
          <w:sz w:val="20"/>
          <w:szCs w:val="20"/>
          <w:color w:val="auto"/>
        </w:rPr>
        <w:t>”). The Executive agrees, during his employment with the Manager, to devote substantially all of the Executive’s attention and time during business hours to the business and affairs of the Manager, except for vacations and approved leaves of absence. The Executive agrees to adhere to all of the Manager’s policies and procedures as they may from time to time be amended. In furtherance of the foregoing, the Executive agrees to be seconded by the Manager to Compass Group Diversified Holdings LLC (“</w:t>
      </w:r>
      <w:r>
        <w:rPr>
          <w:rFonts w:ascii="Times New Roman" w:cs="Times New Roman" w:eastAsia="Times New Roman" w:hAnsi="Times New Roman"/>
          <w:sz w:val="20"/>
          <w:szCs w:val="20"/>
          <w:u w:val="single" w:color="auto"/>
          <w:color w:val="auto"/>
        </w:rPr>
        <w:t>CODI</w:t>
      </w:r>
      <w:r>
        <w:rPr>
          <w:rFonts w:ascii="Times New Roman" w:cs="Times New Roman" w:eastAsia="Times New Roman" w:hAnsi="Times New Roman"/>
          <w:sz w:val="20"/>
          <w:szCs w:val="20"/>
          <w:color w:val="auto"/>
        </w:rPr>
        <w:t>”) to act as its Chief Financial Officer (“</w:t>
      </w:r>
      <w:r>
        <w:rPr>
          <w:rFonts w:ascii="Times New Roman" w:cs="Times New Roman" w:eastAsia="Times New Roman" w:hAnsi="Times New Roman"/>
          <w:sz w:val="20"/>
          <w:szCs w:val="20"/>
          <w:u w:val="single" w:color="auto"/>
          <w:color w:val="auto"/>
        </w:rPr>
        <w:t>CFO</w:t>
      </w:r>
      <w:r>
        <w:rPr>
          <w:rFonts w:ascii="Times New Roman" w:cs="Times New Roman" w:eastAsia="Times New Roman" w:hAnsi="Times New Roman"/>
          <w:sz w:val="20"/>
          <w:szCs w:val="20"/>
          <w:color w:val="auto"/>
        </w:rPr>
        <w:t>”) for a period of time to be determined by the Managing Member in its sole discretion.</w:t>
      </w:r>
    </w:p>
    <w:p>
      <w:pPr>
        <w:spacing w:after="0" w:line="85"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Acceptance</w:t>
      </w:r>
      <w:r>
        <w:rPr>
          <w:rFonts w:ascii="Times New Roman" w:cs="Times New Roman" w:eastAsia="Times New Roman" w:hAnsi="Times New Roman"/>
          <w:sz w:val="20"/>
          <w:szCs w:val="20"/>
          <w:color w:val="auto"/>
        </w:rPr>
        <w:t>. The Executive hereby accepts such responsibilities and agrees to render his services hereunder fully, faithfully, and to the best of his ability, consistent with the terms of this Agreement. The Executive shall render services exclusively to the Manager and its Affiliates during the term of this Agreement, but nothing herein shall be deemed to prohibit the Executive from engaging in civic, academic, professional, trade association, not-for-profit organization, board memberships, or other personal activities which are not competitive or in conflict with the business then being conducted by the Manager or any business which, to the knowledge of the Executive, the Manager is preparing to enter, so long as such activities do not interfere with his day-to-day duties and responsibilities hereunder.</w:t>
      </w:r>
    </w:p>
    <w:p>
      <w:pPr>
        <w:spacing w:after="0" w:line="71"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Location</w:t>
      </w:r>
      <w:r>
        <w:rPr>
          <w:rFonts w:ascii="Times New Roman" w:cs="Times New Roman" w:eastAsia="Times New Roman" w:hAnsi="Times New Roman"/>
          <w:sz w:val="20"/>
          <w:szCs w:val="20"/>
          <w:color w:val="auto"/>
        </w:rPr>
        <w:t>. The Executive’s services under this Agreement shall principally be performed at the Manager’s office at 275 McCormick Ave., Costa Mesa, CA 92626, subject to reasonable domestic and overseas travel on behalf of the Manager, including regular travel to the Manager’s office at 301 Riverside Ave., 2nd Floor, Westport, CT 06880.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81"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Transfer to Affiliate</w:t>
      </w:r>
      <w:r>
        <w:rPr>
          <w:rFonts w:ascii="Times New Roman" w:cs="Times New Roman" w:eastAsia="Times New Roman" w:hAnsi="Times New Roman"/>
          <w:sz w:val="20"/>
          <w:szCs w:val="20"/>
          <w:color w:val="auto"/>
        </w:rPr>
        <w:t>. In the event that the Manager transfers the Executive’s employment, and its obligations hereunder, to an Affiliate of the Manager or an entity under the control of the Manager’s equityholders or its management team, the Manager agrees to guarantee all amounts and benefits promised or owed to the Executive hereunder, and the Executive agrees that all of his obligations and the Manager’s rights hereunder shall accrue to the entity to which employment is transferred. For purposes of this Agreement, “Affiliates” shall mean any entity that is controlled by the Manager or is under common control with the Manager.</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Article 2.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Base Compensation</w:t>
      </w:r>
      <w:r>
        <w:rPr>
          <w:rFonts w:ascii="Times New Roman" w:cs="Times New Roman" w:eastAsia="Times New Roman" w:hAnsi="Times New Roman"/>
          <w:sz w:val="20"/>
          <w:szCs w:val="20"/>
          <w:color w:val="auto"/>
        </w:rPr>
        <w:t>. During the Term (as defined below), the Manager shall pay an amount to the Executive in cash compensation at the aggregate annual base rate of Six Hundred Thousand Dollars ($600,000.00) per calendar year (the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subject to such amounts as may be required to be withheld by law or authorized to be withheld by the Executive, payable semi-monthly or otherwise in accordance with the Manager’s customary payment schedule for executive personnel. Such Base Salary shall be reviewed at least annually and may be adjusted upward as may be determined by the Manager in its sole discretion.</w:t>
      </w:r>
    </w:p>
    <w:p>
      <w:pPr>
        <w:spacing w:after="0" w:line="84"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Vacation and Personal Time</w:t>
      </w:r>
      <w:r>
        <w:rPr>
          <w:rFonts w:ascii="Times New Roman" w:cs="Times New Roman" w:eastAsia="Times New Roman" w:hAnsi="Times New Roman"/>
          <w:sz w:val="20"/>
          <w:szCs w:val="20"/>
          <w:color w:val="auto"/>
        </w:rPr>
        <w:t>. During the Term, the Executive shall be entitled to accrue four (4) weeks’ vacation per calendar year, subject to a 6-week accrual cap, which may be taken at any time in accordance with the Manager’s vacation policies as determined by the Manager and so as not to interfere unreasonably with the performance of the Executive’s duties and responsibilities hereunder. In the event of the termination of this Agreement, the Executive shall be compensated for all accrued and unused vacation, at his Base Salary compensation rate for the relevant period (the “</w:t>
      </w:r>
      <w:r>
        <w:rPr>
          <w:rFonts w:ascii="Times New Roman" w:cs="Times New Roman" w:eastAsia="Times New Roman" w:hAnsi="Times New Roman"/>
          <w:sz w:val="20"/>
          <w:szCs w:val="20"/>
          <w:u w:val="single" w:color="auto"/>
          <w:color w:val="auto"/>
        </w:rPr>
        <w:t>Unused Vacation</w:t>
      </w:r>
      <w:r>
        <w:rPr>
          <w:rFonts w:ascii="Times New Roman" w:cs="Times New Roman" w:eastAsia="Times New Roman" w:hAnsi="Times New Roman"/>
          <w:sz w:val="20"/>
          <w:szCs w:val="20"/>
          <w:color w:val="auto"/>
        </w:rPr>
        <w:t>”).</w:t>
      </w:r>
    </w:p>
    <w:p>
      <w:pPr>
        <w:spacing w:after="0" w:line="84" w:lineRule="exact"/>
        <w:rPr>
          <w:sz w:val="20"/>
          <w:szCs w:val="20"/>
          <w:color w:val="auto"/>
        </w:rPr>
      </w:pPr>
    </w:p>
    <w:p>
      <w:pPr>
        <w:jc w:val="both"/>
        <w:ind w:right="20" w:firstLine="518"/>
        <w:spacing w:after="0" w:line="269"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Proration</w:t>
      </w:r>
      <w:r>
        <w:rPr>
          <w:rFonts w:ascii="Times New Roman" w:cs="Times New Roman" w:eastAsia="Times New Roman" w:hAnsi="Times New Roman"/>
          <w:sz w:val="20"/>
          <w:szCs w:val="20"/>
          <w:color w:val="auto"/>
        </w:rPr>
        <w:t xml:space="preserve">. For the purposes of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w:t>
      </w:r>
      <w:r>
        <w:rPr>
          <w:rFonts w:ascii="Times New Roman" w:cs="Times New Roman" w:eastAsia="Times New Roman" w:hAnsi="Times New Roman"/>
          <w:sz w:val="20"/>
          <w:szCs w:val="20"/>
          <w:color w:val="auto"/>
        </w:rPr>
        <w:t>, any period less than a full calendar year shall be prorated for the portion thereof which shall be applicable.</w:t>
      </w:r>
    </w:p>
    <w:p>
      <w:pPr>
        <w:spacing w:after="0" w:line="6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Manager shall pay or reimburse the Executive upon the receipt of appropriate documentation, for reasonable travel, meal and lodging expenses that he directly incurs in providing services at the request of the Manager, all subject to appropriate documentation and the terms and conditions of the then-current business expense reimbursement policy of the Manager.</w:t>
      </w:r>
    </w:p>
    <w:p>
      <w:pPr>
        <w:spacing w:after="0" w:line="60" w:lineRule="exact"/>
        <w:rPr>
          <w:sz w:val="20"/>
          <w:szCs w:val="20"/>
          <w:color w:val="auto"/>
        </w:rPr>
      </w:pPr>
    </w:p>
    <w:p>
      <w:pPr>
        <w:jc w:val="both"/>
        <w:ind w:firstLine="518"/>
        <w:spacing w:after="0" w:line="246"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The Executive may be entitled to receive an annual incentive bonus. The award of a bonus as well as the actual bonus amount, if any, payable to the Executive shall be determined by the Manager in its sole discretion, depending upon the Executive’s attainment of individual and the Manager performance objectives. The Executive’s target annual incentive bonus shall be a percentage of Executive’s Base Salary equal to Fifty Percent (50%) or greater. The Executive’s annual incentive bonus, if any, shall be paid no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year following the calendar year to which the performance objectives relate. Notwithstanding the foregoing, in order to receive an annual incentive bonus, if any, the Executive must continue to be employed by the Manager through the date such bonus is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event the Executive’s employment hereunder is terminated subsequent to the end of an applicable calendar year to which the performance objectives relate and an incentive bonus would otherwise be payable to the Executive and such termination is (A) due to the Executive’s death or disability, (B) by the Manager not for “proper cause”, or (C) by the Executive for “good reason”, such bonus shall be payable without regard to the Executive’s termination of employment. The Executive’s target annual incentive bonus in respect of the 2024 calendar year shall be fifty percent (50%) of Executive’s initial Base Salary; provided, however, that the award of a bonus in respect of the 2024 calendar year as well as the actual bonus amount, if any, shall be at the discretion of the Manager. Any annual incentive bonus awarded to or earned by Executive and otherwise due and payable in respect of service for less than a full year shall be pro-rated based on the actual number of calendar months the Executive was employed by the Manager during such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annual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8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bonus awarded to the Executive in respect of fiscal year 2024, if any, shall be pro-rated as if the Executive was employed by the Manager beginning on July 1, 2024.</w:t>
      </w:r>
    </w:p>
    <w:p>
      <w:pPr>
        <w:spacing w:after="0" w:line="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During the Term, the Executive and the Executive’s dependents, to the extent they are eligible, shall be eligible to participate in all group health, dental and life insurance plans and all retirement plans that in each case are generally made available from time to time to similarly situated employees of the Manager. The Executive acknowledges and agrees that the benefits of such plans may vary with duties, salary, and length of employment, and that any questions concerning eligibility, coverage, or duration shall be governed by the terms of the plans or policies. The Executive further acknowledges and agrees that the Manager reserves the right to modify, suspend, or discontinue any benefit plans, policies, and practices at any time without notice to or recourse by the Executive, so long as such action is taken generally with respect to a majority of other similarly situated executives employed by the Manager.</w:t>
      </w:r>
    </w:p>
    <w:p>
      <w:pPr>
        <w:spacing w:after="0" w:line="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Housing Reimbursement</w:t>
      </w:r>
      <w:r>
        <w:rPr>
          <w:rFonts w:ascii="Times New Roman" w:cs="Times New Roman" w:eastAsia="Times New Roman" w:hAnsi="Times New Roman"/>
          <w:sz w:val="20"/>
          <w:szCs w:val="20"/>
          <w:color w:val="auto"/>
        </w:rPr>
        <w:t>. During the Term, for the period from the fourth (4) month following the Effective Date through the twenty fourth (24) month following the Effective Date, to the extent the Executive procures housing in Costa Mesa, California, the Manager shall reimburse the Executive for the monthly rent associated with such housing in an amount up to Three Thousand Dollars ($3,000) per month, subject to appropriate documentation and the terms and conditions of the then-current business expense reimbursement policy of the Manager.</w:t>
      </w:r>
    </w:p>
    <w:p>
      <w:pPr>
        <w:spacing w:after="0" w:line="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Signing Bonus</w:t>
      </w:r>
      <w:r>
        <w:rPr>
          <w:rFonts w:ascii="Times New Roman" w:cs="Times New Roman" w:eastAsia="Times New Roman" w:hAnsi="Times New Roman"/>
          <w:sz w:val="20"/>
          <w:szCs w:val="20"/>
          <w:color w:val="auto"/>
        </w:rPr>
        <w:t>. On the first regular payroll date following the Effective Date of this Agreement, the Executive shall be paid a lump sum in an amount equal to Two Hundred Fifty Thousand Dollars ($250,000.00), less tax and other legally required and Executive-elected withholdings, to cover any forfeited economic benefits related to the Executive’s employment with a third party prior to the Effective Date (the “</w:t>
      </w:r>
      <w:r>
        <w:rPr>
          <w:rFonts w:ascii="Times New Roman" w:cs="Times New Roman" w:eastAsia="Times New Roman" w:hAnsi="Times New Roman"/>
          <w:sz w:val="20"/>
          <w:szCs w:val="20"/>
          <w:u w:val="single" w:color="auto"/>
          <w:color w:val="auto"/>
        </w:rPr>
        <w:t>Signing Bonus</w:t>
      </w:r>
      <w:r>
        <w:rPr>
          <w:rFonts w:ascii="Times New Roman" w:cs="Times New Roman" w:eastAsia="Times New Roman" w:hAnsi="Times New Roman"/>
          <w:sz w:val="20"/>
          <w:szCs w:val="20"/>
          <w:color w:val="auto"/>
        </w:rPr>
        <w:t>”). Notwithstanding anything to the contrary herein, the Executive acknowledges and agrees that, should the Executive’s employment be terminated by the Manager with “proper cause” or voluntarily by the Executive without “good reason” (each, a “</w:t>
      </w:r>
      <w:r>
        <w:rPr>
          <w:rFonts w:ascii="Times New Roman" w:cs="Times New Roman" w:eastAsia="Times New Roman" w:hAnsi="Times New Roman"/>
          <w:sz w:val="20"/>
          <w:szCs w:val="20"/>
          <w:u w:val="single" w:color="auto"/>
          <w:color w:val="auto"/>
        </w:rPr>
        <w:t>Termination Event</w:t>
      </w:r>
      <w:r>
        <w:rPr>
          <w:rFonts w:ascii="Times New Roman" w:cs="Times New Roman" w:eastAsia="Times New Roman" w:hAnsi="Times New Roman"/>
          <w:sz w:val="20"/>
          <w:szCs w:val="20"/>
          <w:color w:val="auto"/>
        </w:rPr>
        <w:t>”) in each case, prior to August 20, 2025, the Executive shall repay the full amount of such Signing Bonus to the Manager within thirty (30) days of such Termination Event and the Manager shall determine in good faith if a reduction of such repayment is possible for any taxes withheld by the Manager upon its original payment to the Executive of the Signing Bonus, without any negative material result for the Manager.</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Article 3. </w:t>
      </w:r>
      <w:r>
        <w:rPr>
          <w:rFonts w:ascii="Times New Roman" w:cs="Times New Roman" w:eastAsia="Times New Roman" w:hAnsi="Times New Roman"/>
          <w:sz w:val="20"/>
          <w:szCs w:val="20"/>
          <w:u w:val="single" w:color="auto"/>
          <w:color w:val="auto"/>
        </w:rPr>
        <w:t>Term and Termination</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the Executive’s employment under this Agreement shall begin on the Effective Date and shall continue until terminated as herein provided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For purposes of this Agreement,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mean the date this Agreement is terminated by either party.</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Grounds for Termination</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1440" w:hanging="266"/>
        <w:spacing w:after="0"/>
        <w:tabs>
          <w:tab w:leader="none" w:pos="14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Upon the Executive’s death during the Term, this Agreement shall terminate immediately.</w:t>
      </w:r>
    </w:p>
    <w:p>
      <w:pPr>
        <w:spacing w:after="0" w:line="107" w:lineRule="exact"/>
        <w:rPr>
          <w:rFonts w:ascii="Times New Roman" w:cs="Times New Roman" w:eastAsia="Times New Roman" w:hAnsi="Times New Roman"/>
          <w:sz w:val="20"/>
          <w:szCs w:val="20"/>
          <w:color w:val="auto"/>
        </w:rPr>
      </w:pPr>
    </w:p>
    <w:p>
      <w:pPr>
        <w:jc w:val="both"/>
        <w:ind w:left="660" w:firstLine="514"/>
        <w:spacing w:after="0" w:line="253" w:lineRule="auto"/>
        <w:tabs>
          <w:tab w:leader="none" w:pos="147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Perform Principal Duties</w:t>
      </w:r>
      <w:r>
        <w:rPr>
          <w:rFonts w:ascii="Times New Roman" w:cs="Times New Roman" w:eastAsia="Times New Roman" w:hAnsi="Times New Roman"/>
          <w:sz w:val="20"/>
          <w:szCs w:val="20"/>
          <w:color w:val="auto"/>
        </w:rPr>
        <w:t>. In the event the Executive becomes disabled as defined by Internal Revenue Code Section 409A and the regulations and other guidance promulgated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is unable to perform his principal duties as contemplated by this Agreement, and subject to the requirements of the Americans with Disabilities Act (or any state law counterpart thereof), if applicable, the Manager may on thirty (30) days’ prior written notice, during which time the Executive fails to resume his duties hereunder, terminate the Executive’s employment under this Agreement. In the event the Executive at any time prior to the Termination Date disputes any determination by the Manager of his inability to perform his principal duties, the matter shall be resolved by the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8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of three physicians qualified to practice medicine in the United States, one to be selected by each of the Manager and the Executive and the third to be selected by the designated physicians. The Executive shall otherwise comply with whatever procedures the Manager may reasonably request set forth in any long-term disability policy of the Manager.</w:t>
      </w:r>
    </w:p>
    <w:p>
      <w:pPr>
        <w:spacing w:after="0" w:line="73" w:lineRule="exact"/>
        <w:rPr>
          <w:sz w:val="20"/>
          <w:szCs w:val="20"/>
          <w:color w:val="auto"/>
        </w:rPr>
      </w:pPr>
    </w:p>
    <w:p>
      <w:pPr>
        <w:jc w:val="both"/>
        <w:ind w:right="320" w:firstLine="526"/>
        <w:spacing w:after="0" w:line="261" w:lineRule="auto"/>
        <w:tabs>
          <w:tab w:leader="none" w:pos="78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Proper Cause</w:t>
      </w:r>
      <w:r>
        <w:rPr>
          <w:rFonts w:ascii="Times New Roman" w:cs="Times New Roman" w:eastAsia="Times New Roman" w:hAnsi="Times New Roman"/>
          <w:sz w:val="20"/>
          <w:szCs w:val="20"/>
          <w:color w:val="auto"/>
        </w:rPr>
        <w:t xml:space="preserve">. The Manager may terminate the Executive’s employment under this Agreement for “proper cause,” without prior notice (except as otherwise specified in </w:t>
      </w:r>
      <w:r>
        <w:rPr>
          <w:rFonts w:ascii="Times New Roman" w:cs="Times New Roman" w:eastAsia="Times New Roman" w:hAnsi="Times New Roman"/>
          <w:sz w:val="20"/>
          <w:szCs w:val="20"/>
          <w:u w:val="single" w:color="auto"/>
          <w:color w:val="auto"/>
        </w:rPr>
        <w:t>Sections 3.2(c)(i)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3.2(c)(v)</w:t>
      </w:r>
      <w:r>
        <w:rPr>
          <w:rFonts w:ascii="Times New Roman" w:cs="Times New Roman" w:eastAsia="Times New Roman" w:hAnsi="Times New Roman"/>
          <w:sz w:val="20"/>
          <w:szCs w:val="20"/>
          <w:color w:val="auto"/>
        </w:rPr>
        <w:t xml:space="preserve">, each requiring prior notice in accordance with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of this Agreement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As used in this Agreement, “proper cause” shall be:</w:t>
      </w:r>
    </w:p>
    <w:p>
      <w:pPr>
        <w:spacing w:after="0" w:line="73" w:lineRule="exact"/>
        <w:rPr>
          <w:rFonts w:ascii="Times New Roman" w:cs="Times New Roman" w:eastAsia="Times New Roman" w:hAnsi="Times New Roman"/>
          <w:sz w:val="20"/>
          <w:szCs w:val="20"/>
          <w:color w:val="auto"/>
        </w:rPr>
      </w:pPr>
    </w:p>
    <w:p>
      <w:pPr>
        <w:jc w:val="both"/>
        <w:ind w:firstLine="1952"/>
        <w:spacing w:after="0" w:line="261" w:lineRule="auto"/>
        <w:tabs>
          <w:tab w:leader="none" w:pos="219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breach by the Executive of any material provision of this Agreement which breach is not remedied within thirty (30) days after receiving Notice of such breach specifically citing this </w:t>
      </w:r>
      <w:r>
        <w:rPr>
          <w:rFonts w:ascii="Times New Roman" w:cs="Times New Roman" w:eastAsia="Times New Roman" w:hAnsi="Times New Roman"/>
          <w:sz w:val="20"/>
          <w:szCs w:val="20"/>
          <w:u w:val="single" w:color="auto"/>
          <w:color w:val="auto"/>
        </w:rPr>
        <w:t>Section 3.2(c)(i)</w:t>
      </w:r>
      <w:r>
        <w:rPr>
          <w:rFonts w:ascii="Times New Roman" w:cs="Times New Roman" w:eastAsia="Times New Roman" w:hAnsi="Times New Roman"/>
          <w:sz w:val="20"/>
          <w:szCs w:val="20"/>
          <w:color w:val="auto"/>
        </w:rPr>
        <w:t xml:space="preserve">, provided, however, that the Manager may terminate this Agreement immediately, without providing a cure period, in the event that the Executive breaches any provision of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59" w:lineRule="exact"/>
        <w:rPr>
          <w:rFonts w:ascii="Times New Roman" w:cs="Times New Roman" w:eastAsia="Times New Roman" w:hAnsi="Times New Roman"/>
          <w:sz w:val="20"/>
          <w:szCs w:val="20"/>
          <w:color w:val="auto"/>
        </w:rPr>
      </w:pPr>
    </w:p>
    <w:p>
      <w:pPr>
        <w:jc w:val="both"/>
        <w:ind w:firstLine="1952"/>
        <w:spacing w:after="0" w:line="268" w:lineRule="auto"/>
        <w:tabs>
          <w:tab w:leader="none" w:pos="2249"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act of dishonesty by the Executive if such act has or, in the reasonable discretion of the Manager and/or the Board of Directors of CODI, would reasonably be expected to have a material adverse impact on the financial interests or business reputation of CODI, the Manager or its Affiliates;</w:t>
      </w:r>
    </w:p>
    <w:p>
      <w:pPr>
        <w:spacing w:after="0" w:line="53" w:lineRule="exact"/>
        <w:rPr>
          <w:rFonts w:ascii="Times New Roman" w:cs="Times New Roman" w:eastAsia="Times New Roman" w:hAnsi="Times New Roman"/>
          <w:sz w:val="20"/>
          <w:szCs w:val="20"/>
          <w:color w:val="auto"/>
        </w:rPr>
      </w:pPr>
    </w:p>
    <w:p>
      <w:pPr>
        <w:jc w:val="both"/>
        <w:ind w:firstLine="1952"/>
        <w:spacing w:after="0" w:line="261" w:lineRule="auto"/>
        <w:tabs>
          <w:tab w:leader="none" w:pos="230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negligence or willful misconduct in the performance of the Executive’s duties hereunder if such gross negligence or willful misconduct has or, in the reasonable discretion of the Manager and/or the Board of Directors of CODI, would reasonably be expected to have, a material impact on the financial interest or business reputation of CODI, the Manager or its Affiliates;</w:t>
      </w:r>
    </w:p>
    <w:p>
      <w:pPr>
        <w:spacing w:after="0" w:line="73" w:lineRule="exact"/>
        <w:rPr>
          <w:rFonts w:ascii="Times New Roman" w:cs="Times New Roman" w:eastAsia="Times New Roman" w:hAnsi="Times New Roman"/>
          <w:sz w:val="20"/>
          <w:szCs w:val="20"/>
          <w:color w:val="auto"/>
        </w:rPr>
      </w:pPr>
    </w:p>
    <w:p>
      <w:pPr>
        <w:ind w:left="2280" w:hanging="328"/>
        <w:spacing w:after="0"/>
        <w:tabs>
          <w:tab w:leader="none" w:pos="228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breach of the Executive’s duty of loyalty or other fiduciary duties to CODI, the Manager or its Affiliates;</w:t>
      </w:r>
    </w:p>
    <w:p>
      <w:pPr>
        <w:spacing w:after="0" w:line="121" w:lineRule="exact"/>
        <w:rPr>
          <w:rFonts w:ascii="Times New Roman" w:cs="Times New Roman" w:eastAsia="Times New Roman" w:hAnsi="Times New Roman"/>
          <w:sz w:val="20"/>
          <w:szCs w:val="20"/>
          <w:color w:val="auto"/>
        </w:rPr>
      </w:pPr>
    </w:p>
    <w:p>
      <w:pPr>
        <w:jc w:val="both"/>
        <w:ind w:firstLine="1952"/>
        <w:spacing w:after="0" w:line="261" w:lineRule="auto"/>
        <w:tabs>
          <w:tab w:leader="none" w:pos="2238"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 failure of the Executive to follow the reasonable directives of the Managing Member or the Board of Directors of CODI pertaining to legal compliance or audits of CODI, the Manager or its Affiliates within ten (10) days of receiving Notice of any such failure to follow such directives;</w:t>
      </w:r>
    </w:p>
    <w:p>
      <w:pPr>
        <w:spacing w:after="0" w:line="59" w:lineRule="exact"/>
        <w:rPr>
          <w:rFonts w:ascii="Times New Roman" w:cs="Times New Roman" w:eastAsia="Times New Roman" w:hAnsi="Times New Roman"/>
          <w:sz w:val="20"/>
          <w:szCs w:val="20"/>
          <w:color w:val="auto"/>
        </w:rPr>
      </w:pPr>
    </w:p>
    <w:p>
      <w:pPr>
        <w:jc w:val="both"/>
        <w:ind w:firstLine="1952"/>
        <w:spacing w:after="0" w:line="258" w:lineRule="auto"/>
        <w:tabs>
          <w:tab w:leader="none" w:pos="2292"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conviction of, or plea of nolo contendere to, a crime which the Manager and/or the Board of Directors of CODI reasonably determines materially and adversely affects or, in the reasonable discretion of the Manager and/or the Board of Directors of CODI, would reasonably be expected to materially and adversely affect the reputation of CODI, the Manager or any of its Affiliates or the Executive’s ability to perform the services required hereunder;</w:t>
      </w:r>
    </w:p>
    <w:p>
      <w:pPr>
        <w:spacing w:after="0" w:line="77" w:lineRule="exact"/>
        <w:rPr>
          <w:rFonts w:ascii="Times New Roman" w:cs="Times New Roman" w:eastAsia="Times New Roman" w:hAnsi="Times New Roman"/>
          <w:sz w:val="20"/>
          <w:szCs w:val="20"/>
          <w:color w:val="auto"/>
        </w:rPr>
      </w:pPr>
    </w:p>
    <w:p>
      <w:pPr>
        <w:jc w:val="both"/>
        <w:ind w:firstLine="1952"/>
        <w:spacing w:after="0" w:line="254" w:lineRule="auto"/>
        <w:tabs>
          <w:tab w:leader="none" w:pos="2375"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willful or reckless violation of a material regulatory requirement, or of any material written policy or procedure applicable to CODI, the Manager or its Affiliates, that has a material adverse impact or, in the reasonable discretion of the Manager and/or the Board of Directors of CODI, would reasonably be expected to have a material adverse impact on the financial interests or business reputation of CODI, the Manager or its Affiliates; or</w:t>
      </w:r>
    </w:p>
    <w:p>
      <w:pPr>
        <w:spacing w:after="0" w:line="79" w:lineRule="exact"/>
        <w:rPr>
          <w:rFonts w:ascii="Times New Roman" w:cs="Times New Roman" w:eastAsia="Times New Roman" w:hAnsi="Times New Roman"/>
          <w:sz w:val="20"/>
          <w:szCs w:val="20"/>
          <w:color w:val="auto"/>
        </w:rPr>
      </w:pPr>
    </w:p>
    <w:p>
      <w:pPr>
        <w:ind w:right="20" w:firstLine="1952"/>
        <w:spacing w:after="0" w:line="283" w:lineRule="auto"/>
        <w:tabs>
          <w:tab w:leader="none" w:pos="2403"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 of an act of fraud, embezzlement, or material misappropriation, by the Executive with respect to his relations with CODI, the Manager or its Affiliates, or any of their respective employees, customers, agents, or representatives.</w:t>
      </w:r>
    </w:p>
    <w:p>
      <w:pPr>
        <w:spacing w:after="0" w:line="38" w:lineRule="exact"/>
        <w:rPr>
          <w:rFonts w:ascii="Times New Roman" w:cs="Times New Roman" w:eastAsia="Times New Roman" w:hAnsi="Times New Roman"/>
          <w:sz w:val="20"/>
          <w:szCs w:val="20"/>
          <w:color w:val="auto"/>
        </w:rPr>
      </w:pPr>
    </w:p>
    <w:p>
      <w:pPr>
        <w:ind w:right="140" w:firstLine="526"/>
        <w:spacing w:after="0" w:line="283" w:lineRule="auto"/>
        <w:tabs>
          <w:tab w:leader="none" w:pos="79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The Executive may terminate his employment under this Agreement for “good reason.” As used in this Agreement, “good reason” shall be:</w:t>
      </w:r>
    </w:p>
    <w:p>
      <w:pPr>
        <w:spacing w:after="0" w:line="38" w:lineRule="exact"/>
        <w:rPr>
          <w:rFonts w:ascii="Times New Roman" w:cs="Times New Roman" w:eastAsia="Times New Roman" w:hAnsi="Times New Roman"/>
          <w:sz w:val="20"/>
          <w:szCs w:val="20"/>
          <w:color w:val="auto"/>
        </w:rPr>
      </w:pPr>
    </w:p>
    <w:p>
      <w:pPr>
        <w:ind w:firstLine="1952"/>
        <w:spacing w:after="0" w:line="283" w:lineRule="auto"/>
        <w:tabs>
          <w:tab w:leader="none" w:pos="218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breach by the Manager of any of the material provisions of this Agreement, which breach is not remedied within thirty (30) days after receiving written notice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nature of such breach specifically citing this </w:t>
      </w:r>
      <w:r>
        <w:rPr>
          <w:rFonts w:ascii="Times New Roman" w:cs="Times New Roman" w:eastAsia="Times New Roman" w:hAnsi="Times New Roman"/>
          <w:sz w:val="20"/>
          <w:szCs w:val="20"/>
          <w:u w:val="single" w:color="auto"/>
          <w:color w:val="auto"/>
        </w:rPr>
        <w:t>Section 3.2(d)</w:t>
      </w:r>
      <w:r>
        <w:rPr>
          <w:rFonts w:ascii="Times New Roman" w:cs="Times New Roman" w:eastAsia="Times New Roman" w:hAnsi="Times New Roman"/>
          <w:sz w:val="20"/>
          <w:szCs w:val="20"/>
          <w:color w:val="auto"/>
        </w:rPr>
        <w:t>, which notice shall be provided to Managing Member and the General Counsel of the Manager no later than ninety (90) days after the Executive’s initial knowledge of the existence of such act or omission alleged to cause the breach of a material provision of this Agreement; or</w:t>
      </w:r>
    </w:p>
    <w:p>
      <w:pPr>
        <w:spacing w:after="0" w:line="73" w:lineRule="exact"/>
        <w:rPr>
          <w:sz w:val="20"/>
          <w:szCs w:val="20"/>
          <w:color w:val="auto"/>
        </w:rPr>
      </w:pPr>
    </w:p>
    <w:p>
      <w:pPr>
        <w:ind w:left="2240" w:hanging="288"/>
        <w:spacing w:after="0"/>
        <w:tabs>
          <w:tab w:leader="none" w:pos="2240" w:val="left"/>
        </w:tabs>
        <w:numPr>
          <w:ilvl w:val="2"/>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relocation without the Executive’s consent of the Executive’s principal place of employment more than sixty</w:t>
      </w:r>
    </w:p>
    <w:p>
      <w:pPr>
        <w:spacing w:after="0" w:line="3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miles from the Manager’s Westport, Connecticut or Costa Mesa, California locations.</w:t>
      </w:r>
    </w:p>
    <w:p>
      <w:pPr>
        <w:spacing w:after="0" w:line="99" w:lineRule="exact"/>
        <w:rPr>
          <w:rFonts w:ascii="Times New Roman" w:cs="Times New Roman" w:eastAsia="Times New Roman" w:hAnsi="Times New Roman"/>
          <w:sz w:val="20"/>
          <w:szCs w:val="20"/>
          <w:color w:val="auto"/>
        </w:rPr>
      </w:pPr>
    </w:p>
    <w:p>
      <w:pPr>
        <w:ind w:firstLine="526"/>
        <w:spacing w:after="0" w:line="283" w:lineRule="auto"/>
        <w:tabs>
          <w:tab w:leader="none" w:pos="787"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Other Reasons</w:t>
      </w:r>
      <w:r>
        <w:rPr>
          <w:rFonts w:ascii="Times New Roman" w:cs="Times New Roman" w:eastAsia="Times New Roman" w:hAnsi="Times New Roman"/>
          <w:sz w:val="20"/>
          <w:szCs w:val="20"/>
          <w:color w:val="auto"/>
        </w:rPr>
        <w:t>. Either the Executive or the Manager may terminate this Agreement at any time for any other reason not prohibited by law by giving written notice to the other.</w:t>
      </w:r>
    </w:p>
    <w:p>
      <w:pPr>
        <w:spacing w:after="0" w:line="92" w:lineRule="exact"/>
        <w:rPr>
          <w:sz w:val="20"/>
          <w:szCs w:val="20"/>
          <w:color w:val="auto"/>
        </w:rPr>
      </w:pPr>
    </w:p>
    <w:p>
      <w:pPr>
        <w:jc w:val="both"/>
        <w:ind w:firstLine="567"/>
        <w:spacing w:after="0" w:line="251"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Accrued Obligations</w:t>
      </w:r>
      <w:r>
        <w:rPr>
          <w:rFonts w:ascii="Times New Roman" w:cs="Times New Roman" w:eastAsia="Times New Roman" w:hAnsi="Times New Roman"/>
          <w:sz w:val="20"/>
          <w:szCs w:val="20"/>
          <w:color w:val="auto"/>
        </w:rPr>
        <w:t xml:space="preserve">. If the Executive’s employment under this Agreement is terminated, the Manager shall pay Executive, or Executive’s estate in the event of his death or disability, the following amounts: (A) Base Salary compensation accrued through the Termination Date, (B) Unused Vacation, (C) unpaid reimbursable expenses, including the Housing Reimbursement, if any, (D) subject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hereof, any annual incentive bonus awarded before the Termination Date but not paid, (E) vested benefits or amounts under any savings or retirement plans (including excess benefit plans), deferred compensation arrangements, or welfare benefit plans, pursuant to the terms of such plans or arrangements, and (F) vested cash and equity amounts with respect to long-term incentive awards and other incentive awards granted to the Executive, pursuant to the terms of such award (collectively, the “</w:t>
      </w:r>
      <w:r>
        <w:rPr>
          <w:rFonts w:ascii="Times New Roman" w:cs="Times New Roman" w:eastAsia="Times New Roman" w:hAnsi="Times New Roman"/>
          <w:sz w:val="20"/>
          <w:szCs w:val="20"/>
          <w:u w:val="single" w:color="auto"/>
          <w:color w:val="auto"/>
        </w:rPr>
        <w:t>Accrued Obligations</w:t>
      </w:r>
      <w:r>
        <w:rPr>
          <w:rFonts w:ascii="Times New Roman" w:cs="Times New Roman" w:eastAsia="Times New Roman" w:hAnsi="Times New Roman"/>
          <w:sz w:val="20"/>
          <w:szCs w:val="20"/>
          <w:color w:val="auto"/>
        </w:rPr>
        <w:t>”). Accrued Obligations shall be paid in accordance with applicable law.</w:t>
      </w:r>
    </w:p>
    <w:p>
      <w:pPr>
        <w:spacing w:after="0" w:line="141"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 xml:space="preserve">. If the Executive’s employment under this Agreement is terminated by the Manager pursuant to </w:t>
      </w:r>
      <w:r>
        <w:rPr>
          <w:rFonts w:ascii="Times New Roman" w:cs="Times New Roman" w:eastAsia="Times New Roman" w:hAnsi="Times New Roman"/>
          <w:sz w:val="20"/>
          <w:szCs w:val="20"/>
          <w:u w:val="single" w:color="auto"/>
          <w:color w:val="auto"/>
        </w:rPr>
        <w:t>Section 3.2(e)</w:t>
      </w:r>
      <w:r>
        <w:rPr>
          <w:rFonts w:ascii="Times New Roman" w:cs="Times New Roman" w:eastAsia="Times New Roman" w:hAnsi="Times New Roman"/>
          <w:sz w:val="20"/>
          <w:szCs w:val="20"/>
          <w:color w:val="auto"/>
        </w:rPr>
        <w:t xml:space="preserve"> (which, for the avoidance of doubt, does not include terminations in connection with death, disability or upon “proper cause”) or by the Executive for “good reason” pursuant to </w:t>
      </w:r>
      <w:r>
        <w:rPr>
          <w:rFonts w:ascii="Times New Roman" w:cs="Times New Roman" w:eastAsia="Times New Roman" w:hAnsi="Times New Roman"/>
          <w:sz w:val="20"/>
          <w:szCs w:val="20"/>
          <w:u w:val="single" w:color="auto"/>
          <w:color w:val="auto"/>
        </w:rPr>
        <w:t>Section 3.2(d)</w:t>
      </w:r>
      <w:r>
        <w:rPr>
          <w:rFonts w:ascii="Times New Roman" w:cs="Times New Roman" w:eastAsia="Times New Roman" w:hAnsi="Times New Roman"/>
          <w:sz w:val="20"/>
          <w:szCs w:val="20"/>
          <w:color w:val="auto"/>
        </w:rPr>
        <w:t>, and the Executive executes and does not revoke a full waiver and release of all claims against CODI, the Manager and its Affiliates and their respective officers, directors, shareholders, employees and agents containing standard terms for such an agreement (the “</w:t>
      </w:r>
      <w:r>
        <w:rPr>
          <w:rFonts w:ascii="Times New Roman" w:cs="Times New Roman" w:eastAsia="Times New Roman" w:hAnsi="Times New Roman"/>
          <w:sz w:val="20"/>
          <w:szCs w:val="20"/>
          <w:u w:val="single" w:color="auto"/>
          <w:color w:val="auto"/>
        </w:rPr>
        <w:t>Legal Release</w:t>
      </w:r>
      <w:r>
        <w:rPr>
          <w:rFonts w:ascii="Times New Roman" w:cs="Times New Roman" w:eastAsia="Times New Roman" w:hAnsi="Times New Roman"/>
          <w:sz w:val="20"/>
          <w:szCs w:val="20"/>
          <w:color w:val="auto"/>
        </w:rPr>
        <w:t xml:space="preserve">”), then, in addition to the Accrued Obligations, the Executive shall be eligible to receive a severance payment equal to the Severance Amount (as defined below) in accordance with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If the Executive is entitled to a severance payment pursuant to the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the Manager shall, within sixty (60) days following the Executive’s Termination Date, pay the Executive, in a lump sum less tax and other legally required and Executive-elected withholdings, an amount equal to the “</w:t>
      </w: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which for purposes of this Agreement shall mean an amount equal to (A) fifty percent (50%) of the Executive’s annual Base Salary as of the Termination Date if the Termination Date is prior to September 1, 2025, or (B) seventy five percent (75%) of the Executive’s annual Base Salary as of the Termination Date if the Termination Date is on or after September 1, 2025. The Manager shall provide the Legal Release to the Executive for his signature within twenty (20) days of his Termination Date, and the Executive shall deliver to the Manager the fully executed Legal Release no later than twenty-one (21) days following the Executive’s receipt of the Legal Release. The Executive shall not be entitled to any other payments or benefits of any kind except as expressly specified in this Agreement.</w:t>
      </w:r>
    </w:p>
    <w:p>
      <w:pPr>
        <w:spacing w:after="0" w:line="129" w:lineRule="exact"/>
        <w:rPr>
          <w:sz w:val="20"/>
          <w:szCs w:val="20"/>
          <w:color w:val="auto"/>
        </w:rPr>
      </w:pPr>
    </w:p>
    <w:p>
      <w:pPr>
        <w:ind w:right="40" w:firstLine="518"/>
        <w:spacing w:after="0" w:line="283"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No Further Payments</w:t>
      </w:r>
      <w:r>
        <w:rPr>
          <w:rFonts w:ascii="Times New Roman" w:cs="Times New Roman" w:eastAsia="Times New Roman" w:hAnsi="Times New Roman"/>
          <w:sz w:val="20"/>
          <w:szCs w:val="20"/>
          <w:color w:val="auto"/>
        </w:rPr>
        <w:t>. Except as set forth in this Agreement, Executive shall not be entitled to any further compensation or benefits after the Termination Date.</w:t>
      </w:r>
    </w:p>
    <w:p>
      <w:pPr>
        <w:spacing w:after="0" w:line="92" w:lineRule="exact"/>
        <w:rPr>
          <w:sz w:val="20"/>
          <w:szCs w:val="20"/>
          <w:color w:val="auto"/>
        </w:rPr>
      </w:pPr>
    </w:p>
    <w:p>
      <w:pPr>
        <w:ind w:firstLine="518"/>
        <w:spacing w:after="0" w:line="283"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Executive’s Further Obligations on Termination</w:t>
      </w:r>
      <w:r>
        <w:rPr>
          <w:rFonts w:ascii="Times New Roman" w:cs="Times New Roman" w:eastAsia="Times New Roman" w:hAnsi="Times New Roman"/>
          <w:sz w:val="20"/>
          <w:szCs w:val="20"/>
          <w:color w:val="auto"/>
        </w:rPr>
        <w:t xml:space="preserve">. Upon termination of the Executive’s employment, irrespective of the circumstances, the Executive shall in any event continue to be bound by the applicable provisions of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Compliance with Section 409A.</w:t>
      </w:r>
    </w:p>
    <w:p>
      <w:pPr>
        <w:spacing w:after="0" w:line="121" w:lineRule="exact"/>
        <w:rPr>
          <w:sz w:val="20"/>
          <w:szCs w:val="20"/>
          <w:color w:val="auto"/>
        </w:rPr>
      </w:pPr>
    </w:p>
    <w:p>
      <w:pPr>
        <w:jc w:val="both"/>
        <w:ind w:left="1300" w:firstLine="4"/>
        <w:spacing w:after="0" w:line="265" w:lineRule="auto"/>
        <w:tabs>
          <w:tab w:leader="none" w:pos="1717"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to the contrary, if at the time of the Executive’s termination of employment with the Manager and its Affiliates the Executive is a “specified employee” as defined in Section 409A, and the deferral of the commencement of any payments or benefits otherwise payable hereunder, that are Section 409A nonqualified deferred compensation, as a result of such termination of employment is necessary in order to avoid the additional tax under Section 409A, then the Manager will defer the payment or the commencement of the payment of any such payments or benefits hereunder (without any reduction in such payments or benefits ultimately paid or provided to the Executive) until the date that is six months and one business day following the Executive’s Termination Date (or the earliest date as is permitted under Section 409A). Any monthly payment amounts deferred pursuant to this Section will be accumulated and paid to the Executive (without interest) six months and one business day after his termination of employment in a lump sum and the balance of payments due the Executive will be paid monthly or as otherwise provided herein.</w:t>
      </w:r>
    </w:p>
    <w:p>
      <w:pPr>
        <w:spacing w:after="0" w:line="71" w:lineRule="exact"/>
        <w:rPr>
          <w:rFonts w:ascii="Times New Roman" w:cs="Times New Roman" w:eastAsia="Times New Roman" w:hAnsi="Times New Roman"/>
          <w:sz w:val="19"/>
          <w:szCs w:val="19"/>
          <w:color w:val="auto"/>
        </w:rPr>
      </w:pPr>
    </w:p>
    <w:p>
      <w:pPr>
        <w:jc w:val="both"/>
        <w:ind w:left="1300" w:firstLine="4"/>
        <w:spacing w:after="0" w:line="254" w:lineRule="auto"/>
        <w:tabs>
          <w:tab w:leader="none" w:pos="174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intended that the Agreement comply with Section 409A, and the Agreement shall be interpreted, administered and operated accordingly. Nothing herein shall be construed as an entitlement to or guarantee of any particular tax treatment to the Executive. For purposes of Section 409A, each payment made under this Agreement shall be treated as a separate payment. In no event may the Executive, directly or indirectly, designate the calendar year of any payment.</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Article 4. </w:t>
      </w:r>
      <w:r>
        <w:rPr>
          <w:rFonts w:ascii="Times New Roman" w:cs="Times New Roman" w:eastAsia="Times New Roman" w:hAnsi="Times New Roman"/>
          <w:sz w:val="20"/>
          <w:szCs w:val="20"/>
          <w:u w:val="single" w:color="auto"/>
          <w:color w:val="auto"/>
        </w:rPr>
        <w:t>Confidential Information; Intellectual Property</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518"/>
        <w:spacing w:after="0" w:line="24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The Executive acknowledges that as a result of the Executive’s employment with the Manager, the Executive will use, acquire, and/or add to confidential information of a special and unique nature and value, including without limitation, all non-public information concerning the business and affairs of CODI, the Manager and its Affiliates (such as historical financial statements, financial projections and budgets, historical and projected sales, capital spending budgets and plans, the names and backgrounds on key personnel, personnel training and techniques and materials), systems, procedures, policies, trade secrets, lists of clients and accounts, compensation formulas and amounts, strategies, and other confidential business information and trade secrets of CODI, the Manager and its Affiliates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Confidential Information shall not include any information that is or becomes of general knowledge or use other than information that becomes of general knowledge or use because of the Executive’s breach of this Agreement. As a material inducement to the Manager to enter into this Agreement, the Executive agrees to treat as secret all such Confidential Information and not to, directly or indirectly, use, disseminate, divulge, copy, or disclose, for any purpose whatsoever, any Confidential Information, during or after the term of this Agreement, except as may be required to fulfill the Executive’s duties hereunder or as required by a court or other tribunal of competent jurisdiction, or by law; provided, however, that the Executive shall give reasonable written notice to the Manager in advance of being required to disclose Confidential Information, and shall cooperate with the Manager, upon request, to seek appropriate relief to prevent disclosure.</w:t>
      </w:r>
    </w:p>
    <w:p>
      <w:pPr>
        <w:spacing w:after="0" w:line="143"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Return of Confidential Information and Other Company Property</w:t>
      </w:r>
      <w:r>
        <w:rPr>
          <w:rFonts w:ascii="Times New Roman" w:cs="Times New Roman" w:eastAsia="Times New Roman" w:hAnsi="Times New Roman"/>
          <w:sz w:val="20"/>
          <w:szCs w:val="20"/>
          <w:color w:val="auto"/>
        </w:rPr>
        <w:t>. The Executive agrees that all Confidential Information shall remain the property of CODI, the Manager and its Affiliates. Upon termination of employment, whether such termination was initiated by the Executive or the Manager or any of its Affiliates, or at any time the Manager and its Affiliates may request, the Executive shall immediately return to the Manager and its Affiliates (and shall not retain any copies of) all documents, records, notebooks, computer disks, tapes and similar repositories or documents containing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Information, whether prepared by the Executive or any other person, as well as all other items of CODI’s, the Manager’s or its Affiliates’ property in the Executive’s possession, such as mobile or wireless telephones, computers, tablets, Personal Digital Assistants, facsimile machines, tape recorders, and automobiles.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The Executive hereby represents and warrants to the Manager that he is not bound by any agreement which conflicts with or prevents the full performance of his duties and obligations to CODI, the Manager or its Affiliates, as the case may be, during or after the term of this Agreement. The Executive shall not improperly use or disclose any proprietary information or trade secrets of any person or entity with whom he has an agreement or to whom he owes a duty to keep such information in confidence.</w:t>
      </w:r>
    </w:p>
    <w:p>
      <w:pPr>
        <w:spacing w:after="0" w:line="118" w:lineRule="exact"/>
        <w:rPr>
          <w:sz w:val="20"/>
          <w:szCs w:val="20"/>
          <w:color w:val="auto"/>
        </w:rPr>
      </w:pPr>
    </w:p>
    <w:p>
      <w:pPr>
        <w:jc w:val="both"/>
        <w:ind w:right="20" w:firstLine="518"/>
        <w:spacing w:after="0" w:line="283"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xml:space="preserve">. If the Executive commits a breach, or threatens to commit a breach, of any of the provisions of </w:t>
      </w:r>
      <w:r>
        <w:rPr>
          <w:rFonts w:ascii="Times New Roman" w:cs="Times New Roman" w:eastAsia="Times New Roman" w:hAnsi="Times New Roman"/>
          <w:sz w:val="20"/>
          <w:szCs w:val="20"/>
          <w:u w:val="single" w:color="auto"/>
          <w:color w:val="auto"/>
        </w:rPr>
        <w:t>Sections 4.1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hereof, the Manager shall have the right and remedy:</w:t>
      </w:r>
    </w:p>
    <w:p>
      <w:pPr>
        <w:spacing w:after="0" w:line="38" w:lineRule="exact"/>
        <w:rPr>
          <w:sz w:val="20"/>
          <w:szCs w:val="20"/>
          <w:color w:val="auto"/>
        </w:rPr>
      </w:pPr>
    </w:p>
    <w:p>
      <w:pPr>
        <w:jc w:val="both"/>
        <w:ind w:left="660" w:firstLine="644"/>
        <w:spacing w:after="0" w:line="258" w:lineRule="auto"/>
        <w:tabs>
          <w:tab w:leader="none" w:pos="174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have the provisions of this Agreement specifically enforced by any court having jurisdiction (without posting a bond or other security), it being acknowledged and agreed by the Executive that the services being rendered hereunder to the Manager are of a special, unique and extraordinary character and that any such breach will cause irreparable injury to the Manager and that money damages will not provide an adequate remedy to the Manager; and</w:t>
      </w:r>
    </w:p>
    <w:p>
      <w:pPr>
        <w:spacing w:after="0" w:line="7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6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require the Executive to account for and pay over to the Manager all material compensation, profits, moneys, accruals, increments or other benefits derived or received by the Executive as the result of any transactions constituting a breach of any of the provisions of </w:t>
      </w:r>
      <w:r>
        <w:rPr>
          <w:rFonts w:ascii="Times New Roman" w:cs="Times New Roman" w:eastAsia="Times New Roman" w:hAnsi="Times New Roman"/>
          <w:sz w:val="20"/>
          <w:szCs w:val="20"/>
          <w:u w:val="single" w:color="auto"/>
          <w:color w:val="auto"/>
        </w:rPr>
        <w:t>Sections 4.1 or 4.2</w:t>
      </w:r>
      <w:r>
        <w:rPr>
          <w:rFonts w:ascii="Times New Roman" w:cs="Times New Roman" w:eastAsia="Times New Roman" w:hAnsi="Times New Roman"/>
          <w:sz w:val="20"/>
          <w:szCs w:val="20"/>
          <w:color w:val="auto"/>
        </w:rPr>
        <w:t xml:space="preserve"> hereof, and the Executive hereby agrees to account for and pay over such benefits to the Manager.</w:t>
      </w:r>
    </w:p>
    <w:p>
      <w:pPr>
        <w:spacing w:after="0" w:line="6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Each of the rights and remedies enumerated in this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shall be independent of the other, and shall be severally enforceable, and such rights and remedies shall be in addition to, and not in lieu of, any other rights and remedies available to the Manager under law or equity.</w:t>
      </w:r>
    </w:p>
    <w:p>
      <w:pPr>
        <w:spacing w:after="0" w:line="127" w:lineRule="exact"/>
        <w:rPr>
          <w:sz w:val="20"/>
          <w:szCs w:val="20"/>
          <w:color w:val="auto"/>
        </w:rPr>
      </w:pPr>
    </w:p>
    <w:p>
      <w:pPr>
        <w:jc w:val="both"/>
        <w:ind w:firstLine="518"/>
        <w:spacing w:after="0" w:line="249"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Assignment of Intellectual Property Rights</w:t>
      </w:r>
      <w:r>
        <w:rPr>
          <w:rFonts w:ascii="Times New Roman" w:cs="Times New Roman" w:eastAsia="Times New Roman" w:hAnsi="Times New Roman"/>
          <w:sz w:val="20"/>
          <w:szCs w:val="20"/>
          <w:color w:val="auto"/>
        </w:rPr>
        <w:t xml:space="preserve">. The Executive hereby irrevocably assigns, transfers and conveys, or shall cause to be assigned, transferred and conveyed to the Manager, any and all interest of the Executive in all Intellectual Property created in the course of his employment and used in connection with the business of the Manager, to the extent not previously assigned, transferred or conveyed. For purposes of this Agreement, “Intellectual Property” shall include (i) all inventions (whether patentable or unpatentable and whether or not reduced to practice), all improvements thereto, and all patents, patent applications, and patent disclosures, together with all reissuances, continuations, continuations-in-part, revisions, extensions and reexaminations thereof, (ii) all copyrightable works, all copyrights, and all applications, registrations, and renewals in connection therewith, and (iii) all trade secrets and confidential information. Subject to the provisions of the last sentence hereof, any Intellectual Property relating to the business of the Manager that is developed by the Executive during the Term shall remain the property of the Manager. The Executive shall fully cooperate with the Manager to take any and all actions necessary to give effect to the provisions of this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including without limitation the execution of documents and the filing of applications. If the Manager is unable, after reasonable effort, to secure such cooperation needed to apply for or prosecute any patent, copyright, or other right or protection relating to Intellectual Property, the Executive hereby designates and appoints the Manager and its duly authorized officers and agents as the Executive's agent and attorney-in-fact, to act for and on the Executive's behalf to execute, verify and file any such applications and to do all other lawfully permitted acts to further the prosecution and issuance of patents, copyrights and other rights and protection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-782955</wp:posOffset>
            </wp:positionV>
            <wp:extent cx="482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1">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the same legal force and effect as if executed by him. Such appointment shall be irrevocable and coupled with an interest.</w:t>
      </w:r>
    </w:p>
    <w:p>
      <w:pPr>
        <w:spacing w:after="0" w:line="175" w:lineRule="exact"/>
        <w:rPr>
          <w:sz w:val="20"/>
          <w:szCs w:val="20"/>
          <w:color w:val="auto"/>
        </w:rPr>
      </w:pPr>
    </w:p>
    <w:p>
      <w:pPr>
        <w:jc w:val="both"/>
        <w:ind w:firstLine="518"/>
        <w:spacing w:after="0" w:line="250" w:lineRule="auto"/>
        <w:rPr>
          <w:sz w:val="20"/>
          <w:szCs w:val="20"/>
          <w:color w:val="auto"/>
        </w:rPr>
      </w:pPr>
      <w:r>
        <w:rPr>
          <w:rFonts w:ascii="Times New Roman" w:cs="Times New Roman" w:eastAsia="Times New Roman" w:hAnsi="Times New Roman"/>
          <w:sz w:val="20"/>
          <w:szCs w:val="20"/>
          <w:color w:val="auto"/>
        </w:rPr>
        <w:t xml:space="preserve">Article 5. </w:t>
      </w:r>
      <w:r>
        <w:rPr>
          <w:rFonts w:ascii="Times New Roman" w:cs="Times New Roman" w:eastAsia="Times New Roman" w:hAnsi="Times New Roman"/>
          <w:sz w:val="20"/>
          <w:szCs w:val="20"/>
          <w:u w:val="single" w:color="auto"/>
          <w:color w:val="auto"/>
        </w:rPr>
        <w:t>Jurisdiction</w:t>
      </w:r>
      <w:r>
        <w:rPr>
          <w:rFonts w:ascii="Times New Roman" w:cs="Times New Roman" w:eastAsia="Times New Roman" w:hAnsi="Times New Roman"/>
          <w:sz w:val="20"/>
          <w:szCs w:val="20"/>
          <w:color w:val="auto"/>
        </w:rPr>
        <w:t xml:space="preserve">. The parties hereby irrevocably submit to the jurisdiction of the courts of the State of California with respect to the interpretation and enforcement of the provisions of this Agreement and the transactions contemplated hereby. Each of the parties hereby waives any right to assert and agrees not to assert as a defense in any action, suit, or proceeding for the interpretation or enforcement of this Agreement that it is not subject to such action, suit, or proceeding, that such action, suit, or proceeding may not be brought or is not maintainable in said courts, that the venue thereof may not be appropriate or that this Agreement may not be enforced in or by such courts. Each of the parties hereby consents to and grants any such court jurisdiction over the person of such party and over the subject matter of such action, suit or proceeding and hereby irrevocably agrees that all claims with respect to such action, suit or proceeding shall be heard and determined in such court; provided that nothing herein shall preclude either party from bringing an action, suit or proceeding in any other court for the purpose of (i) enforcing the provisions of this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 xml:space="preserve"> or (ii) enforcing a judgment previously entered by the California courts in respect of any such claim.</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Article 6. </w:t>
      </w:r>
      <w:r>
        <w:rPr>
          <w:rFonts w:ascii="Times New Roman" w:cs="Times New Roman" w:eastAsia="Times New Roman" w:hAnsi="Times New Roman"/>
          <w:sz w:val="20"/>
          <w:szCs w:val="20"/>
          <w:u w:val="single" w:color="auto"/>
          <w:color w:val="auto"/>
        </w:rPr>
        <w:t>Miscellaneous Provisions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notices provided for in this Agreement shall be in writing and shall be delivered personally to the party to receive the same, given by electronic means, or when mailed first class postage prepaid, by registered or certified mail, return receipt requested, addressed to the party to receive the same as set forth below, or such other address as the party to receive the same may have specified by written notice given in the manner provided for in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All notices shall be deemed to have been given as of the date of personal delivery, transmittal or mailing thereof.</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 If to the Executive, to:</w:t>
      </w:r>
    </w:p>
    <w:p>
      <w:pPr>
        <w:spacing w:after="0" w:line="1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Stephen Keller</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275A McCormick Ave.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Costa Mesa, California 92626</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 If to the Manager, to:</w:t>
      </w:r>
    </w:p>
    <w:p>
      <w:pPr>
        <w:spacing w:after="0" w:line="1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Compass Group Management LLC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275A McCormick Ave.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Costa Mesa, California 92626</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Attn: Elias Sabo, Managing Member</w:t>
      </w:r>
    </w:p>
    <w:p>
      <w:pPr>
        <w:spacing w:after="0" w:line="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to:</w:t>
      </w:r>
    </w:p>
    <w:p>
      <w:pPr>
        <w:spacing w:after="0" w:line="1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Compass Group Diversified Holdings LLC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c/o Compass Group Management LLC</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301 Riverside Ave., 2nd floor</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Westport, CT 06880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153"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sets forth the entire agreement of the parties relating to the terms of the Executive’s employment by the Manager, and is intended to supersede all prior negotiations, understandings, and agreements concerning such subject matter. No provision of this Agreement may be waived or changed except by a writing signed by the party against whom such waiver or change is sought to be enforced. Except as to those provisions where notice is required to be given within a specified period of time after the occurrence of the event, the failure of any party to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performance of any provision hereof shall in no manner affect the right at a later time to enforce such provision.</w:t>
      </w:r>
    </w:p>
    <w:p>
      <w:pPr>
        <w:spacing w:after="0" w:line="175"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All questions with respect to the construction of this Agreement, and the rights and obligations of the parties hereunder, shall be determined in accordance with the laws of the State of California, without giving effect to conflicts of law principles thereof. If any provision of this Agreement or the application thereof to any party or circumstance is, for any reason and to any extent, deemed invalid or unenforceable, the remainder of this Agreement and the application of that provision to either party or circumstance shall not be affected but rather shall be enforced to the extent permitted by law. This Agreement shall be construed without regard to any presumption or other rule requiring construction against the party causing this Agreement to be drafted.</w:t>
      </w:r>
    </w:p>
    <w:p>
      <w:pPr>
        <w:spacing w:after="0" w:line="125" w:lineRule="exact"/>
        <w:rPr>
          <w:sz w:val="20"/>
          <w:szCs w:val="20"/>
          <w:color w:val="auto"/>
        </w:rPr>
      </w:pPr>
    </w:p>
    <w:p>
      <w:pPr>
        <w:jc w:val="both"/>
        <w:ind w:firstLine="518"/>
        <w:spacing w:after="0" w:line="283"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Dispute</w:t>
      </w:r>
      <w:r>
        <w:rPr>
          <w:rFonts w:ascii="Times New Roman" w:cs="Times New Roman" w:eastAsia="Times New Roman" w:hAnsi="Times New Roman"/>
          <w:sz w:val="20"/>
          <w:szCs w:val="20"/>
          <w:color w:val="auto"/>
        </w:rPr>
        <w:t>. In any action relating to or arising from this Agreement, or involving its application, the parties shall each bear their own respective expenses incurred in connection with the action, including court costs and reasonable attorneys’ fees.</w:t>
      </w:r>
    </w:p>
    <w:p>
      <w:pPr>
        <w:spacing w:after="0" w:line="92" w:lineRule="exact"/>
        <w:rPr>
          <w:sz w:val="20"/>
          <w:szCs w:val="20"/>
          <w:color w:val="auto"/>
        </w:rPr>
      </w:pPr>
    </w:p>
    <w:p>
      <w:pPr>
        <w:jc w:val="both"/>
        <w:ind w:firstLine="518"/>
        <w:spacing w:after="0" w:line="283"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Article and Subject headings are inserted only as a matter of convenience and for reference and in no way define, limit or describe the scope or intent of any provision of this Agreement.</w:t>
      </w:r>
    </w:p>
    <w:p>
      <w:pPr>
        <w:spacing w:after="0" w:line="10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The Manager shall have the right to assign this Agreement, and/or its rights and/or obligations hereunder, to a third party. The Manager shall give reasonable written notice to the Executive prior to the effective date of any such assignment. Neither this Agreement nor any of the rights or obligations hereunder shall be assignable by the Executive.</w:t>
      </w:r>
    </w:p>
    <w:p>
      <w:pPr>
        <w:spacing w:after="0" w:line="114"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Provisions Severable</w:t>
      </w:r>
      <w:r>
        <w:rPr>
          <w:rFonts w:ascii="Times New Roman" w:cs="Times New Roman" w:eastAsia="Times New Roman" w:hAnsi="Times New Roman"/>
          <w:sz w:val="20"/>
          <w:szCs w:val="20"/>
          <w:color w:val="auto"/>
        </w:rPr>
        <w:t>. The provisions of this Agreement are independent of and severable from each other, and no provision shall be affected or rendered invalid or unenforceable by virtue of the fact that for any reason any other or others of them may be invalid or unenforceable in whole or in part. If any provision of this Agreement is, for any reason, held to be invalid or unenforceable, the other provisions of this Agreement will remain enforceable and the invalid or unenforceable provision will be deemed modified so that it is valid and enforceable to the maximum extent permitted by law.</w:t>
      </w:r>
    </w:p>
    <w:p>
      <w:pPr>
        <w:spacing w:after="0" w:line="119"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Neither any failure nor any delay on the part of either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19" w:lineRule="exact"/>
        <w:rPr>
          <w:sz w:val="20"/>
          <w:szCs w:val="20"/>
          <w:color w:val="auto"/>
        </w:rPr>
      </w:pPr>
    </w:p>
    <w:p>
      <w:pPr>
        <w:jc w:val="both"/>
        <w:ind w:right="20" w:firstLine="518"/>
        <w:spacing w:after="0" w:line="283"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provisions in this Agreement that contemplate obligations on the Manager’s part or Executive’s part after the Executive’s employment with the Manager ends, for whatever reason, shall survive the cessation of the Executive’s employment.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January 13, 2025.</w:t>
      </w:r>
    </w:p>
    <w:p>
      <w:pPr>
        <w:spacing w:after="0" w:line="200" w:lineRule="exact"/>
        <w:rPr>
          <w:sz w:val="20"/>
          <w:szCs w:val="20"/>
          <w:color w:val="auto"/>
        </w:rPr>
      </w:pPr>
    </w:p>
    <w:p>
      <w:pPr>
        <w:spacing w:after="0" w:line="30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91"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Stephen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19685</wp:posOffset>
            </wp:positionV>
            <wp:extent cx="237426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60" w:right="359"/>
        <w:spacing w:after="0" w:line="238" w:lineRule="auto"/>
        <w:rPr>
          <w:sz w:val="20"/>
          <w:szCs w:val="20"/>
          <w:color w:val="auto"/>
        </w:rPr>
      </w:pPr>
      <w:r>
        <w:rPr>
          <w:rFonts w:ascii="Times New Roman" w:cs="Times New Roman" w:eastAsia="Times New Roman" w:hAnsi="Times New Roman"/>
          <w:sz w:val="22"/>
          <w:szCs w:val="22"/>
          <w:b w:val="1"/>
          <w:bCs w:val="1"/>
          <w:color w:val="auto"/>
        </w:rPr>
        <w:t>Compass Group Management LLC, a Delaware limited liability company</w:t>
      </w:r>
    </w:p>
    <w:p>
      <w:pPr>
        <w:spacing w:after="0" w:line="258"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Elias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19685</wp:posOffset>
            </wp:positionV>
            <wp:extent cx="23742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Name: Elias Sabo</w:t>
      </w:r>
    </w:p>
    <w:p>
      <w:pPr>
        <w:spacing w:after="0" w:line="2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479"/>
          </w:cols>
          <w:pgMar w:left="980" w:top="1440" w:right="1440" w:bottom="1440" w:gutter="0" w:footer="0" w:header="0"/>
        </w:sectPr>
      </w:pPr>
    </w:p>
    <w:bookmarkStart w:id="244" w:name="page245"/>
    <w:bookmarkEnd w:id="244"/>
    <w:p>
      <w:pPr>
        <w:jc w:val="right"/>
        <w:spacing w:after="0"/>
        <w:rPr>
          <w:sz w:val="20"/>
          <w:szCs w:val="20"/>
          <w:color w:val="auto"/>
        </w:rPr>
      </w:pPr>
      <w:r>
        <w:rPr>
          <w:rFonts w:ascii="Arial" w:cs="Arial" w:eastAsia="Arial" w:hAnsi="Arial"/>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314960</wp:posOffset>
            </wp:positionV>
            <wp:extent cx="5349240" cy="436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4">
                      <a:extLst>
                        <a:ext uri="{28A0092B-C50C-407E-A947-70E740481C1C}"/>
                      </a:extLst>
                    </a:blip>
                    <a:srcRect/>
                    <a:stretch>
                      <a:fillRect/>
                    </a:stretch>
                  </pic:blipFill>
                  <pic:spPr bwMode="auto">
                    <a:xfrm>
                      <a:off x="0" y="0"/>
                      <a:ext cx="534924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COMPASS DIVERSIFIED HOLDINGS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COMPASS GROUP DIVERSIFIED HOLDINGS LLC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(INCLUDING SUBSIDIARIES)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COMPASS GROUP MANAGEMENT LLC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POLICY REGARDING INSIDER TRADING,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TIPPING AND OTHER WRONGFUL DISCLOSURES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Guidelines with Respect to Certain Transactions in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of Compass Diversified Holdings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1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 xml:space="preserve">Federal and state securities laws prohibit the purchase or sale of a public company’s securities by persons who possess material information about that company that is not generally known or available to the public. These laws also prohibit persons who possess Material Non-Public Information (as defined in </w:t>
      </w:r>
      <w:r>
        <w:rPr>
          <w:rFonts w:ascii="Arial" w:cs="Arial" w:eastAsia="Arial" w:hAnsi="Arial"/>
          <w:sz w:val="20"/>
          <w:szCs w:val="20"/>
          <w:u w:val="single" w:color="auto"/>
          <w:color w:val="auto"/>
        </w:rPr>
        <w:t>Section E</w:t>
      </w:r>
      <w:r>
        <w:rPr>
          <w:rFonts w:ascii="Arial" w:cs="Arial" w:eastAsia="Arial" w:hAnsi="Arial"/>
          <w:sz w:val="20"/>
          <w:szCs w:val="20"/>
          <w:color w:val="auto"/>
        </w:rPr>
        <w:t xml:space="preserve"> below) from disclosing this information to others who may trade. This Policy Regarding Insider Trading, Tipping and Other Wrongful Disclosures (this “</w:t>
      </w:r>
      <w:r>
        <w:rPr>
          <w:rFonts w:ascii="Arial" w:cs="Arial" w:eastAsia="Arial" w:hAnsi="Arial"/>
          <w:sz w:val="20"/>
          <w:szCs w:val="20"/>
          <w:u w:val="single" w:color="auto"/>
          <w:color w:val="auto"/>
        </w:rPr>
        <w:t>Policy</w:t>
      </w:r>
      <w:r>
        <w:rPr>
          <w:rFonts w:ascii="Arial" w:cs="Arial" w:eastAsia="Arial" w:hAnsi="Arial"/>
          <w:sz w:val="20"/>
          <w:szCs w:val="20"/>
          <w:color w:val="auto"/>
        </w:rPr>
        <w:t xml:space="preserve">”) provides guidelines to employees, officers, directors, consultants and contractors of </w:t>
      </w:r>
      <w:r>
        <w:rPr>
          <w:rFonts w:ascii="Arial" w:cs="Arial" w:eastAsia="Arial" w:hAnsi="Arial"/>
          <w:sz w:val="20"/>
          <w:szCs w:val="20"/>
          <w:b w:val="1"/>
          <w:bCs w:val="1"/>
          <w:color w:val="auto"/>
        </w:rPr>
        <w:t>Compass Diversified Holdings</w:t>
      </w:r>
      <w:r>
        <w:rPr>
          <w:rFonts w:ascii="Arial" w:cs="Arial" w:eastAsia="Arial" w:hAnsi="Arial"/>
          <w:sz w:val="20"/>
          <w:szCs w:val="20"/>
          <w:color w:val="auto"/>
        </w:rPr>
        <w:t xml:space="preserve"> (“</w:t>
      </w:r>
      <w:r>
        <w:rPr>
          <w:rFonts w:ascii="Arial" w:cs="Arial" w:eastAsia="Arial" w:hAnsi="Arial"/>
          <w:sz w:val="20"/>
          <w:szCs w:val="20"/>
          <w:u w:val="single" w:color="auto"/>
          <w:color w:val="auto"/>
        </w:rPr>
        <w:t>Holdings</w:t>
      </w:r>
      <w:r>
        <w:rPr>
          <w:rFonts w:ascii="Arial" w:cs="Arial" w:eastAsia="Arial" w:hAnsi="Arial"/>
          <w:sz w:val="20"/>
          <w:szCs w:val="20"/>
          <w:color w:val="auto"/>
        </w:rPr>
        <w:t xml:space="preserve">”), </w:t>
      </w:r>
      <w:r>
        <w:rPr>
          <w:rFonts w:ascii="Arial" w:cs="Arial" w:eastAsia="Arial" w:hAnsi="Arial"/>
          <w:sz w:val="20"/>
          <w:szCs w:val="20"/>
          <w:b w:val="1"/>
          <w:bCs w:val="1"/>
          <w:color w:val="auto"/>
        </w:rPr>
        <w:t>Compass Group</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Diversified Holdings LLC </w:t>
      </w:r>
      <w:r>
        <w:rPr>
          <w:rFonts w:ascii="Arial" w:cs="Arial" w:eastAsia="Arial" w:hAnsi="Arial"/>
          <w:sz w:val="20"/>
          <w:szCs w:val="20"/>
          <w:color w:val="auto"/>
        </w:rPr>
        <w:t>(the “</w:t>
      </w:r>
      <w:r>
        <w:rPr>
          <w:rFonts w:ascii="Arial" w:cs="Arial" w:eastAsia="Arial" w:hAnsi="Arial"/>
          <w:sz w:val="20"/>
          <w:szCs w:val="20"/>
          <w:u w:val="single" w:color="auto"/>
          <w:color w:val="auto"/>
        </w:rPr>
        <w:t>LLC</w:t>
      </w:r>
      <w:r>
        <w:rPr>
          <w:rFonts w:ascii="Arial" w:cs="Arial" w:eastAsia="Arial" w:hAnsi="Arial"/>
          <w:sz w:val="20"/>
          <w:szCs w:val="20"/>
          <w:color w:val="auto"/>
        </w:rPr>
        <w:t>”, and together with Holdings, “</w:t>
      </w:r>
      <w:r>
        <w:rPr>
          <w:rFonts w:ascii="Arial" w:cs="Arial" w:eastAsia="Arial" w:hAnsi="Arial"/>
          <w:sz w:val="20"/>
          <w:szCs w:val="20"/>
          <w:u w:val="single" w:color="auto"/>
          <w:color w:val="auto"/>
        </w:rPr>
        <w:t>Compass Diversified</w:t>
      </w:r>
      <w:r>
        <w:rPr>
          <w:rFonts w:ascii="Arial" w:cs="Arial" w:eastAsia="Arial" w:hAnsi="Arial"/>
          <w:sz w:val="20"/>
          <w:szCs w:val="20"/>
          <w:color w:val="auto"/>
        </w:rPr>
        <w:t>”), the</w:t>
      </w:r>
      <w:r>
        <w:rPr>
          <w:rFonts w:ascii="Arial" w:cs="Arial" w:eastAsia="Arial" w:hAnsi="Arial"/>
          <w:sz w:val="20"/>
          <w:szCs w:val="20"/>
          <w:b w:val="1"/>
          <w:bCs w:val="1"/>
          <w:color w:val="auto"/>
        </w:rPr>
        <w:t xml:space="preserve"> majority-controlled subsidiaries </w:t>
      </w:r>
      <w:r>
        <w:rPr>
          <w:rFonts w:ascii="Arial" w:cs="Arial" w:eastAsia="Arial" w:hAnsi="Arial"/>
          <w:sz w:val="20"/>
          <w:szCs w:val="20"/>
          <w:color w:val="auto"/>
        </w:rPr>
        <w:t>of the LLC (the “</w:t>
      </w:r>
      <w:r>
        <w:rPr>
          <w:rFonts w:ascii="Arial" w:cs="Arial" w:eastAsia="Arial" w:hAnsi="Arial"/>
          <w:sz w:val="20"/>
          <w:szCs w:val="20"/>
          <w:u w:val="single" w:color="auto"/>
          <w:color w:val="auto"/>
        </w:rPr>
        <w:t>Subsidiary Companies</w:t>
      </w:r>
      <w:r>
        <w:rPr>
          <w:rFonts w:ascii="Arial" w:cs="Arial" w:eastAsia="Arial" w:hAnsi="Arial"/>
          <w:sz w:val="20"/>
          <w:szCs w:val="20"/>
          <w:color w:val="auto"/>
        </w:rPr>
        <w:t>”), and the external Manager of the LLC,</w:t>
      </w:r>
      <w:r>
        <w:rPr>
          <w:rFonts w:ascii="Arial" w:cs="Arial" w:eastAsia="Arial" w:hAnsi="Arial"/>
          <w:sz w:val="20"/>
          <w:szCs w:val="20"/>
          <w:b w:val="1"/>
          <w:bCs w:val="1"/>
          <w:color w:val="auto"/>
        </w:rPr>
        <w:t xml:space="preserve"> Compass Group Management LLC </w:t>
      </w:r>
      <w:r>
        <w:rPr>
          <w:rFonts w:ascii="Arial" w:cs="Arial" w:eastAsia="Arial" w:hAnsi="Arial"/>
          <w:sz w:val="20"/>
          <w:szCs w:val="20"/>
          <w:color w:val="auto"/>
        </w:rPr>
        <w:t>(the “</w:t>
      </w:r>
      <w:r>
        <w:rPr>
          <w:rFonts w:ascii="Arial" w:cs="Arial" w:eastAsia="Arial" w:hAnsi="Arial"/>
          <w:sz w:val="20"/>
          <w:szCs w:val="20"/>
          <w:u w:val="single" w:color="auto"/>
          <w:color w:val="auto"/>
        </w:rPr>
        <w:t>Manager</w:t>
      </w:r>
      <w:r>
        <w:rPr>
          <w:rFonts w:ascii="Arial" w:cs="Arial" w:eastAsia="Arial" w:hAnsi="Arial"/>
          <w:sz w:val="20"/>
          <w:szCs w:val="20"/>
          <w:color w:val="auto"/>
        </w:rPr>
        <w:t>”) with respect to transactions in securities issued by Holdings and also contains restrictions on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communication of information each of the foregoing may learn during the course of employment with or other services performed on behalf of Compass Diversified, the Subsidiary Companies or the Manager.</w:t>
      </w:r>
    </w:p>
    <w:p>
      <w:pPr>
        <w:spacing w:after="0" w:line="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b w:val="1"/>
          <w:bCs w:val="1"/>
          <w:i w:val="1"/>
          <w:iCs w:val="1"/>
          <w:color w:val="auto"/>
        </w:rPr>
        <w:t>Violations of laws relating to insider trading may be punished by criminal penalties (including prison sentences) and civil penalties. In addition, officers and employees of Compass Diversified, the Subsidiary Companies or the Manager who violate this Policy shall be subject to disciplinary action, which may include termination of employment or ineligibility for future participation in equity incentive plans.</w:t>
      </w:r>
    </w:p>
    <w:p>
      <w:pPr>
        <w:spacing w:after="0" w:line="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 Securities and Exchange Commission (the “</w:t>
      </w:r>
      <w:r>
        <w:rPr>
          <w:rFonts w:ascii="Arial" w:cs="Arial" w:eastAsia="Arial" w:hAnsi="Arial"/>
          <w:sz w:val="20"/>
          <w:szCs w:val="20"/>
          <w:u w:val="single" w:color="auto"/>
          <w:color w:val="auto"/>
        </w:rPr>
        <w:t>SEC</w:t>
      </w:r>
      <w:r>
        <w:rPr>
          <w:rFonts w:ascii="Arial" w:cs="Arial" w:eastAsia="Arial" w:hAnsi="Arial"/>
          <w:sz w:val="20"/>
          <w:szCs w:val="20"/>
          <w:color w:val="auto"/>
        </w:rPr>
        <w:t>”) and stock exchanges use sophisticated electronic surveillance techniques to uncover insider trading. The SEC and the Department of Justice pursue insider trading violations vigorously. Cases have been successfully prosecuted against trading through foreign accounts, trading by family members and friends, and trading involving only a small number of shares.</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Please note that other policy statements in effect at Compass Diversified, the Manager and the Subsidiary Companies also require you to protect proprietary information and contain restrictions on unauthorized disclosure of information, including, for example, the Codes of Ethics of Compass Diversified and the Subsidiary Companies, and the Compliance Manual of the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compassdiversified.com</w:t>
      </w:r>
      <w:r>
        <w:rPr>
          <w:sz w:val="20"/>
          <w:szCs w:val="20"/>
          <w:color w:val="auto"/>
        </w:rPr>
        <w:tab/>
      </w:r>
      <w:r>
        <w:rPr>
          <w:rFonts w:ascii="Arial" w:cs="Arial" w:eastAsia="Arial" w:hAnsi="Arial"/>
          <w:sz w:val="18"/>
          <w:szCs w:val="18"/>
          <w:color w:val="auto"/>
        </w:rPr>
        <w:t>1</w:t>
      </w:r>
    </w:p>
    <w:p>
      <w:pPr>
        <w:sectPr>
          <w:pgSz w:w="11900" w:h="16838" w:orient="portrait"/>
          <w:cols w:equalWidth="0" w:num="1">
            <w:col w:w="11240"/>
          </w:cols>
          <w:pgMar w:left="320" w:top="818" w:right="339" w:bottom="1440" w:gutter="0" w:footer="0" w:header="0"/>
        </w:sectPr>
      </w:pPr>
    </w:p>
    <w:bookmarkStart w:id="245" w:name="page246"/>
    <w:bookmarkEnd w:id="245"/>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Applicability of this Policy</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this Policy, we refer to securities issued by Holdings as “</w:t>
      </w:r>
      <w:r>
        <w:rPr>
          <w:rFonts w:ascii="Arial" w:cs="Arial" w:eastAsia="Arial" w:hAnsi="Arial"/>
          <w:sz w:val="20"/>
          <w:szCs w:val="20"/>
          <w:u w:val="single" w:color="auto"/>
          <w:color w:val="auto"/>
        </w:rPr>
        <w:t>Covered Securities</w:t>
      </w:r>
      <w:r>
        <w:rPr>
          <w:rFonts w:ascii="Arial" w:cs="Arial" w:eastAsia="Arial" w:hAnsi="Arial"/>
          <w:sz w:val="20"/>
          <w:szCs w:val="20"/>
          <w:color w:val="auto"/>
        </w:rPr>
        <w:t>.” In addition, we use the terms a “</w:t>
      </w:r>
      <w:r>
        <w:rPr>
          <w:rFonts w:ascii="Arial" w:cs="Arial" w:eastAsia="Arial" w:hAnsi="Arial"/>
          <w:sz w:val="20"/>
          <w:szCs w:val="20"/>
          <w:u w:val="single" w:color="auto"/>
          <w:color w:val="auto"/>
        </w:rPr>
        <w:t>Company</w:t>
      </w:r>
      <w:r>
        <w:rPr>
          <w:rFonts w:ascii="Arial" w:cs="Arial" w:eastAsia="Arial" w:hAnsi="Arial"/>
          <w:sz w:val="20"/>
          <w:szCs w:val="20"/>
          <w:color w:val="auto"/>
        </w:rPr>
        <w:t>” or the “</w:t>
      </w:r>
      <w:r>
        <w:rPr>
          <w:rFonts w:ascii="Arial" w:cs="Arial" w:eastAsia="Arial" w:hAnsi="Arial"/>
          <w:sz w:val="20"/>
          <w:szCs w:val="20"/>
          <w:u w:val="single" w:color="auto"/>
          <w:color w:val="auto"/>
        </w:rPr>
        <w:t>Companies</w:t>
      </w:r>
      <w:r>
        <w:rPr>
          <w:rFonts w:ascii="Arial" w:cs="Arial" w:eastAsia="Arial" w:hAnsi="Arial"/>
          <w:sz w:val="20"/>
          <w:szCs w:val="20"/>
          <w:color w:val="auto"/>
        </w:rPr>
        <w:t>” to collectively refer to Holdings, the LLC, the Subsidiary Companies and the Manager and all of their respective subsidiaries. We sometimes refer to employees (including part-time and temporary employees), officers, directors, consultants and contractors of the Companies as “</w:t>
      </w:r>
      <w:r>
        <w:rPr>
          <w:rFonts w:ascii="Arial" w:cs="Arial" w:eastAsia="Arial" w:hAnsi="Arial"/>
          <w:sz w:val="20"/>
          <w:szCs w:val="20"/>
          <w:u w:val="single" w:color="auto"/>
          <w:color w:val="auto"/>
        </w:rPr>
        <w:t>Covered Persons</w:t>
      </w:r>
      <w:r>
        <w:rPr>
          <w:rFonts w:ascii="Arial" w:cs="Arial" w:eastAsia="Arial" w:hAnsi="Arial"/>
          <w:sz w:val="20"/>
          <w:szCs w:val="20"/>
          <w:color w:val="auto"/>
        </w:rPr>
        <w:t>.” Covered Persons, members of their immediate families, and members of their households are sometimes referred to in this Policy as “</w:t>
      </w:r>
      <w:r>
        <w:rPr>
          <w:rFonts w:ascii="Arial" w:cs="Arial" w:eastAsia="Arial" w:hAnsi="Arial"/>
          <w:sz w:val="20"/>
          <w:szCs w:val="20"/>
          <w:u w:val="single" w:color="auto"/>
          <w:color w:val="auto"/>
        </w:rPr>
        <w:t>insiders</w:t>
      </w:r>
      <w:r>
        <w:rPr>
          <w:rFonts w:ascii="Arial" w:cs="Arial" w:eastAsia="Arial" w:hAnsi="Arial"/>
          <w:sz w:val="20"/>
          <w:szCs w:val="20"/>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This Policy applies to:</w:t>
      </w:r>
    </w:p>
    <w:p>
      <w:pPr>
        <w:spacing w:after="0" w:line="108" w:lineRule="exact"/>
        <w:rPr>
          <w:sz w:val="20"/>
          <w:szCs w:val="20"/>
          <w:color w:val="auto"/>
        </w:rPr>
      </w:pPr>
    </w:p>
    <w:p>
      <w:pPr>
        <w:jc w:val="both"/>
        <w:ind w:left="660" w:hanging="328"/>
        <w:spacing w:after="0" w:line="262" w:lineRule="auto"/>
        <w:tabs>
          <w:tab w:leader="none" w:pos="64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transactions in all types of Covered Securities by Covered Persons and other insiders, including transactions in common stock, preferred stock, convertible debentures and notes, options, warrants and any other securities Holdings may issue from time to time; and</w:t>
      </w:r>
    </w:p>
    <w:p>
      <w:pPr>
        <w:spacing w:after="0" w:line="70"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transactions in derivative securities relating to Covered Securities, whether or not issued by Holdings, such as exchange-traded options.</w:t>
      </w:r>
    </w:p>
    <w:p>
      <w:pPr>
        <w:spacing w:after="0" w:line="3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Under this Policy, an insider may, from time to time, have to forego a proposed transaction in Covered Securities even if he or she planned to make the transaction before learning of the Material Non-Public Information (as defined below) and even though the insider believes he or she may suffer an economic loss or forego anticipated profit by refraining from trading. Please note that, regardless of the Company at which a Covered Person is employed, this Policy applies to transactions by the Covered Person in all of the Covered Securities issued by Holdings.</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principles described in this Policy also apply to Material Non-Public Information relating to other companies, including the customers and business partners of the Companies, when that information is obtained in the course of employment with or other services performed on behalf of, the Companies.</w:t>
      </w:r>
    </w:p>
    <w:p>
      <w:pPr>
        <w:spacing w:after="0" w:line="7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Civil and criminal penalties, and termination of employment, may result from trading on inside information regarding the customers or business partners of the Companies.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of Policy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General Policy</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It is the policy of the Companies to oppose the unauthorized disclosure of any non-public information acquired in the course of employment with, or other services performed on behalf of the Companies, and the misuse of Material Non-Public Information in securities trading. It is also the policy of Compass Diversified that Compass Diversified will not engage in transactions in Covered Securities while aware of Material Non-Public Information relating to Compass Diversified or Covered Securities, other than in compliance with applicable law.</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 Specific Policies</w:t>
      </w:r>
    </w:p>
    <w:p>
      <w:pPr>
        <w:spacing w:after="0" w:line="173" w:lineRule="exact"/>
        <w:rPr>
          <w:sz w:val="20"/>
          <w:szCs w:val="20"/>
          <w:color w:val="auto"/>
        </w:rPr>
      </w:pPr>
    </w:p>
    <w:p>
      <w:pPr>
        <w:jc w:val="both"/>
        <w:ind w:firstLine="656"/>
        <w:spacing w:after="0" w:line="263" w:lineRule="auto"/>
        <w:tabs>
          <w:tab w:leader="none" w:pos="895" w:val="left"/>
        </w:tabs>
        <w:numPr>
          <w:ilvl w:val="0"/>
          <w:numId w:val="123"/>
        </w:numPr>
        <w:rPr>
          <w:rFonts w:ascii="Arial" w:cs="Arial" w:eastAsia="Arial" w:hAnsi="Arial"/>
          <w:sz w:val="20"/>
          <w:szCs w:val="20"/>
          <w:color w:val="auto"/>
        </w:rPr>
      </w:pPr>
      <w:r>
        <w:rPr>
          <w:rFonts w:ascii="Arial" w:cs="Arial" w:eastAsia="Arial" w:hAnsi="Arial"/>
          <w:sz w:val="20"/>
          <w:szCs w:val="20"/>
          <w:b w:val="1"/>
          <w:bCs w:val="1"/>
          <w:color w:val="auto"/>
        </w:rPr>
        <w:t xml:space="preserve">Trading on Material Non-Public Information. </w:t>
      </w:r>
      <w:r>
        <w:rPr>
          <w:rFonts w:ascii="Arial" w:cs="Arial" w:eastAsia="Arial" w:hAnsi="Arial"/>
          <w:sz w:val="20"/>
          <w:szCs w:val="20"/>
          <w:color w:val="auto"/>
        </w:rPr>
        <w:t>No Covered Person, and no member of the immediate family or</w:t>
      </w:r>
      <w:r>
        <w:rPr>
          <w:rFonts w:ascii="Arial" w:cs="Arial" w:eastAsia="Arial" w:hAnsi="Arial"/>
          <w:sz w:val="20"/>
          <w:szCs w:val="20"/>
          <w:b w:val="1"/>
          <w:bCs w:val="1"/>
          <w:color w:val="auto"/>
        </w:rPr>
        <w:t xml:space="preserve"> </w:t>
      </w:r>
      <w:r>
        <w:rPr>
          <w:rFonts w:ascii="Arial" w:cs="Arial" w:eastAsia="Arial" w:hAnsi="Arial"/>
          <w:sz w:val="20"/>
          <w:szCs w:val="20"/>
          <w:color w:val="auto"/>
        </w:rPr>
        <w:t>household of any Covered Person, shall engage in any transaction in Covered Securities, including any offer to purchase or offer to sell, during any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compassdiversified.com</w:t>
      </w:r>
      <w:r>
        <w:rPr>
          <w:sz w:val="20"/>
          <w:szCs w:val="20"/>
          <w:color w:val="auto"/>
        </w:rPr>
        <w:tab/>
      </w: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91" w:lineRule="exact"/>
        <w:rPr>
          <w:sz w:val="20"/>
          <w:szCs w:val="20"/>
          <w:color w:val="auto"/>
        </w:rPr>
      </w:pPr>
    </w:p>
    <w:p>
      <w:pPr>
        <w:ind w:left="640" w:hanging="308"/>
        <w:spacing w:after="0"/>
        <w:tabs>
          <w:tab w:leader="none" w:pos="64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commencing with the date that he or she possesses Material Non-Public Information concerning the Company, and</w:t>
      </w:r>
    </w:p>
    <w:p>
      <w:pPr>
        <w:spacing w:after="0" w:line="121" w:lineRule="exact"/>
        <w:rPr>
          <w:rFonts w:ascii="Arial" w:cs="Arial" w:eastAsia="Arial" w:hAnsi="Arial"/>
          <w:sz w:val="20"/>
          <w:szCs w:val="20"/>
          <w:color w:val="auto"/>
        </w:rPr>
      </w:pPr>
    </w:p>
    <w:p>
      <w:pPr>
        <w:ind w:left="660" w:hanging="328"/>
        <w:spacing w:after="0" w:line="271" w:lineRule="auto"/>
        <w:tabs>
          <w:tab w:leader="none" w:pos="648" w:val="left"/>
        </w:tabs>
        <w:numPr>
          <w:ilvl w:val="0"/>
          <w:numId w:val="124"/>
        </w:numPr>
        <w:rPr>
          <w:rFonts w:ascii="Arial" w:cs="Arial" w:eastAsia="Arial" w:hAnsi="Arial"/>
          <w:sz w:val="20"/>
          <w:szCs w:val="20"/>
          <w:color w:val="auto"/>
        </w:rPr>
      </w:pPr>
      <w:r>
        <w:rPr>
          <w:rFonts w:ascii="Arial" w:cs="Arial" w:eastAsia="Arial" w:hAnsi="Arial"/>
          <w:sz w:val="20"/>
          <w:szCs w:val="20"/>
          <w:color w:val="auto"/>
        </w:rPr>
        <w:t>ending at the close of the first Full Trading Session (as defined below) following the date and time of public disclosure of that information, or at such time as such nonpublic information is no longer material.</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The only exceptions to this are those specified below in </w:t>
      </w:r>
      <w:r>
        <w:rPr>
          <w:rFonts w:ascii="Arial" w:cs="Arial" w:eastAsia="Arial" w:hAnsi="Arial"/>
          <w:sz w:val="20"/>
          <w:szCs w:val="20"/>
          <w:u w:val="single" w:color="auto"/>
          <w:color w:val="auto"/>
        </w:rPr>
        <w:t>Section F</w:t>
      </w:r>
      <w:r>
        <w:rPr>
          <w:rFonts w:ascii="Arial" w:cs="Arial" w:eastAsia="Arial" w:hAnsi="Arial"/>
          <w:sz w:val="20"/>
          <w:szCs w:val="20"/>
          <w:color w:val="auto"/>
        </w:rPr>
        <w:t xml:space="preserve"> of this Policy: (a) trading pursuant to a pre-arranged trading plan that complies with SEC Rule 10b5-1 and approved by a Compliance Officer (identified at the end of this Policy); and (b) certain non-market transactions where Holdings is the only other party to the transaction. As used in this Policy, the term “</w:t>
      </w:r>
      <w:r>
        <w:rPr>
          <w:rFonts w:ascii="Arial" w:cs="Arial" w:eastAsia="Arial" w:hAnsi="Arial"/>
          <w:sz w:val="20"/>
          <w:szCs w:val="20"/>
          <w:u w:val="single" w:color="auto"/>
          <w:color w:val="auto"/>
        </w:rPr>
        <w:t>Full</w:t>
      </w:r>
      <w:r>
        <w:rPr>
          <w:rFonts w:ascii="Arial" w:cs="Arial" w:eastAsia="Arial" w:hAnsi="Arial"/>
          <w:sz w:val="20"/>
          <w:szCs w:val="20"/>
          <w:color w:val="auto"/>
        </w:rPr>
        <w:t xml:space="preserve"> </w:t>
      </w:r>
      <w:r>
        <w:rPr>
          <w:rFonts w:ascii="Arial" w:cs="Arial" w:eastAsia="Arial" w:hAnsi="Arial"/>
          <w:sz w:val="20"/>
          <w:szCs w:val="20"/>
          <w:u w:val="single" w:color="auto"/>
          <w:color w:val="auto"/>
        </w:rPr>
        <w:t>Trading Session</w:t>
      </w:r>
      <w:r>
        <w:rPr>
          <w:rFonts w:ascii="Arial" w:cs="Arial" w:eastAsia="Arial" w:hAnsi="Arial"/>
          <w:sz w:val="20"/>
          <w:szCs w:val="20"/>
          <w:color w:val="auto"/>
        </w:rPr>
        <w:t>” means the period during any day commencing when the New York Stock Exchange opens for pre-market trading and ending when it closes for after-market trading.</w:t>
      </w:r>
    </w:p>
    <w:p>
      <w:pPr>
        <w:spacing w:after="0" w:line="77" w:lineRule="exact"/>
        <w:rPr>
          <w:sz w:val="20"/>
          <w:szCs w:val="20"/>
          <w:color w:val="auto"/>
        </w:rPr>
      </w:pPr>
    </w:p>
    <w:p>
      <w:pPr>
        <w:jc w:val="both"/>
        <w:ind w:firstLine="656"/>
        <w:spacing w:after="0" w:line="256" w:lineRule="auto"/>
        <w:tabs>
          <w:tab w:leader="none" w:pos="895" w:val="left"/>
        </w:tabs>
        <w:numPr>
          <w:ilvl w:val="1"/>
          <w:numId w:val="125"/>
        </w:numPr>
        <w:rPr>
          <w:rFonts w:ascii="Arial" w:cs="Arial" w:eastAsia="Arial" w:hAnsi="Arial"/>
          <w:sz w:val="20"/>
          <w:szCs w:val="20"/>
          <w:color w:val="auto"/>
        </w:rPr>
      </w:pPr>
      <w:r>
        <w:rPr>
          <w:rFonts w:ascii="Arial" w:cs="Arial" w:eastAsia="Arial" w:hAnsi="Arial"/>
          <w:sz w:val="20"/>
          <w:szCs w:val="20"/>
          <w:b w:val="1"/>
          <w:bCs w:val="1"/>
          <w:color w:val="auto"/>
        </w:rPr>
        <w:t xml:space="preserve">Tipping. </w:t>
      </w:r>
      <w:r>
        <w:rPr>
          <w:rFonts w:ascii="Arial" w:cs="Arial" w:eastAsia="Arial" w:hAnsi="Arial"/>
          <w:sz w:val="20"/>
          <w:szCs w:val="20"/>
          <w:color w:val="auto"/>
        </w:rPr>
        <w:t>No Covered Person shall disclose (“</w:t>
      </w:r>
      <w:r>
        <w:rPr>
          <w:rFonts w:ascii="Arial" w:cs="Arial" w:eastAsia="Arial" w:hAnsi="Arial"/>
          <w:sz w:val="20"/>
          <w:szCs w:val="20"/>
          <w:u w:val="single" w:color="auto"/>
          <w:color w:val="auto"/>
        </w:rPr>
        <w:t>tip</w:t>
      </w:r>
      <w:r>
        <w:rPr>
          <w:rFonts w:ascii="Arial" w:cs="Arial" w:eastAsia="Arial" w:hAnsi="Arial"/>
          <w:sz w:val="20"/>
          <w:szCs w:val="20"/>
          <w:color w:val="auto"/>
        </w:rPr>
        <w:t>”) Material Non-Public Information to any other person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family members) where such information could be used by such person to profit by trading in Covered Securities or the securities of other companies to which such information relates, nor shall any Covered Person make recommendations or express opinions based on Material Non-Public Information as to trading in Covered Securities or the securities of other companies. </w:t>
      </w:r>
      <w:r>
        <w:rPr>
          <w:rFonts w:ascii="Arial" w:cs="Arial" w:eastAsia="Arial" w:hAnsi="Arial"/>
          <w:sz w:val="20"/>
          <w:szCs w:val="20"/>
          <w:b w:val="1"/>
          <w:bCs w:val="1"/>
          <w:color w:val="auto"/>
        </w:rPr>
        <w:t>Tipping may subject the tipper to criminal and civil penalties, even when the tipper does not profit by the</w:t>
      </w:r>
      <w:r>
        <w:rPr>
          <w:rFonts w:ascii="Arial" w:cs="Arial" w:eastAsia="Arial" w:hAnsi="Arial"/>
          <w:sz w:val="20"/>
          <w:szCs w:val="20"/>
          <w:color w:val="auto"/>
        </w:rPr>
        <w:t xml:space="preserve"> </w:t>
      </w:r>
      <w:r>
        <w:rPr>
          <w:rFonts w:ascii="Arial" w:cs="Arial" w:eastAsia="Arial" w:hAnsi="Arial"/>
          <w:sz w:val="20"/>
          <w:szCs w:val="20"/>
          <w:b w:val="1"/>
          <w:bCs w:val="1"/>
          <w:color w:val="auto"/>
        </w:rPr>
        <w:t>prohibited disclosure.</w:t>
      </w:r>
    </w:p>
    <w:p>
      <w:pPr>
        <w:spacing w:after="0" w:line="109" w:lineRule="exact"/>
        <w:rPr>
          <w:rFonts w:ascii="Arial" w:cs="Arial" w:eastAsia="Arial" w:hAnsi="Arial"/>
          <w:sz w:val="20"/>
          <w:szCs w:val="20"/>
          <w:color w:val="auto"/>
        </w:rPr>
      </w:pPr>
    </w:p>
    <w:p>
      <w:pPr>
        <w:ind w:left="260" w:hanging="252"/>
        <w:spacing w:after="0"/>
        <w:tabs>
          <w:tab w:leader="none" w:pos="260" w:val="left"/>
        </w:tabs>
        <w:numPr>
          <w:ilvl w:val="0"/>
          <w:numId w:val="12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Pre-Clearance; Blackout Periods and Other Responsibilities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To promote compliance with applicable federal and state securities laws, the Companies require compliance with the following procedures in connection with trading in Covered Securities:</w:t>
      </w:r>
    </w:p>
    <w:p>
      <w:pPr>
        <w:spacing w:after="0" w:line="84" w:lineRule="exact"/>
        <w:rPr>
          <w:sz w:val="20"/>
          <w:szCs w:val="20"/>
          <w:color w:val="auto"/>
        </w:rPr>
      </w:pPr>
    </w:p>
    <w:p>
      <w:pPr>
        <w:jc w:val="both"/>
        <w:ind w:firstLine="656"/>
        <w:spacing w:after="0" w:line="255" w:lineRule="auto"/>
        <w:tabs>
          <w:tab w:leader="none" w:pos="881"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Pre-Clearance Persons. </w:t>
      </w:r>
      <w:r>
        <w:rPr>
          <w:rFonts w:ascii="Arial" w:cs="Arial" w:eastAsia="Arial" w:hAnsi="Arial"/>
          <w:sz w:val="20"/>
          <w:szCs w:val="20"/>
          <w:color w:val="auto"/>
        </w:rPr>
        <w:t>“</w:t>
      </w:r>
      <w:r>
        <w:rPr>
          <w:rFonts w:ascii="Arial" w:cs="Arial" w:eastAsia="Arial" w:hAnsi="Arial"/>
          <w:sz w:val="20"/>
          <w:szCs w:val="20"/>
          <w:u w:val="single" w:color="auto"/>
          <w:color w:val="auto"/>
        </w:rPr>
        <w:t>Pre-Clearance Persons</w:t>
      </w:r>
      <w:r>
        <w:rPr>
          <w:rFonts w:ascii="Arial" w:cs="Arial" w:eastAsia="Arial" w:hAnsi="Arial"/>
          <w:sz w:val="20"/>
          <w:szCs w:val="20"/>
          <w:color w:val="auto"/>
        </w:rPr>
        <w:t>” include: (a) all members of the boards of directors of each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Companies, (b) all executive officers of each of the Companies, and (c) other specifically designated employees of each of the Companies. The list of Pre-Clearance Persons is intended to include those individuals having regular access to Material Non-Public Information. Pre-Clearance Persons must refrain </w:t>
      </w:r>
      <w:r>
        <w:rPr>
          <w:rFonts w:ascii="Arial" w:cs="Arial" w:eastAsia="Arial" w:hAnsi="Arial"/>
          <w:sz w:val="20"/>
          <w:szCs w:val="20"/>
          <w:b w:val="1"/>
          <w:bCs w:val="1"/>
          <w:color w:val="auto"/>
        </w:rPr>
        <w:t>at all times</w:t>
      </w:r>
      <w:r>
        <w:rPr>
          <w:rFonts w:ascii="Arial" w:cs="Arial" w:eastAsia="Arial" w:hAnsi="Arial"/>
          <w:sz w:val="20"/>
          <w:szCs w:val="20"/>
          <w:color w:val="auto"/>
        </w:rPr>
        <w:t xml:space="preserve"> from conducting transactions in Covered Securities without first complying with the “pre-clearance” process.</w:t>
      </w:r>
    </w:p>
    <w:p>
      <w:pPr>
        <w:spacing w:after="0" w:line="74" w:lineRule="exact"/>
        <w:rPr>
          <w:sz w:val="20"/>
          <w:szCs w:val="20"/>
          <w:color w:val="auto"/>
        </w:rPr>
      </w:pPr>
    </w:p>
    <w:p>
      <w:pPr>
        <w:ind w:right="80"/>
        <w:spacing w:after="0" w:line="288" w:lineRule="auto"/>
        <w:rPr>
          <w:sz w:val="20"/>
          <w:szCs w:val="20"/>
          <w:color w:val="auto"/>
        </w:rPr>
      </w:pPr>
      <w:r>
        <w:rPr>
          <w:rFonts w:ascii="Arial" w:cs="Arial" w:eastAsia="Arial" w:hAnsi="Arial"/>
          <w:sz w:val="20"/>
          <w:szCs w:val="20"/>
          <w:color w:val="auto"/>
        </w:rPr>
        <w:t xml:space="preserve">Specifically, for </w:t>
      </w:r>
      <w:r>
        <w:rPr>
          <w:rFonts w:ascii="Arial" w:cs="Arial" w:eastAsia="Arial" w:hAnsi="Arial"/>
          <w:sz w:val="20"/>
          <w:szCs w:val="20"/>
          <w:b w:val="1"/>
          <w:bCs w:val="1"/>
          <w:color w:val="auto"/>
        </w:rPr>
        <w:t>each</w:t>
      </w:r>
      <w:r>
        <w:rPr>
          <w:rFonts w:ascii="Arial" w:cs="Arial" w:eastAsia="Arial" w:hAnsi="Arial"/>
          <w:sz w:val="20"/>
          <w:szCs w:val="20"/>
          <w:color w:val="auto"/>
        </w:rPr>
        <w:t xml:space="preserve"> transaction in Covered Securities that a Pre-Clearance Person wishes to make, the Pre-Clearance Person must, prior to engaging in the proposed transaction:</w:t>
      </w:r>
    </w:p>
    <w:p>
      <w:pPr>
        <w:spacing w:after="0" w:line="31" w:lineRule="exact"/>
        <w:rPr>
          <w:sz w:val="20"/>
          <w:szCs w:val="20"/>
          <w:color w:val="auto"/>
        </w:rPr>
      </w:pPr>
    </w:p>
    <w:p>
      <w:pPr>
        <w:ind w:left="640" w:hanging="308"/>
        <w:spacing w:after="0"/>
        <w:tabs>
          <w:tab w:leader="none" w:pos="64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provide a Compliance Officer with information, in advance, regarding the proposed transaction;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receive pre-clearance to engage in the proposed transaction from a Compliance Officer.</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Any such pre-clearance received from a Compliance Officer is valid only for </w:t>
      </w:r>
      <w:r>
        <w:rPr>
          <w:rFonts w:ascii="Arial" w:cs="Arial" w:eastAsia="Arial" w:hAnsi="Arial"/>
          <w:sz w:val="20"/>
          <w:szCs w:val="20"/>
          <w:i w:val="1"/>
          <w:iCs w:val="1"/>
          <w:color w:val="auto"/>
        </w:rPr>
        <w:t>one week</w:t>
      </w:r>
      <w:r>
        <w:rPr>
          <w:rFonts w:ascii="Arial" w:cs="Arial" w:eastAsia="Arial" w:hAnsi="Arial"/>
          <w:sz w:val="20"/>
          <w:szCs w:val="20"/>
          <w:color w:val="auto"/>
        </w:rPr>
        <w:t xml:space="preserve"> or such lesser time period as may be prescribed at the time pre-clearance is given. To avoid the appearance of any impropriety, Pre-Clearance Persons should seek pre-clearance for any transactions conducted by their spouse or other members of their family who share the same household.</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Companies may also find it necessary, from time to time, to require compliance with the pre-clearance process from certain employees, consultants and contractors other than the designated Pre-Clearance Persons. You must follow the above pre-clearance process if, for any specific period, you are directed to do so by a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compassdiversified.com</w:t>
      </w:r>
      <w:r>
        <w:rPr>
          <w:sz w:val="20"/>
          <w:szCs w:val="20"/>
          <w:color w:val="auto"/>
        </w:rPr>
        <w:tab/>
      </w: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243" w:lineRule="exact"/>
        <w:rPr>
          <w:sz w:val="20"/>
          <w:szCs w:val="20"/>
          <w:color w:val="auto"/>
        </w:rPr>
      </w:pPr>
    </w:p>
    <w:p>
      <w:pPr>
        <w:jc w:val="both"/>
        <w:ind w:firstLine="656"/>
        <w:spacing w:after="0" w:line="260" w:lineRule="auto"/>
        <w:tabs>
          <w:tab w:leader="none" w:pos="868" w:val="left"/>
        </w:tabs>
        <w:numPr>
          <w:ilvl w:val="1"/>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Quarterly Blackout Periods. </w:t>
      </w:r>
      <w:r>
        <w:rPr>
          <w:rFonts w:ascii="Arial" w:cs="Arial" w:eastAsia="Arial" w:hAnsi="Arial"/>
          <w:sz w:val="20"/>
          <w:szCs w:val="20"/>
          <w:color w:val="auto"/>
        </w:rPr>
        <w:t>The period directly before public disclosure and dissemination of the financial results for</w:t>
      </w:r>
      <w:r>
        <w:rPr>
          <w:rFonts w:ascii="Arial" w:cs="Arial" w:eastAsia="Arial" w:hAnsi="Arial"/>
          <w:sz w:val="20"/>
          <w:szCs w:val="20"/>
          <w:b w:val="1"/>
          <w:bCs w:val="1"/>
          <w:color w:val="auto"/>
        </w:rPr>
        <w:t xml:space="preserve"> </w:t>
      </w:r>
      <w:r>
        <w:rPr>
          <w:rFonts w:ascii="Arial" w:cs="Arial" w:eastAsia="Arial" w:hAnsi="Arial"/>
          <w:sz w:val="20"/>
          <w:szCs w:val="20"/>
          <w:color w:val="auto"/>
        </w:rPr>
        <w:t>a quarter is a particularly sensitive period of time for transactions by Covered Persons in Covered Securities from the perspective of compliance with applicable insider trading laws. Accordingly, a specified group of Covered Persons are subject to “</w:t>
      </w:r>
      <w:r>
        <w:rPr>
          <w:rFonts w:ascii="Arial" w:cs="Arial" w:eastAsia="Arial" w:hAnsi="Arial"/>
          <w:sz w:val="20"/>
          <w:szCs w:val="20"/>
          <w:u w:val="single" w:color="auto"/>
          <w:color w:val="auto"/>
        </w:rPr>
        <w:t>Quarterly Blackout Periods</w:t>
      </w:r>
      <w:r>
        <w:rPr>
          <w:rFonts w:ascii="Arial" w:cs="Arial" w:eastAsia="Arial" w:hAnsi="Arial"/>
          <w:sz w:val="20"/>
          <w:szCs w:val="20"/>
          <w:color w:val="auto"/>
        </w:rPr>
        <w:t>” and must refrain from conducting transactions in Covered Securities during the period:</w:t>
      </w:r>
    </w:p>
    <w:p>
      <w:pPr>
        <w:spacing w:after="0" w:line="58" w:lineRule="exact"/>
        <w:rPr>
          <w:rFonts w:ascii="Arial" w:cs="Arial" w:eastAsia="Arial" w:hAnsi="Arial"/>
          <w:sz w:val="20"/>
          <w:szCs w:val="20"/>
          <w:b w:val="1"/>
          <w:bCs w:val="1"/>
          <w:color w:val="auto"/>
        </w:rPr>
      </w:pPr>
    </w:p>
    <w:p>
      <w:pPr>
        <w:ind w:left="660" w:right="20" w:hanging="328"/>
        <w:spacing w:after="0" w:line="286" w:lineRule="auto"/>
        <w:tabs>
          <w:tab w:leader="none" w:pos="64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commencing 14 calendar days prior to the date that Compass Diversified has publicly announced as the expected date for the scheduled release of Compass Diversified’s quarterly earnings, and</w:t>
      </w:r>
    </w:p>
    <w:p>
      <w:pPr>
        <w:spacing w:after="0" w:line="45" w:lineRule="exact"/>
        <w:rPr>
          <w:rFonts w:ascii="Arial" w:cs="Arial" w:eastAsia="Arial" w:hAnsi="Arial"/>
          <w:sz w:val="20"/>
          <w:szCs w:val="20"/>
          <w:color w:val="auto"/>
        </w:rPr>
      </w:pPr>
    </w:p>
    <w:p>
      <w:pPr>
        <w:ind w:left="660" w:right="20" w:hanging="328"/>
        <w:spacing w:after="0" w:line="271" w:lineRule="auto"/>
        <w:tabs>
          <w:tab w:leader="none" w:pos="64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ending at the close of the first Full Trading Session following the date and time of public disclosure of Compass Diversified’s financial results for the particular fiscal quarter or year.</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specified group consists of: (a) all Pre-Clearance Persons, (b) certain employees having a title or currently assuming the responsibilities of Vice President or greater of the Companies, regardless of whether they are Pre-Clearance Persons, and (c) certain employees (regardless of position or title) who are employed in the finance departments of the Companies, regardless of whether they are Pre-Clearance Persons. The Compliance Officer(s) may add additional categories of employees to the specified group at any time.</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Compliance Officer(s) may initiate a Quarterly Blackout Period more than 14 days prior to the scheduled release of earnings by announcing the start date by electronic mail or other written notification to the specified group of Covered Persons.</w:t>
      </w:r>
    </w:p>
    <w:p>
      <w:pPr>
        <w:spacing w:after="0" w:line="113" w:lineRule="exact"/>
        <w:rPr>
          <w:sz w:val="20"/>
          <w:szCs w:val="20"/>
          <w:color w:val="auto"/>
        </w:rPr>
      </w:pPr>
    </w:p>
    <w:p>
      <w:pPr>
        <w:jc w:val="both"/>
        <w:ind w:firstLine="656"/>
        <w:spacing w:after="0" w:line="252" w:lineRule="auto"/>
        <w:tabs>
          <w:tab w:leader="none" w:pos="1141"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Special Blackout Periods. </w:t>
      </w:r>
      <w:r>
        <w:rPr>
          <w:rFonts w:ascii="Arial" w:cs="Arial" w:eastAsia="Arial" w:hAnsi="Arial"/>
          <w:sz w:val="20"/>
          <w:szCs w:val="20"/>
          <w:color w:val="auto"/>
        </w:rPr>
        <w:t>The Compliance Officer(s) may, at any time, require that specific Covered Persons</w:t>
      </w:r>
      <w:r>
        <w:rPr>
          <w:rFonts w:ascii="Arial" w:cs="Arial" w:eastAsia="Arial" w:hAnsi="Arial"/>
          <w:sz w:val="20"/>
          <w:szCs w:val="20"/>
          <w:b w:val="1"/>
          <w:bCs w:val="1"/>
          <w:color w:val="auto"/>
        </w:rPr>
        <w:t xml:space="preserve"> </w:t>
      </w:r>
      <w:r>
        <w:rPr>
          <w:rFonts w:ascii="Arial" w:cs="Arial" w:eastAsia="Arial" w:hAnsi="Arial"/>
          <w:sz w:val="20"/>
          <w:szCs w:val="20"/>
          <w:color w:val="auto"/>
        </w:rPr>
        <w:t>suspend trading because of developments not yet disclosed to the public. A Covered Person may be subject to such a “</w:t>
      </w:r>
      <w:r>
        <w:rPr>
          <w:rFonts w:ascii="Arial" w:cs="Arial" w:eastAsia="Arial" w:hAnsi="Arial"/>
          <w:sz w:val="20"/>
          <w:szCs w:val="20"/>
          <w:u w:val="single" w:color="auto"/>
          <w:color w:val="auto"/>
        </w:rPr>
        <w:t>Special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Blackout Period</w:t>
      </w:r>
      <w:r>
        <w:rPr>
          <w:rFonts w:ascii="Arial" w:cs="Arial" w:eastAsia="Arial" w:hAnsi="Arial"/>
          <w:sz w:val="20"/>
          <w:szCs w:val="20"/>
          <w:color w:val="auto"/>
        </w:rPr>
        <w:t>” regardless of whether he or she does, in fact, have knowledge of the specific developments at the time the Special Blackout Period is imposed. The Compliance Officer(s) may announce the beginning of any such Special Blackout Period by electronic mail or other written notification to the specific Covered Persons. In such event, Covered Persons so notified may not engage in any transaction in Covered Securities during such period and may not disclose to others the fact that a Special Blackout Period has been imposed.</w:t>
      </w:r>
    </w:p>
    <w:p>
      <w:pPr>
        <w:spacing w:after="0" w:line="132" w:lineRule="exact"/>
        <w:rPr>
          <w:rFonts w:ascii="Arial" w:cs="Arial" w:eastAsia="Arial" w:hAnsi="Arial"/>
          <w:sz w:val="20"/>
          <w:szCs w:val="20"/>
          <w:b w:val="1"/>
          <w:bCs w:val="1"/>
          <w:color w:val="auto"/>
        </w:rPr>
      </w:pPr>
    </w:p>
    <w:p>
      <w:pPr>
        <w:jc w:val="both"/>
        <w:ind w:firstLine="656"/>
        <w:spacing w:after="0" w:line="254" w:lineRule="auto"/>
        <w:tabs>
          <w:tab w:leader="none" w:pos="1046"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Nature of Blackout Periods. </w:t>
      </w:r>
      <w:r>
        <w:rPr>
          <w:rFonts w:ascii="Arial" w:cs="Arial" w:eastAsia="Arial" w:hAnsi="Arial"/>
          <w:sz w:val="20"/>
          <w:szCs w:val="20"/>
          <w:color w:val="auto"/>
        </w:rPr>
        <w:t>The purpose behind having the above referenced blackout periods is to help Covered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Persons avoid any improper transaction or the appearance of any impropriety. However, even outside of these blackout periods, no person possessing Material Non-Public Information concerning the Companies may engage in any transactions in Covered Securities for which the information is relevant until such information has been known publicly for at least one Full Trading Session. Except as otherwise provided in </w:t>
      </w:r>
      <w:r>
        <w:rPr>
          <w:rFonts w:ascii="Arial" w:cs="Arial" w:eastAsia="Arial" w:hAnsi="Arial"/>
          <w:sz w:val="20"/>
          <w:szCs w:val="20"/>
          <w:u w:val="single" w:color="auto"/>
          <w:color w:val="auto"/>
        </w:rPr>
        <w:t>Section F</w:t>
      </w:r>
      <w:r>
        <w:rPr>
          <w:rFonts w:ascii="Arial" w:cs="Arial" w:eastAsia="Arial" w:hAnsi="Arial"/>
          <w:sz w:val="20"/>
          <w:szCs w:val="20"/>
          <w:color w:val="auto"/>
        </w:rPr>
        <w:t xml:space="preserve"> of this Policy, trading outside of blackout periods is </w:t>
      </w:r>
      <w:r>
        <w:rPr>
          <w:rFonts w:ascii="Arial" w:cs="Arial" w:eastAsia="Arial" w:hAnsi="Arial"/>
          <w:sz w:val="20"/>
          <w:szCs w:val="20"/>
          <w:b w:val="1"/>
          <w:bCs w:val="1"/>
          <w:color w:val="auto"/>
        </w:rPr>
        <w:t>not</w:t>
      </w:r>
      <w:r>
        <w:rPr>
          <w:rFonts w:ascii="Arial" w:cs="Arial" w:eastAsia="Arial" w:hAnsi="Arial"/>
          <w:sz w:val="20"/>
          <w:szCs w:val="20"/>
          <w:color w:val="auto"/>
        </w:rPr>
        <w:t xml:space="preserve"> exempted or excepted from regulation by enforcement authorities and must comply with all applicable laws and the other provisions of this Policy.</w:t>
      </w:r>
    </w:p>
    <w:p>
      <w:pPr>
        <w:spacing w:after="0" w:line="118" w:lineRule="exact"/>
        <w:rPr>
          <w:rFonts w:ascii="Arial" w:cs="Arial" w:eastAsia="Arial" w:hAnsi="Arial"/>
          <w:sz w:val="20"/>
          <w:szCs w:val="20"/>
          <w:b w:val="1"/>
          <w:bCs w:val="1"/>
          <w:color w:val="auto"/>
        </w:rPr>
      </w:pPr>
    </w:p>
    <w:p>
      <w:pPr>
        <w:jc w:val="both"/>
        <w:ind w:firstLine="656"/>
        <w:spacing w:after="0" w:line="258" w:lineRule="auto"/>
        <w:tabs>
          <w:tab w:leader="none" w:pos="1105"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Individual Responsibility. </w:t>
      </w:r>
      <w:r>
        <w:rPr>
          <w:rFonts w:ascii="Arial" w:cs="Arial" w:eastAsia="Arial" w:hAnsi="Arial"/>
          <w:sz w:val="20"/>
          <w:szCs w:val="20"/>
          <w:color w:val="auto"/>
        </w:rPr>
        <w:t>Every Covered Person has the individual responsibility to comply with this Policy and</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 regardless of whether a blackout period exists or whether Compass Diversified has notified that person to suspend trading. The guidelines set forth in this Policy are not intended to identify all possible situations relating to potential misuse of Material Non-Public Information, and appropriate judgment should be exercised in connection with any trade in Covered Securities. Remember, any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compassdiversified.com</w:t>
      </w:r>
      <w:r>
        <w:rPr>
          <w:sz w:val="20"/>
          <w:szCs w:val="20"/>
          <w:color w:val="auto"/>
        </w:rPr>
        <w:tab/>
      </w: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authorities scrutinizing your transactions will be doing so after the fact and with the benefit of hindsight. As a practical matter, before engaging in any transaction, you should carefully consider how enforcement authorities might view the transaction. If you have any questions about the application of this Policy in general or regarding specific trading activity, you should contact a Compliance Officer.</w:t>
      </w:r>
    </w:p>
    <w:p>
      <w:pPr>
        <w:spacing w:after="0" w:line="112" w:lineRule="exact"/>
        <w:rPr>
          <w:sz w:val="20"/>
          <w:szCs w:val="20"/>
          <w:color w:val="auto"/>
        </w:rPr>
      </w:pPr>
    </w:p>
    <w:p>
      <w:pPr>
        <w:jc w:val="both"/>
        <w:ind w:firstLine="656"/>
        <w:spacing w:after="0" w:line="270" w:lineRule="auto"/>
        <w:tabs>
          <w:tab w:leader="none" w:pos="1078" w:val="left"/>
        </w:tabs>
        <w:numPr>
          <w:ilvl w:val="2"/>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Post-Termination Transactions. </w:t>
      </w:r>
      <w:r>
        <w:rPr>
          <w:rFonts w:ascii="Arial" w:cs="Arial" w:eastAsia="Arial" w:hAnsi="Arial"/>
          <w:sz w:val="20"/>
          <w:szCs w:val="20"/>
          <w:color w:val="auto"/>
        </w:rPr>
        <w:t>If a Covered Person possesses Material Non-Public Information when he or she</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terminates employment or services, he or she may not trade in Covered Securities until that information has become public or is no longer material.</w:t>
      </w:r>
    </w:p>
    <w:p>
      <w:pPr>
        <w:spacing w:after="0" w:line="103" w:lineRule="exact"/>
        <w:rPr>
          <w:rFonts w:ascii="Arial" w:cs="Arial" w:eastAsia="Arial" w:hAnsi="Arial"/>
          <w:sz w:val="20"/>
          <w:szCs w:val="20"/>
          <w:b w:val="1"/>
          <w:bCs w:val="1"/>
          <w:color w:val="auto"/>
        </w:rPr>
      </w:pPr>
    </w:p>
    <w:p>
      <w:pPr>
        <w:ind w:left="260" w:hanging="252"/>
        <w:spacing w:after="0"/>
        <w:tabs>
          <w:tab w:leader="none" w:pos="260" w:val="left"/>
        </w:tabs>
        <w:numPr>
          <w:ilvl w:val="0"/>
          <w:numId w:val="13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Other Prohibited Transactions</w:t>
      </w:r>
    </w:p>
    <w:p>
      <w:pPr>
        <w:spacing w:after="0" w:line="173" w:lineRule="exact"/>
        <w:rPr>
          <w:rFonts w:ascii="Arial" w:cs="Arial" w:eastAsia="Arial" w:hAnsi="Arial"/>
          <w:sz w:val="20"/>
          <w:szCs w:val="20"/>
          <w:b w:val="1"/>
          <w:bCs w:val="1"/>
          <w:i w:val="1"/>
          <w:iCs w:val="1"/>
          <w:color w:val="auto"/>
        </w:rPr>
      </w:pPr>
    </w:p>
    <w:p>
      <w:pPr>
        <w:jc w:val="both"/>
        <w:ind w:firstLine="721"/>
        <w:spacing w:after="0" w:line="254" w:lineRule="auto"/>
        <w:tabs>
          <w:tab w:leader="none" w:pos="933" w:val="left"/>
        </w:tabs>
        <w:numPr>
          <w:ilvl w:val="3"/>
          <w:numId w:val="132"/>
        </w:numPr>
        <w:rPr>
          <w:rFonts w:ascii="Arial" w:cs="Arial" w:eastAsia="Arial" w:hAnsi="Arial"/>
          <w:sz w:val="20"/>
          <w:szCs w:val="20"/>
          <w:color w:val="auto"/>
        </w:rPr>
      </w:pPr>
      <w:r>
        <w:rPr>
          <w:rFonts w:ascii="Arial" w:cs="Arial" w:eastAsia="Arial" w:hAnsi="Arial"/>
          <w:sz w:val="20"/>
          <w:szCs w:val="20"/>
          <w:b w:val="1"/>
          <w:bCs w:val="1"/>
          <w:color w:val="auto"/>
        </w:rPr>
        <w:t xml:space="preserve">Short-Term or Speculative Transactions. </w:t>
      </w:r>
      <w:r>
        <w:rPr>
          <w:rFonts w:ascii="Arial" w:cs="Arial" w:eastAsia="Arial" w:hAnsi="Arial"/>
          <w:sz w:val="20"/>
          <w:szCs w:val="20"/>
          <w:color w:val="auto"/>
        </w:rPr>
        <w:t>Compass Diversified considers it improper and inappropriate for any Pre-Clearance Person to engage in short-term or speculative transactions in Covered Securities. Such activities may put the personal gain of the Pre-Clearance Person in conflict with the best interests of the Companies and their securityholders or may create an appearance of such a conflict of interest or the appearance of use of Material Non-Public Information, any of which could negatively affect investors’ perceptions of Compass Diversified. Accordingly, it is the policy of Compass Diversified that Compass Diversified Pre-Clearance Persons not engage in any of the following transactions in Covered Securities:</w:t>
      </w:r>
    </w:p>
    <w:p>
      <w:pPr>
        <w:spacing w:after="0" w:line="119" w:lineRule="exact"/>
        <w:rPr>
          <w:rFonts w:ascii="Arial" w:cs="Arial" w:eastAsia="Arial" w:hAnsi="Arial"/>
          <w:sz w:val="20"/>
          <w:szCs w:val="20"/>
          <w:color w:val="auto"/>
        </w:rPr>
      </w:pPr>
    </w:p>
    <w:p>
      <w:pPr>
        <w:jc w:val="both"/>
        <w:ind w:left="660" w:hanging="328"/>
        <w:spacing w:after="0" w:line="252" w:lineRule="auto"/>
        <w:tabs>
          <w:tab w:leader="none" w:pos="648" w:val="left"/>
        </w:tabs>
        <w:numPr>
          <w:ilvl w:val="1"/>
          <w:numId w:val="132"/>
        </w:numPr>
        <w:rPr>
          <w:rFonts w:ascii="Arial" w:cs="Arial" w:eastAsia="Arial" w:hAnsi="Arial"/>
          <w:sz w:val="20"/>
          <w:szCs w:val="20"/>
          <w:color w:val="auto"/>
        </w:rPr>
      </w:pPr>
      <w:r>
        <w:rPr>
          <w:rFonts w:ascii="Arial" w:cs="Arial" w:eastAsia="Arial" w:hAnsi="Arial"/>
          <w:sz w:val="20"/>
          <w:szCs w:val="20"/>
          <w:b w:val="1"/>
          <w:bCs w:val="1"/>
          <w:color w:val="auto"/>
        </w:rPr>
        <w:t xml:space="preserve">Short Sales – </w:t>
      </w:r>
      <w:r>
        <w:rPr>
          <w:rFonts w:ascii="Arial" w:cs="Arial" w:eastAsia="Arial" w:hAnsi="Arial"/>
          <w:sz w:val="20"/>
          <w:szCs w:val="20"/>
          <w:color w:val="auto"/>
        </w:rPr>
        <w:t>Short selling is the act of borrowing securities to sell with the expectation of the price dropping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intent of buying the securities back at a lower price to replace the borrowed securities. Short sales evidence an expectation on the part of the seller that the securities sold will decline in value and may create the appearance that a Pre-Clearance Person is trading while possessing Material Non-Public Information. In addition, short sales create an inherent conflict of interest with investors in Covered Securities and reduce a Covered Person’s incentive to improve the applicable public company's performance. For these reasons, short sales of Covered Securities by Pre-Clearance Persons are prohibited by this Policy. In addition, Section 16(c) of the Securities Exchange Act,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prohibits directors and executive officers from engaging in short sales.</w:t>
      </w:r>
    </w:p>
    <w:p>
      <w:pPr>
        <w:spacing w:after="0" w:line="79" w:lineRule="exact"/>
        <w:rPr>
          <w:rFonts w:ascii="Arial" w:cs="Arial" w:eastAsia="Arial" w:hAnsi="Arial"/>
          <w:sz w:val="20"/>
          <w:szCs w:val="20"/>
          <w:color w:val="auto"/>
        </w:rPr>
      </w:pPr>
    </w:p>
    <w:p>
      <w:pPr>
        <w:jc w:val="both"/>
        <w:ind w:left="660" w:hanging="328"/>
        <w:spacing w:after="0" w:line="254" w:lineRule="auto"/>
        <w:tabs>
          <w:tab w:leader="none" w:pos="648" w:val="left"/>
        </w:tabs>
        <w:numPr>
          <w:ilvl w:val="1"/>
          <w:numId w:val="132"/>
        </w:numPr>
        <w:rPr>
          <w:rFonts w:ascii="Arial" w:cs="Arial" w:eastAsia="Arial" w:hAnsi="Arial"/>
          <w:sz w:val="20"/>
          <w:szCs w:val="20"/>
          <w:color w:val="auto"/>
        </w:rPr>
      </w:pPr>
      <w:r>
        <w:rPr>
          <w:rFonts w:ascii="Arial" w:cs="Arial" w:eastAsia="Arial" w:hAnsi="Arial"/>
          <w:sz w:val="20"/>
          <w:szCs w:val="20"/>
          <w:b w:val="1"/>
          <w:bCs w:val="1"/>
          <w:color w:val="auto"/>
        </w:rPr>
        <w:t xml:space="preserve">Hedging Transactions – </w:t>
      </w:r>
      <w:r>
        <w:rPr>
          <w:rFonts w:ascii="Arial" w:cs="Arial" w:eastAsia="Arial" w:hAnsi="Arial"/>
          <w:sz w:val="20"/>
          <w:szCs w:val="20"/>
          <w:color w:val="auto"/>
        </w:rPr>
        <w:t>Hedging transactions allow a holder to continue to own securities, but without the full risks and</w:t>
      </w:r>
      <w:r>
        <w:rPr>
          <w:rFonts w:ascii="Arial" w:cs="Arial" w:eastAsia="Arial" w:hAnsi="Arial"/>
          <w:sz w:val="20"/>
          <w:szCs w:val="20"/>
          <w:b w:val="1"/>
          <w:bCs w:val="1"/>
          <w:color w:val="auto"/>
        </w:rPr>
        <w:t xml:space="preserve"> </w:t>
      </w:r>
      <w:r>
        <w:rPr>
          <w:rFonts w:ascii="Arial" w:cs="Arial" w:eastAsia="Arial" w:hAnsi="Arial"/>
          <w:sz w:val="20"/>
          <w:szCs w:val="20"/>
          <w:color w:val="auto"/>
        </w:rPr>
        <w:t>rewards of that ownership. As a result, hedging transactions involve potential conflicts of interest with investors in Covered Securities and may reduce (or appear to reduce) a Covered Person’s incentive to improve the applicable public company's performance. Hedging transactions may also create the appearance that a Pre-Clearance Person is trading while possessing Material Non-Public Information. Accordingly, Pre-Clearance Persons are prohibited from engaging in any hedging transactions with respect to Covered Securities.</w:t>
      </w:r>
    </w:p>
    <w:p>
      <w:pPr>
        <w:spacing w:after="0" w:line="78" w:lineRule="exact"/>
        <w:rPr>
          <w:rFonts w:ascii="Arial" w:cs="Arial" w:eastAsia="Arial" w:hAnsi="Arial"/>
          <w:sz w:val="20"/>
          <w:szCs w:val="20"/>
          <w:color w:val="auto"/>
        </w:rPr>
      </w:pPr>
    </w:p>
    <w:p>
      <w:pPr>
        <w:jc w:val="both"/>
        <w:ind w:left="660" w:hanging="328"/>
        <w:spacing w:after="0" w:line="254" w:lineRule="auto"/>
        <w:tabs>
          <w:tab w:leader="none" w:pos="648" w:val="left"/>
        </w:tabs>
        <w:numPr>
          <w:ilvl w:val="1"/>
          <w:numId w:val="132"/>
        </w:numPr>
        <w:rPr>
          <w:rFonts w:ascii="Arial" w:cs="Arial" w:eastAsia="Arial" w:hAnsi="Arial"/>
          <w:sz w:val="20"/>
          <w:szCs w:val="20"/>
          <w:color w:val="auto"/>
        </w:rPr>
      </w:pPr>
      <w:r>
        <w:rPr>
          <w:rFonts w:ascii="Arial" w:cs="Arial" w:eastAsia="Arial" w:hAnsi="Arial"/>
          <w:sz w:val="20"/>
          <w:szCs w:val="20"/>
          <w:b w:val="1"/>
          <w:bCs w:val="1"/>
          <w:color w:val="auto"/>
        </w:rPr>
        <w:t xml:space="preserve">Short-Term Trading – </w:t>
      </w:r>
      <w:r>
        <w:rPr>
          <w:rFonts w:ascii="Arial" w:cs="Arial" w:eastAsia="Arial" w:hAnsi="Arial"/>
          <w:sz w:val="20"/>
          <w:szCs w:val="20"/>
          <w:color w:val="auto"/>
        </w:rPr>
        <w:t>Short-term trading of Covered Securities may create the appearance that a Pre-Clearance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Person is trading based on Material Non-Public Information or that a Pre-Clearance Person’s attention is focused on short-term performance at the expense of long-term objectives. Accordingly, Pre-Clearance Persons may not sell any Covered Securities that he or she chooses to purchase for a period of six (6) months following such purchase;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prohibition does not apply to shares acquired as a result of stock option exercises or other employee benefit plan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compassdiversified.com</w:t>
      </w:r>
      <w:r>
        <w:rPr>
          <w:sz w:val="20"/>
          <w:szCs w:val="20"/>
          <w:color w:val="auto"/>
        </w:rPr>
        <w:tab/>
      </w: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88" w:lineRule="exact"/>
        <w:rPr>
          <w:sz w:val="20"/>
          <w:szCs w:val="20"/>
          <w:color w:val="auto"/>
        </w:rPr>
      </w:pPr>
    </w:p>
    <w:p>
      <w:pPr>
        <w:jc w:val="both"/>
        <w:ind w:left="660" w:hanging="328"/>
        <w:spacing w:after="0" w:line="254" w:lineRule="auto"/>
        <w:tabs>
          <w:tab w:leader="none" w:pos="648" w:val="left"/>
        </w:tabs>
        <w:numPr>
          <w:ilvl w:val="0"/>
          <w:numId w:val="133"/>
        </w:numPr>
        <w:rPr>
          <w:rFonts w:ascii="Arial" w:cs="Arial" w:eastAsia="Arial" w:hAnsi="Arial"/>
          <w:sz w:val="20"/>
          <w:szCs w:val="20"/>
          <w:color w:val="auto"/>
        </w:rPr>
      </w:pPr>
      <w:r>
        <w:rPr>
          <w:rFonts w:ascii="Arial" w:cs="Arial" w:eastAsia="Arial" w:hAnsi="Arial"/>
          <w:sz w:val="20"/>
          <w:szCs w:val="20"/>
          <w:b w:val="1"/>
          <w:bCs w:val="1"/>
          <w:color w:val="auto"/>
        </w:rPr>
        <w:t xml:space="preserve">Publicly Traded Options – </w:t>
      </w:r>
      <w:r>
        <w:rPr>
          <w:rFonts w:ascii="Arial" w:cs="Arial" w:eastAsia="Arial" w:hAnsi="Arial"/>
          <w:sz w:val="20"/>
          <w:szCs w:val="20"/>
          <w:color w:val="auto"/>
        </w:rPr>
        <w:t>A transaction in publicly traded options is, in effect, a wager on the short-term movement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a company's stock. This type of transaction in a Covered Security may create the appearance that a Pre-Clearance Person is trading based on Material Non-Public Information or that a Pre-Clearance Person’s attention is focused on short-term performance at the expense of long-term objectives. Accordingly, transactions by Pre-Clearance Persons in put options or call options (or any derivative security that has similar characteristics to those options) on an exchange or in any other organized market related to Covered Securities are prohibited by this Policy.</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While Compass Diversified employees who are not Pre-Clearance Persons are not prohibited from engaging in the above transactions if the transaction would be made in compliance with applicable law and the other provisions of this Policy, Compass Diversified strongly discourages all Covered Persons from engaging in such transactions because of the possible appearance of impropriety that may result.</w:t>
      </w:r>
    </w:p>
    <w:p>
      <w:pPr>
        <w:spacing w:after="0" w:line="128" w:lineRule="exact"/>
        <w:rPr>
          <w:sz w:val="20"/>
          <w:szCs w:val="20"/>
          <w:color w:val="auto"/>
        </w:rPr>
      </w:pPr>
    </w:p>
    <w:p>
      <w:pPr>
        <w:jc w:val="both"/>
        <w:ind w:firstLine="656"/>
        <w:spacing w:after="0" w:line="263" w:lineRule="auto"/>
        <w:tabs>
          <w:tab w:leader="none" w:pos="908" w:val="left"/>
        </w:tabs>
        <w:numPr>
          <w:ilvl w:val="1"/>
          <w:numId w:val="134"/>
        </w:numPr>
        <w:rPr>
          <w:rFonts w:ascii="Arial" w:cs="Arial" w:eastAsia="Arial" w:hAnsi="Arial"/>
          <w:sz w:val="20"/>
          <w:szCs w:val="20"/>
          <w:color w:val="auto"/>
        </w:rPr>
      </w:pPr>
      <w:r>
        <w:rPr>
          <w:rFonts w:ascii="Arial" w:cs="Arial" w:eastAsia="Arial" w:hAnsi="Arial"/>
          <w:sz w:val="20"/>
          <w:szCs w:val="20"/>
          <w:b w:val="1"/>
          <w:bCs w:val="1"/>
          <w:color w:val="auto"/>
        </w:rPr>
        <w:t xml:space="preserve">Margin Accounts and Pledges. </w:t>
      </w:r>
      <w:r>
        <w:rPr>
          <w:rFonts w:ascii="Arial" w:cs="Arial" w:eastAsia="Arial" w:hAnsi="Arial"/>
          <w:sz w:val="20"/>
          <w:szCs w:val="20"/>
          <w:color w:val="auto"/>
        </w:rPr>
        <w:t>Compass Diversified Pre-Clearance Persons, including executive officers and</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of Compass Diversified, may not hold Covered Securities (regardless of how such Covered Securities are obtained) in a margin account or pledge Covered Securities as collateral for a loan.</w:t>
      </w:r>
    </w:p>
    <w:p>
      <w:pPr>
        <w:spacing w:after="0" w:line="123" w:lineRule="exact"/>
        <w:rPr>
          <w:rFonts w:ascii="Arial" w:cs="Arial" w:eastAsia="Arial" w:hAnsi="Arial"/>
          <w:sz w:val="20"/>
          <w:szCs w:val="20"/>
          <w:color w:val="auto"/>
        </w:rPr>
      </w:pPr>
    </w:p>
    <w:p>
      <w:pPr>
        <w:ind w:left="240" w:hanging="232"/>
        <w:spacing w:after="0"/>
        <w:tabs>
          <w:tab w:leader="none" w:pos="240" w:val="left"/>
        </w:tabs>
        <w:numPr>
          <w:ilvl w:val="0"/>
          <w:numId w:val="13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Definition of “Material Non-Public Information”</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It is not possible to define all categories of material information. The materiality of a fact depends upon the circumstances. Generally speaking, a fact regarding Covered Securities will be considered “</w:t>
      </w:r>
      <w:r>
        <w:rPr>
          <w:rFonts w:ascii="Arial" w:cs="Arial" w:eastAsia="Arial" w:hAnsi="Arial"/>
          <w:sz w:val="20"/>
          <w:szCs w:val="20"/>
          <w:u w:val="single" w:color="auto"/>
          <w:color w:val="auto"/>
        </w:rPr>
        <w:t>material</w:t>
      </w:r>
      <w:r>
        <w:rPr>
          <w:rFonts w:ascii="Arial" w:cs="Arial" w:eastAsia="Arial" w:hAnsi="Arial"/>
          <w:sz w:val="20"/>
          <w:szCs w:val="20"/>
          <w:color w:val="auto"/>
        </w:rPr>
        <w:t>” if (a) there is a substantial likelihood that a reasonable investor would consider the fact important in making a decision to buy, sell or hold Covered Securities, (b) the fact is likely to have a significant effect on the market price of Covered Securities, or (c) the disclosure of the fact is required to make other material facts regarding Covered Securities not misleading. Either positive or negative information may be material.</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While it may be difficult under this standard to determine whether particular information is material, there are various categories of information that are often material, including:</w:t>
      </w:r>
    </w:p>
    <w:p>
      <w:pPr>
        <w:spacing w:after="0" w:line="5" w:lineRule="exact"/>
        <w:rPr>
          <w:sz w:val="20"/>
          <w:szCs w:val="20"/>
          <w:color w:val="auto"/>
        </w:rPr>
      </w:pPr>
    </w:p>
    <w:p>
      <w:pPr>
        <w:ind w:left="640" w:hanging="308"/>
        <w:spacing w:after="0"/>
        <w:tabs>
          <w:tab w:leader="none" w:pos="6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financial results,</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projections of future earnings or losses,</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news of a pending or proposed material merger or acquisition,</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news of a pending or proposed material disposition of a subsidiary or business,</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new equity or debt offerings, or proposed repurchases of significant amounts of shares or securities,</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potential exposure due to actual or threatened litigation or major governmental investigations,</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major changes in the senior management of Compass Diversified and/or the Manager, and</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regulatory actions.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Non-Public</w:t>
      </w:r>
      <w:r>
        <w:rPr>
          <w:rFonts w:ascii="Arial" w:cs="Arial" w:eastAsia="Arial" w:hAnsi="Arial"/>
          <w:sz w:val="20"/>
          <w:szCs w:val="20"/>
          <w:color w:val="auto"/>
        </w:rPr>
        <w:t>” information is information that has not been previously disclosed to the general public and is otherwise not available to the general public.</w:t>
      </w:r>
    </w:p>
    <w:p>
      <w:pPr>
        <w:spacing w:after="0" w:line="59"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 xml:space="preserve">Please note that this Policy provides that Covered Persons may </w:t>
      </w:r>
      <w:r>
        <w:rPr>
          <w:rFonts w:ascii="Arial" w:cs="Arial" w:eastAsia="Arial" w:hAnsi="Arial"/>
          <w:sz w:val="20"/>
          <w:szCs w:val="20"/>
          <w:b w:val="1"/>
          <w:bCs w:val="1"/>
          <w:color w:val="auto"/>
        </w:rPr>
        <w:t>not</w:t>
      </w:r>
      <w:r>
        <w:rPr>
          <w:rFonts w:ascii="Arial" w:cs="Arial" w:eastAsia="Arial" w:hAnsi="Arial"/>
          <w:sz w:val="20"/>
          <w:szCs w:val="20"/>
          <w:color w:val="auto"/>
        </w:rPr>
        <w:t xml:space="preserve"> trade immediately after disclosure of Material Non-Public Information – there is a waiting period to allow the public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compassdiversified.com</w:t>
      </w:r>
      <w:r>
        <w:rPr>
          <w:sz w:val="20"/>
          <w:szCs w:val="20"/>
          <w:color w:val="auto"/>
        </w:rPr>
        <w:tab/>
      </w: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receive and absorb the information. Unless you are notified otherwise by a Compliance Officer listed at the end of this Policy, that waiting period ends at the close of the first Full Trading Session following the date and time of public disclosure of the Material Non-Public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 Certain Exceptions</w:t>
      </w:r>
    </w:p>
    <w:p>
      <w:pPr>
        <w:spacing w:after="0" w:line="160" w:lineRule="exact"/>
        <w:rPr>
          <w:sz w:val="20"/>
          <w:szCs w:val="20"/>
          <w:color w:val="auto"/>
        </w:rPr>
      </w:pPr>
    </w:p>
    <w:p>
      <w:pPr>
        <w:jc w:val="both"/>
        <w:ind w:firstLine="656"/>
        <w:spacing w:after="0" w:line="252" w:lineRule="auto"/>
        <w:tabs>
          <w:tab w:leader="none" w:pos="1099"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Certain Transactions with Compass Diversified. </w:t>
      </w:r>
      <w:r>
        <w:rPr>
          <w:rFonts w:ascii="Arial" w:cs="Arial" w:eastAsia="Arial" w:hAnsi="Arial"/>
          <w:sz w:val="20"/>
          <w:szCs w:val="20"/>
          <w:color w:val="auto"/>
        </w:rPr>
        <w:t>For purposes of this Policy, the receipt of shares, share units,</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share units, restricted stock or other awards under any Compass Diversified equity-based compensation plan and any related stock withholding or vesting of awards under any such plan are exempt from this Policy. Likewise, both the exercise of stock options under a Compass Diversified equity-based incentive or employee stock option plan and the purchase of shares under a Compass Diversified employee stock purchase plan are exempt from this Policy because the other party to the transaction is the issuer itself. However, a subsequent sale in the securities markets of the shares received upon exercise of the options or purchased under the employee stock purchase plan is subject to this Policy. Delivery of shares to Compass Diversified, where permitted under applicable equity award or stock option plans or similar arrangements, is not subject to this Policy.</w:t>
      </w:r>
    </w:p>
    <w:p>
      <w:pPr>
        <w:spacing w:after="0" w:line="135" w:lineRule="exact"/>
        <w:rPr>
          <w:rFonts w:ascii="Arial" w:cs="Arial" w:eastAsia="Arial" w:hAnsi="Arial"/>
          <w:sz w:val="20"/>
          <w:szCs w:val="20"/>
          <w:b w:val="1"/>
          <w:bCs w:val="1"/>
          <w:color w:val="auto"/>
        </w:rPr>
      </w:pPr>
    </w:p>
    <w:p>
      <w:pPr>
        <w:ind w:right="20" w:firstLine="656"/>
        <w:spacing w:after="0" w:line="274" w:lineRule="auto"/>
        <w:tabs>
          <w:tab w:leader="none" w:pos="1179"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SEC Rule 10b5-1 Pre-Arranged Trading Programs. </w:t>
      </w:r>
      <w:r>
        <w:rPr>
          <w:rFonts w:ascii="Arial" w:cs="Arial" w:eastAsia="Arial" w:hAnsi="Arial"/>
          <w:sz w:val="20"/>
          <w:szCs w:val="20"/>
          <w:color w:val="auto"/>
        </w:rPr>
        <w:t>SEC Rule 10b5-1 (“</w:t>
      </w:r>
      <w:r>
        <w:rPr>
          <w:rFonts w:ascii="Arial" w:cs="Arial" w:eastAsia="Arial" w:hAnsi="Arial"/>
          <w:sz w:val="20"/>
          <w:szCs w:val="20"/>
          <w:u w:val="single" w:color="auto"/>
          <w:color w:val="auto"/>
        </w:rPr>
        <w:t>Rule 10b5</w:t>
      </w:r>
      <w:r>
        <w:rPr>
          <w:rFonts w:ascii="Arial" w:cs="Arial" w:eastAsia="Arial" w:hAnsi="Arial"/>
          <w:sz w:val="20"/>
          <w:szCs w:val="20"/>
          <w:color w:val="auto"/>
        </w:rPr>
        <w:t>1”)­ protects insiders from</w:t>
      </w:r>
      <w:r>
        <w:rPr>
          <w:rFonts w:ascii="Arial" w:cs="Arial" w:eastAsia="Arial" w:hAnsi="Arial"/>
          <w:sz w:val="20"/>
          <w:szCs w:val="20"/>
          <w:b w:val="1"/>
          <w:bCs w:val="1"/>
          <w:color w:val="auto"/>
        </w:rPr>
        <w:t xml:space="preserve"> </w:t>
      </w:r>
      <w:r>
        <w:rPr>
          <w:rFonts w:ascii="Arial" w:cs="Arial" w:eastAsia="Arial" w:hAnsi="Arial"/>
          <w:sz w:val="20"/>
          <w:szCs w:val="20"/>
          <w:color w:val="auto"/>
        </w:rPr>
        <w:t>insider trading liability for transactions under pre-arranged trading programs meeting certain requirements:</w:t>
      </w:r>
    </w:p>
    <w:p>
      <w:pPr>
        <w:spacing w:after="0" w:line="57" w:lineRule="exact"/>
        <w:rPr>
          <w:rFonts w:ascii="Arial" w:cs="Arial" w:eastAsia="Arial" w:hAnsi="Arial"/>
          <w:sz w:val="20"/>
          <w:szCs w:val="20"/>
          <w:b w:val="1"/>
          <w:bCs w:val="1"/>
          <w:color w:val="auto"/>
        </w:rPr>
      </w:pPr>
    </w:p>
    <w:p>
      <w:pPr>
        <w:ind w:left="1300" w:hanging="320"/>
        <w:spacing w:after="0"/>
        <w:tabs>
          <w:tab w:leader="none" w:pos="1300" w:val="left"/>
        </w:tabs>
        <w:numPr>
          <w:ilvl w:val="1"/>
          <w:numId w:val="137"/>
        </w:numPr>
        <w:rPr>
          <w:rFonts w:ascii="Arial" w:cs="Arial" w:eastAsia="Arial" w:hAnsi="Arial"/>
          <w:sz w:val="20"/>
          <w:szCs w:val="20"/>
          <w:color w:val="auto"/>
        </w:rPr>
      </w:pPr>
      <w:r>
        <w:rPr>
          <w:rFonts w:ascii="Arial" w:cs="Arial" w:eastAsia="Arial" w:hAnsi="Arial"/>
          <w:sz w:val="20"/>
          <w:szCs w:val="20"/>
          <w:color w:val="auto"/>
        </w:rPr>
        <w:t>The program must be entered into at a time that is outside of a blackout period;</w:t>
      </w:r>
    </w:p>
    <w:p>
      <w:pPr>
        <w:spacing w:after="0" w:line="121" w:lineRule="exact"/>
        <w:rPr>
          <w:rFonts w:ascii="Arial" w:cs="Arial" w:eastAsia="Arial" w:hAnsi="Arial"/>
          <w:sz w:val="20"/>
          <w:szCs w:val="20"/>
          <w:color w:val="auto"/>
        </w:rPr>
      </w:pPr>
    </w:p>
    <w:p>
      <w:pPr>
        <w:ind w:left="1300" w:hanging="320"/>
        <w:spacing w:after="0"/>
        <w:tabs>
          <w:tab w:leader="none" w:pos="1300" w:val="left"/>
        </w:tabs>
        <w:numPr>
          <w:ilvl w:val="1"/>
          <w:numId w:val="137"/>
        </w:numPr>
        <w:rPr>
          <w:rFonts w:ascii="Arial" w:cs="Arial" w:eastAsia="Arial" w:hAnsi="Arial"/>
          <w:sz w:val="20"/>
          <w:szCs w:val="20"/>
          <w:color w:val="auto"/>
        </w:rPr>
      </w:pPr>
      <w:r>
        <w:rPr>
          <w:rFonts w:ascii="Arial" w:cs="Arial" w:eastAsia="Arial" w:hAnsi="Arial"/>
          <w:sz w:val="20"/>
          <w:szCs w:val="20"/>
          <w:color w:val="auto"/>
        </w:rPr>
        <w:t>The program must be entered into at a time when the insider has no Material Non-Public Information;</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1"/>
          <w:numId w:val="137"/>
        </w:numPr>
        <w:rPr>
          <w:rFonts w:ascii="Arial" w:cs="Arial" w:eastAsia="Arial" w:hAnsi="Arial"/>
          <w:sz w:val="20"/>
          <w:szCs w:val="20"/>
          <w:color w:val="auto"/>
        </w:rPr>
      </w:pPr>
      <w:r>
        <w:rPr>
          <w:rFonts w:ascii="Arial" w:cs="Arial" w:eastAsia="Arial" w:hAnsi="Arial"/>
          <w:sz w:val="20"/>
          <w:szCs w:val="20"/>
          <w:color w:val="auto"/>
        </w:rPr>
        <w:t>The program must do one of the following, in a manner permitted by Rule 10b5-1:</w:t>
      </w:r>
    </w:p>
    <w:p>
      <w:pPr>
        <w:spacing w:after="0" w:line="121" w:lineRule="exact"/>
        <w:rPr>
          <w:rFonts w:ascii="Arial" w:cs="Arial" w:eastAsia="Arial" w:hAnsi="Arial"/>
          <w:sz w:val="20"/>
          <w:szCs w:val="20"/>
          <w:color w:val="auto"/>
        </w:rPr>
      </w:pPr>
    </w:p>
    <w:p>
      <w:pPr>
        <w:ind w:left="1940" w:hanging="312"/>
        <w:spacing w:after="0"/>
        <w:tabs>
          <w:tab w:leader="none" w:pos="194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specify the amount, date and price for the future transactions; or</w:t>
      </w:r>
    </w:p>
    <w:p>
      <w:pPr>
        <w:spacing w:after="0" w:line="107" w:lineRule="exact"/>
        <w:rPr>
          <w:rFonts w:ascii="Arial" w:cs="Arial" w:eastAsia="Arial" w:hAnsi="Arial"/>
          <w:sz w:val="20"/>
          <w:szCs w:val="20"/>
          <w:color w:val="auto"/>
        </w:rPr>
      </w:pPr>
    </w:p>
    <w:p>
      <w:pPr>
        <w:ind w:left="1940" w:hanging="312"/>
        <w:spacing w:after="0"/>
        <w:tabs>
          <w:tab w:leader="none" w:pos="194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provide a written formula for determining the amount, date and price for the future transactions; or</w:t>
      </w:r>
    </w:p>
    <w:p>
      <w:pPr>
        <w:spacing w:after="0" w:line="121" w:lineRule="exact"/>
        <w:rPr>
          <w:rFonts w:ascii="Arial" w:cs="Arial" w:eastAsia="Arial" w:hAnsi="Arial"/>
          <w:sz w:val="20"/>
          <w:szCs w:val="20"/>
          <w:color w:val="auto"/>
        </w:rPr>
      </w:pPr>
    </w:p>
    <w:p>
      <w:pPr>
        <w:ind w:left="1940" w:hanging="312"/>
        <w:spacing w:after="0"/>
        <w:tabs>
          <w:tab w:leader="none" w:pos="1940" w:val="left"/>
        </w:tabs>
        <w:numPr>
          <w:ilvl w:val="2"/>
          <w:numId w:val="137"/>
        </w:numPr>
        <w:rPr>
          <w:rFonts w:ascii="Arial" w:cs="Arial" w:eastAsia="Arial" w:hAnsi="Arial"/>
          <w:sz w:val="19"/>
          <w:szCs w:val="19"/>
          <w:color w:val="auto"/>
        </w:rPr>
      </w:pPr>
      <w:r>
        <w:rPr>
          <w:rFonts w:ascii="Arial" w:cs="Arial" w:eastAsia="Arial" w:hAnsi="Arial"/>
          <w:sz w:val="19"/>
          <w:szCs w:val="19"/>
          <w:color w:val="auto"/>
        </w:rPr>
        <w:t>delegate to a third-party discretion for determining the amount, price and dates for the future transactions.</w:t>
      </w:r>
    </w:p>
    <w:p>
      <w:pPr>
        <w:spacing w:after="0" w:line="119" w:lineRule="exact"/>
        <w:rPr>
          <w:rFonts w:ascii="Arial" w:cs="Arial" w:eastAsia="Arial" w:hAnsi="Arial"/>
          <w:sz w:val="19"/>
          <w:szCs w:val="19"/>
          <w:color w:val="auto"/>
        </w:rPr>
      </w:pPr>
    </w:p>
    <w:p>
      <w:pPr>
        <w:jc w:val="both"/>
        <w:ind w:left="1300" w:hanging="320"/>
        <w:spacing w:after="0" w:line="252" w:lineRule="auto"/>
        <w:tabs>
          <w:tab w:leader="none" w:pos="1288" w:val="left"/>
        </w:tabs>
        <w:numPr>
          <w:ilvl w:val="1"/>
          <w:numId w:val="137"/>
        </w:numPr>
        <w:rPr>
          <w:rFonts w:ascii="Arial" w:cs="Arial" w:eastAsia="Arial" w:hAnsi="Arial"/>
          <w:sz w:val="20"/>
          <w:szCs w:val="20"/>
          <w:color w:val="auto"/>
        </w:rPr>
      </w:pPr>
      <w:r>
        <w:rPr>
          <w:rFonts w:ascii="Arial" w:cs="Arial" w:eastAsia="Arial" w:hAnsi="Arial"/>
          <w:sz w:val="20"/>
          <w:szCs w:val="20"/>
          <w:color w:val="auto"/>
        </w:rPr>
        <w:t>The program must provide that no trades may occur thereunder until expiration of the applicable cooling-off period specified in Rule 10b5-1(c)(ii)(B), and no trades occur until after that time. The appropriate cooling-off period will vary based on the status of the Covered Person. For directors and officers, the cooling-off period ends on the later of (x) ninety days after adoption or certain modifications of the 10b5-1 pre-arranged trading program; or (y) two business days following disclosure of the Company’s financial results in a Form 10-Q or Form 10-K for the quarter in which the 10b5-1 pre-arranged trading program was adopted. For all other Covered Persons, the cooling-off period ends 30 days after the adoption or modification of the 10b5-1 pre-arranged trading program. This required cooling-off period will apply to the entry into a new 10b5-1 pre-arranged trading program and any revision or modification of a 10b5-1 pre-arranged trading program;</w:t>
      </w:r>
    </w:p>
    <w:p>
      <w:pPr>
        <w:spacing w:after="0" w:line="81" w:lineRule="exact"/>
        <w:rPr>
          <w:rFonts w:ascii="Arial" w:cs="Arial" w:eastAsia="Arial" w:hAnsi="Arial"/>
          <w:sz w:val="20"/>
          <w:szCs w:val="20"/>
          <w:color w:val="auto"/>
        </w:rPr>
      </w:pPr>
    </w:p>
    <w:p>
      <w:pPr>
        <w:ind w:left="1300" w:right="20" w:hanging="320"/>
        <w:spacing w:after="0" w:line="271" w:lineRule="auto"/>
        <w:tabs>
          <w:tab w:leader="none" w:pos="1288" w:val="left"/>
        </w:tabs>
        <w:numPr>
          <w:ilvl w:val="1"/>
          <w:numId w:val="137"/>
        </w:numPr>
        <w:rPr>
          <w:rFonts w:ascii="Arial" w:cs="Arial" w:eastAsia="Arial" w:hAnsi="Arial"/>
          <w:sz w:val="20"/>
          <w:szCs w:val="20"/>
          <w:color w:val="auto"/>
        </w:rPr>
      </w:pPr>
      <w:r>
        <w:rPr>
          <w:rFonts w:ascii="Arial" w:cs="Arial" w:eastAsia="Arial" w:hAnsi="Arial"/>
          <w:sz w:val="20"/>
          <w:szCs w:val="20"/>
          <w:color w:val="auto"/>
        </w:rPr>
        <w:t>The program is entered into in good faith by the Covered Person, and not as part of a plan or scheme to evade the prohibitions of Rule 10b5-1; and, if the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compassdiversified.com</w:t>
      </w:r>
      <w:r>
        <w:rPr>
          <w:sz w:val="20"/>
          <w:szCs w:val="20"/>
          <w:color w:val="auto"/>
        </w:rPr>
        <w:tab/>
      </w: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90" w:lineRule="exact"/>
        <w:rPr>
          <w:sz w:val="20"/>
          <w:szCs w:val="20"/>
          <w:color w:val="auto"/>
        </w:rPr>
      </w:pPr>
    </w:p>
    <w:p>
      <w:pPr>
        <w:ind w:left="1300"/>
        <w:spacing w:after="0" w:line="286" w:lineRule="auto"/>
        <w:rPr>
          <w:sz w:val="20"/>
          <w:szCs w:val="20"/>
          <w:color w:val="auto"/>
        </w:rPr>
      </w:pPr>
      <w:r>
        <w:rPr>
          <w:rFonts w:ascii="Arial" w:cs="Arial" w:eastAsia="Arial" w:hAnsi="Arial"/>
          <w:sz w:val="20"/>
          <w:szCs w:val="20"/>
          <w:color w:val="auto"/>
        </w:rPr>
        <w:t>Person is a director or officer, the Rule 10b5-1 pre-arranged trading program must include representations by the Covered Person certifying to that effect; and</w:t>
      </w:r>
    </w:p>
    <w:p>
      <w:pPr>
        <w:spacing w:after="0" w:line="32" w:lineRule="exact"/>
        <w:rPr>
          <w:sz w:val="20"/>
          <w:szCs w:val="20"/>
          <w:color w:val="auto"/>
        </w:rPr>
      </w:pPr>
    </w:p>
    <w:p>
      <w:pPr>
        <w:ind w:left="1300" w:right="20" w:hanging="320"/>
        <w:spacing w:after="0" w:line="286" w:lineRule="auto"/>
        <w:tabs>
          <w:tab w:leader="none" w:pos="1288"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program is the only outstanding approved 10b5-1 pre-arranged trading program entered into by the Covered Person (subject to the exceptions set out in Rule 10b5-1(c)(ii)(D)).</w:t>
      </w:r>
    </w:p>
    <w:p>
      <w:pPr>
        <w:spacing w:after="0" w:line="3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Transactions in Covered Securities pursuant to the terms of a Rule 10b5-1 pre-arranged trading program, including any modification or termination of such programs, shall be exempt from the pre-clearance and blackout provisions of this Policy if that pre-arranged program has received the prior written approval of a Compliance Officer. Each pre-arranged trading program entered into by any Covered Person who is or may be subject to pre-clearance or blackouts must receive the prior written approval of a Compliance Officer.</w:t>
      </w:r>
    </w:p>
    <w:p>
      <w:pPr>
        <w:spacing w:after="0" w:line="6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In order to have an SEC Rule 10b5-1 pre-arranged trading program considered by a Compliance Officer for approval, the person seeking to enter into the program should submit the program’s description and documentation to a Compliance Officer before entering into the program. In considering whether to approve particular programs, a Compliance Officer shall consider, among other things, whether the program meets the requirements of Rule 10b5-1, whether there exists Material Non-Public Information with respect to the Companies, and whether arrangements are in place for complying with SEC reporting requirements. A Compliance Officer may refuse to approve any proposed pre-arranged trading program, including if he or she determines that any such program does not satisfy all applicable legal requirements. Please note that the Compliance Officers represent Compass Diversified and the Manager and will be reviewing trading programs in that capacity, and not for the purpose of providing legal advice to those who enter into such programs. Accordingly, the review by a Compliance Officer is not a substitute for seeking advice from your own attorney prior to entering into such a program.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Additional Information </w:t>
      </w:r>
      <w:r>
        <w:rPr>
          <w:rFonts w:ascii="Arial" w:cs="Arial" w:eastAsia="Arial" w:hAnsi="Arial"/>
          <w:sz w:val="20"/>
          <w:szCs w:val="20"/>
          <w:color w:val="auto"/>
        </w:rPr>
        <w:t>–</w:t>
      </w:r>
      <w:r>
        <w:rPr>
          <w:rFonts w:ascii="Arial" w:cs="Arial" w:eastAsia="Arial" w:hAnsi="Arial"/>
          <w:sz w:val="20"/>
          <w:szCs w:val="20"/>
          <w:b w:val="1"/>
          <w:bCs w:val="1"/>
          <w:color w:val="auto"/>
        </w:rPr>
        <w:t xml:space="preserve"> Compass Diversified Directors and Executive Officers</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Members of the Board of Directors and executive officers of Compass Diversified must also comply with the reporting obligations and limitations on short-swing transactions set forth in Section 16 of the Exchange Act. The practical effect of these provisions is that directors and executive officers who purchase and sell Covered Securities in certain transactions within a six-month period are required to disgorge all profits to the applicable public company whether or not they had knowledge of any Material Non-Public Information. Under these provisions, and so long as certain other criteria are met, neither the receipt of an option under an option plan, nor the exercise of that option, nor the receipt of stock under an employee stock purchase plan will be deemed to be a purchase under Section 16; </w:t>
      </w:r>
      <w:r>
        <w:rPr>
          <w:rFonts w:ascii="Arial" w:cs="Arial" w:eastAsia="Arial" w:hAnsi="Arial"/>
          <w:sz w:val="19"/>
          <w:szCs w:val="19"/>
          <w:u w:val="single" w:color="auto"/>
          <w:color w:val="auto"/>
        </w:rPr>
        <w:t>however</w:t>
      </w:r>
      <w:r>
        <w:rPr>
          <w:rFonts w:ascii="Arial" w:cs="Arial" w:eastAsia="Arial" w:hAnsi="Arial"/>
          <w:sz w:val="19"/>
          <w:szCs w:val="19"/>
          <w:color w:val="auto"/>
        </w:rPr>
        <w:t>, the sale of any such shares will be deemed to be a sale under Section</w:t>
      </w:r>
    </w:p>
    <w:p>
      <w:pPr>
        <w:spacing w:after="0" w:line="3" w:lineRule="exact"/>
        <w:rPr>
          <w:sz w:val="20"/>
          <w:szCs w:val="20"/>
          <w:color w:val="auto"/>
        </w:rPr>
      </w:pPr>
    </w:p>
    <w:p>
      <w:pPr>
        <w:jc w:val="both"/>
        <w:ind w:firstLine="8"/>
        <w:spacing w:after="0" w:line="253" w:lineRule="auto"/>
        <w:tabs>
          <w:tab w:leader="none" w:pos="371" w:val="left"/>
        </w:tabs>
        <w:numPr>
          <w:ilvl w:val="0"/>
          <w:numId w:val="139"/>
        </w:numPr>
        <w:rPr>
          <w:rFonts w:ascii="Arial" w:cs="Arial" w:eastAsia="Arial" w:hAnsi="Arial"/>
          <w:sz w:val="20"/>
          <w:szCs w:val="20"/>
          <w:color w:val="auto"/>
        </w:rPr>
      </w:pPr>
      <w:r>
        <w:rPr>
          <w:rFonts w:ascii="Arial" w:cs="Arial" w:eastAsia="Arial" w:hAnsi="Arial"/>
          <w:sz w:val="20"/>
          <w:szCs w:val="20"/>
          <w:color w:val="auto"/>
        </w:rPr>
        <w:t>Moreover, no Compass Diversified director or executive officer may ever make a short sale of Covered Securities. In addition, sales of Covered Securities by directors and executive officers are required to be made in accordance with Rule 144 under the Securities Act of 1933, as amended.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Interpretation and Amendments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The Compliance Officer(s) are authorized to interpret this Policy on behalf of Compass Diversified and the Manager and to apply its terms to specific situations in which questions arise. A Compliance Officer is further authorized to take all such actions he or she may consider necessary or advisable to administer this Policy. The prior exercise of discretionary authority by a Compliance Officer shall not obligate him, her or any other Compliance Officer to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compassdiversified.com</w:t>
      </w:r>
      <w:r>
        <w:rPr>
          <w:sz w:val="20"/>
          <w:szCs w:val="20"/>
          <w:color w:val="auto"/>
        </w:rPr>
        <w:tab/>
      </w: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244"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such discretionary authority in a like fashion thereafter. In addition, the Compliance Officer(s) are authorized to amend this Policy from time to time.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Inquiries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Please direct your questions as to any of the matters discussed in this Policy to either:</w:t>
      </w:r>
    </w:p>
    <w:p>
      <w:pPr>
        <w:spacing w:after="0" w:line="160" w:lineRule="exact"/>
        <w:rPr>
          <w:sz w:val="20"/>
          <w:szCs w:val="20"/>
          <w:color w:val="auto"/>
        </w:rPr>
      </w:pPr>
    </w:p>
    <w:p>
      <w:pPr>
        <w:ind w:right="860" w:firstLine="648"/>
        <w:spacing w:after="0" w:line="298" w:lineRule="auto"/>
        <w:rPr>
          <w:sz w:val="20"/>
          <w:szCs w:val="20"/>
          <w:color w:val="auto"/>
        </w:rPr>
      </w:pPr>
      <w:r>
        <w:rPr>
          <w:rFonts w:ascii="Arial" w:cs="Arial" w:eastAsia="Arial" w:hAnsi="Arial"/>
          <w:sz w:val="20"/>
          <w:szCs w:val="20"/>
          <w:b w:val="1"/>
          <w:bCs w:val="1"/>
          <w:color w:val="auto"/>
        </w:rPr>
        <w:t>Carrie W. Ryan, Chief Compliance Officer, General Counsel &amp; Secretary Jill F. Ritchie, Senior Counsel &amp; Assistant Chief Compliance Officer</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Last updated: February 13, 2025</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compassdiversified.com</w:t>
      </w:r>
      <w:r>
        <w:rPr>
          <w:sz w:val="20"/>
          <w:szCs w:val="20"/>
          <w:color w:val="auto"/>
        </w:rPr>
        <w:tab/>
      </w: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253" w:name="page254"/>
    <w:bookmarkEnd w:id="253"/>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 of Subsidiaries at February 24,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or Country of Organization:</w:t>
      </w:r>
    </w:p>
    <w:p>
      <w:pPr>
        <w:spacing w:after="0" w:line="183" w:lineRule="exact"/>
        <w:rPr>
          <w:sz w:val="20"/>
          <w:szCs w:val="20"/>
          <w:color w:val="auto"/>
        </w:rPr>
      </w:pPr>
    </w:p>
    <w:p>
      <w:pPr>
        <w:sectPr>
          <w:pgSz w:w="11900" w:h="16838" w:orient="portrait"/>
          <w:cols w:equalWidth="0" w:num="2">
            <w:col w:w="6420" w:space="720"/>
            <w:col w:w="4080"/>
          </w:cols>
          <w:pgMar w:left="340" w:top="125"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5.11 ABR Corp.</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5.11 Acquisition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5.11 TA,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5.11,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5.11 International A.B.</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5.11 Tactical de Mexico, S. de R.L. de C.V.</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5.11 Panama S. de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AlphaOne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5.11 Sourcing,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Invigour8 Global Service Company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Beyond Clothing,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5.11 Do Brasil Comercio Ltda.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5.11 Germany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5.11 Australia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62" w:lineRule="exact"/>
        <w:rPr>
          <w:sz w:val="20"/>
          <w:szCs w:val="20"/>
          <w:color w:val="auto"/>
        </w:rPr>
      </w:pPr>
    </w:p>
    <w:p>
      <w:pPr>
        <w:sectPr>
          <w:pgSz w:w="11900" w:h="16838" w:orient="portrait"/>
          <w:cols w:equalWidth="0" w:num="2">
            <w:col w:w="6420" w:space="720"/>
            <w:col w:w="4080"/>
          </w:cols>
          <w:pgMar w:left="340" w:top="125"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AMTAC Holdings, LLC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AMT Acquisition Corp.</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Arnold Magnetic Technologies Holdings Corporation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Arnold Magnetic Technologies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Flexmag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Arnold Engineering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Magnetic Technologies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Precision Magnetics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Arnold Investments,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Arnold Magnetic Technologies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Arnold Magnetic Technologies UK Partnership,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Arnold Magnetic Technologies UK,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Arnold Magnetic Technologies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Precision Magnetics (Ganzhou)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Arnold Magnetic Technologies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Swift Levick Magnets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Arnold Magnetics Asia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Jade Magnetics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Arnold Asia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Arnold Magnetics (Shenzhen)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Ramco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Ramco Electric Motors,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 (owns 50%)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 (owns one ordinary share)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162" w:lineRule="exact"/>
        <w:rPr>
          <w:sz w:val="20"/>
          <w:szCs w:val="20"/>
          <w:color w:val="auto"/>
        </w:rPr>
      </w:pPr>
    </w:p>
    <w:p>
      <w:pPr>
        <w:sectPr>
          <w:pgSz w:w="11900" w:h="16838" w:orient="portrait"/>
          <w:cols w:equalWidth="0" w:num="2">
            <w:col w:w="6420" w:space="720"/>
            <w:col w:w="4080"/>
          </w:cols>
          <w:pgMar w:left="340" w:top="125"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BOA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BOA Parent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Reel Holding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 Technology Japan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 Technology Korea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Boatechnology GmbH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BOA Technology Hong Kong Limited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BOA Technology (Shanghai)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 Technology (Shenzen)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ectPr>
          <w:pgSz w:w="11900" w:h="16838" w:orient="portrait"/>
          <w:cols w:equalWidth="0" w:num="2">
            <w:col w:w="6420" w:space="720"/>
            <w:col w:w="4080"/>
          </w:cols>
          <w:pgMar w:left="340" w:top="125" w:right="339" w:bottom="1440" w:gutter="0" w:footer="0" w:header="0"/>
          <w:type w:val="continuous"/>
        </w:sectPr>
      </w:pPr>
    </w:p>
    <w:bookmarkStart w:id="254" w:name="page255"/>
    <w:bookmarkEnd w:id="254"/>
    <w:p>
      <w:pPr>
        <w:spacing w:after="0"/>
        <w:rPr>
          <w:sz w:val="20"/>
          <w:szCs w:val="20"/>
          <w:color w:val="auto"/>
        </w:rPr>
      </w:pPr>
      <w:r>
        <w:rPr>
          <w:rFonts w:ascii="Arial" w:cs="Arial" w:eastAsia="Arial" w:hAnsi="Arial"/>
          <w:sz w:val="18"/>
          <w:szCs w:val="18"/>
          <w:b w:val="1"/>
          <w:bCs w:val="1"/>
          <w:color w:val="auto"/>
        </w:rPr>
        <w:t>FFI Compass,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Foam Fabricators, Inc. d/b/a Altor Solutions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Foam Fab,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Polyfoam,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Plymouth Foam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Lifoam Industries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Rational Packaging,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Foam Fabricators Mexico,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Foam Fabricators Services, S. de R.L.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162" w:lineRule="exact"/>
        <w:rPr>
          <w:sz w:val="20"/>
          <w:szCs w:val="20"/>
          <w:color w:val="auto"/>
        </w:rPr>
      </w:pPr>
    </w:p>
    <w:p>
      <w:pPr>
        <w:sectPr>
          <w:pgSz w:w="11900" w:h="16838" w:orient="portrait"/>
          <w:cols w:equalWidth="0" w:num="2">
            <w:col w:w="6420" w:space="720"/>
            <w:col w:w="2979"/>
          </w:cols>
          <w:pgMar w:left="340" w:top="1079" w:right="1440" w:bottom="1440" w:gutter="0" w:footer="0" w:header="0"/>
        </w:sectPr>
      </w:pPr>
    </w:p>
    <w:p>
      <w:pPr>
        <w:spacing w:after="0"/>
        <w:rPr>
          <w:sz w:val="20"/>
          <w:szCs w:val="20"/>
          <w:color w:val="auto"/>
        </w:rPr>
      </w:pPr>
      <w:r>
        <w:rPr>
          <w:rFonts w:ascii="Arial" w:cs="Arial" w:eastAsia="Arial" w:hAnsi="Arial"/>
          <w:sz w:val="18"/>
          <w:szCs w:val="18"/>
          <w:b w:val="1"/>
          <w:bCs w:val="1"/>
          <w:color w:val="auto"/>
        </w:rPr>
        <w:t>Lugano Holding,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Lugano Buyer, Inc.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Lugano Diamonds &amp; Jewelry, Inc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Lugano Prive,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Lugano Prive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K.L.D. Jewelry,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Lugano Diamonds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Lugano Canada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62" w:lineRule="exact"/>
        <w:rPr>
          <w:sz w:val="20"/>
          <w:szCs w:val="20"/>
          <w:color w:val="auto"/>
        </w:rPr>
      </w:pPr>
    </w:p>
    <w:p>
      <w:pPr>
        <w:sectPr>
          <w:pgSz w:w="11900" w:h="16838" w:orient="portrait"/>
          <w:cols w:equalWidth="0" w:num="2">
            <w:col w:w="6420" w:space="720"/>
            <w:col w:w="2979"/>
          </w:cols>
          <w:pgMar w:left="340" w:top="1079"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Relentless Topco,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Relentless Intermediate,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PrimaLoft Intermediate,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PrimaLoft Technologies Holdings, Inc.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PrimaLoft,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PrimaLoft (Xiamen) Trading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PrimaLoft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 VAT Services SRL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162" w:lineRule="exact"/>
        <w:rPr>
          <w:sz w:val="20"/>
          <w:szCs w:val="20"/>
          <w:color w:val="auto"/>
        </w:rPr>
      </w:pPr>
    </w:p>
    <w:p>
      <w:pPr>
        <w:sectPr>
          <w:pgSz w:w="11900" w:h="16838" w:orient="portrait"/>
          <w:cols w:equalWidth="0" w:num="2">
            <w:col w:w="6420" w:space="720"/>
            <w:col w:w="2979"/>
          </w:cols>
          <w:pgMar w:left="340" w:top="1079"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SternoCandleLamp Holdings, Inc.</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Sterno Group Companies,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Sterno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Sterno Delivery,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Rimports,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Rimports (Canada)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Rimports (Shenzen)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162" w:lineRule="exact"/>
        <w:rPr>
          <w:sz w:val="20"/>
          <w:szCs w:val="20"/>
          <w:color w:val="auto"/>
        </w:rPr>
      </w:pPr>
    </w:p>
    <w:p>
      <w:pPr>
        <w:sectPr>
          <w:pgSz w:w="11900" w:h="16838" w:orient="portrait"/>
          <w:cols w:equalWidth="0" w:num="2">
            <w:col w:w="6420" w:space="720"/>
            <w:col w:w="2979"/>
          </w:cols>
          <w:pgMar w:left="340" w:top="1079"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CBCP Products, LLC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CBCP Acquisition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Velocity Outdoor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Ravin Crossbows,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King's Camo,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Wisconsin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62" w:lineRule="exact"/>
        <w:rPr>
          <w:sz w:val="20"/>
          <w:szCs w:val="20"/>
          <w:color w:val="auto"/>
        </w:rPr>
      </w:pPr>
    </w:p>
    <w:p>
      <w:pPr>
        <w:sectPr>
          <w:pgSz w:w="11900" w:h="16838" w:orient="portrait"/>
          <w:cols w:equalWidth="0" w:num="2">
            <w:col w:w="6420" w:space="720"/>
            <w:col w:w="2979"/>
          </w:cols>
          <w:pgMar w:left="340" w:top="1079"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THP Topco,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THP Intermediate,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Honey Pot Holdco,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Honey Pot Company Holdings, LLC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 Honey Pot Company (DE),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6420" w:space="720"/>
            <w:col w:w="2979"/>
          </w:cols>
          <w:pgMar w:left="340" w:top="1079" w:right="1440" w:bottom="1440" w:gutter="0" w:footer="0" w:header="0"/>
          <w:type w:val="continuous"/>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We have issued our reports dated February 27, 2025, with respect to the consolidated financial statements and internal control over financial reporting included in the Annual Report of Compass Diversified Holdings on Form 10-K for the year ended December 31, 2024. We consent to the incorporation by reference of said reports in the Registration Statements of Compass Diversified Holdings on Forms S-3 (File No. No. 333-281931 and File No. 333-147217).</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2025</w:t>
      </w:r>
    </w:p>
    <w:p>
      <w:pPr>
        <w:sectPr>
          <w:pgSz w:w="11900" w:h="16838" w:orient="portrait"/>
          <w:cols w:equalWidth="0" w:num="1">
            <w:col w:w="11240"/>
          </w:cols>
          <w:pgMar w:left="320" w:top="122"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Elias J. Sabo, certify that:</w:t>
      </w:r>
    </w:p>
    <w:p>
      <w:pPr>
        <w:spacing w:after="0" w:line="223" w:lineRule="exact"/>
        <w:rPr>
          <w:sz w:val="20"/>
          <w:szCs w:val="20"/>
          <w:color w:val="auto"/>
        </w:rPr>
      </w:pPr>
    </w:p>
    <w:p>
      <w:pPr>
        <w:ind w:left="640" w:hanging="308"/>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Compass Diversified Holdings and Compass Group Diversified Holdings LLC;</w:t>
      </w:r>
    </w:p>
    <w:p>
      <w:pPr>
        <w:spacing w:after="0" w:line="223" w:lineRule="exact"/>
        <w:rPr>
          <w:rFonts w:ascii="Arial" w:cs="Arial" w:eastAsia="Arial" w:hAnsi="Arial"/>
          <w:sz w:val="17"/>
          <w:szCs w:val="17"/>
          <w:color w:val="auto"/>
        </w:rPr>
      </w:pPr>
    </w:p>
    <w:p>
      <w:pPr>
        <w:jc w:val="both"/>
        <w:ind w:left="660" w:hanging="328"/>
        <w:spacing w:after="0" w:line="274" w:lineRule="auto"/>
        <w:tabs>
          <w:tab w:leader="none" w:pos="65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7"/>
          <w:szCs w:val="17"/>
          <w:color w:val="auto"/>
        </w:rPr>
      </w:pPr>
    </w:p>
    <w:p>
      <w:pPr>
        <w:ind w:left="660" w:hanging="328"/>
        <w:spacing w:after="0" w:line="284" w:lineRule="auto"/>
        <w:tabs>
          <w:tab w:leader="none" w:pos="65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left="660" w:hanging="328"/>
        <w:spacing w:after="0" w:line="274" w:lineRule="auto"/>
        <w:tabs>
          <w:tab w:leader="none" w:pos="65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67" w:lineRule="exact"/>
        <w:rPr>
          <w:rFonts w:ascii="Arial" w:cs="Arial" w:eastAsia="Arial" w:hAnsi="Arial"/>
          <w:sz w:val="17"/>
          <w:szCs w:val="17"/>
          <w:color w:val="auto"/>
        </w:rPr>
      </w:pPr>
    </w:p>
    <w:p>
      <w:pPr>
        <w:jc w:val="both"/>
        <w:ind w:left="980" w:hanging="324"/>
        <w:spacing w:after="0" w:line="266" w:lineRule="auto"/>
        <w:tabs>
          <w:tab w:leader="none" w:pos="97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7"/>
          <w:szCs w:val="17"/>
          <w:color w:val="auto"/>
        </w:rPr>
      </w:pPr>
    </w:p>
    <w:p>
      <w:pPr>
        <w:jc w:val="both"/>
        <w:ind w:left="980" w:hanging="324"/>
        <w:spacing w:after="0" w:line="274" w:lineRule="auto"/>
        <w:tabs>
          <w:tab w:leader="none" w:pos="97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7"/>
          <w:szCs w:val="17"/>
          <w:color w:val="auto"/>
        </w:rPr>
      </w:pPr>
    </w:p>
    <w:p>
      <w:pPr>
        <w:jc w:val="both"/>
        <w:ind w:left="980" w:hanging="324"/>
        <w:spacing w:after="0" w:line="275" w:lineRule="auto"/>
        <w:tabs>
          <w:tab w:leader="none" w:pos="977" w:val="left"/>
        </w:tabs>
        <w:numPr>
          <w:ilvl w:val="1"/>
          <w:numId w:val="1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5" w:lineRule="exact"/>
        <w:rPr>
          <w:rFonts w:ascii="Arial" w:cs="Arial" w:eastAsia="Arial" w:hAnsi="Arial"/>
          <w:sz w:val="17"/>
          <w:szCs w:val="17"/>
          <w:color w:val="auto"/>
        </w:rPr>
      </w:pPr>
    </w:p>
    <w:p>
      <w:pPr>
        <w:jc w:val="both"/>
        <w:ind w:left="980" w:hanging="324"/>
        <w:spacing w:after="0" w:line="274" w:lineRule="auto"/>
        <w:tabs>
          <w:tab w:leader="none" w:pos="97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7"/>
          <w:szCs w:val="17"/>
          <w:color w:val="auto"/>
        </w:rPr>
      </w:pPr>
    </w:p>
    <w:p>
      <w:pPr>
        <w:ind w:left="660" w:right="20" w:hanging="328"/>
        <w:spacing w:after="0" w:line="284" w:lineRule="auto"/>
        <w:tabs>
          <w:tab w:leader="none" w:pos="65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980" w:hanging="324"/>
        <w:spacing w:after="0" w:line="301" w:lineRule="auto"/>
        <w:tabs>
          <w:tab w:leader="none" w:pos="97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7"/>
          <w:szCs w:val="17"/>
          <w:color w:val="auto"/>
        </w:rPr>
      </w:pPr>
    </w:p>
    <w:p>
      <w:pPr>
        <w:ind w:left="980" w:right="20" w:hanging="324"/>
        <w:spacing w:after="0" w:line="284" w:lineRule="auto"/>
        <w:tabs>
          <w:tab w:leader="none" w:pos="973"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880" w:type="dxa"/>
            <w:vAlign w:val="bottom"/>
          </w:tcPr>
          <w:p>
            <w:pPr>
              <w:spacing w:after="0"/>
              <w:rPr>
                <w:sz w:val="20"/>
                <w:szCs w:val="20"/>
                <w:color w:val="auto"/>
              </w:rPr>
            </w:pPr>
            <w:r>
              <w:rPr>
                <w:rFonts w:ascii="Arial" w:cs="Arial" w:eastAsia="Arial" w:hAnsi="Arial"/>
                <w:sz w:val="17"/>
                <w:szCs w:val="17"/>
                <w:color w:val="auto"/>
              </w:rPr>
              <w:t>Date: February 27, 2025</w:t>
            </w:r>
          </w:p>
        </w:tc>
        <w:tc>
          <w:tcPr>
            <w:tcW w:w="43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/s/ Elias J. Sabo</w:t>
            </w:r>
          </w:p>
        </w:tc>
      </w:tr>
      <w:tr>
        <w:trPr>
          <w:trHeight w:val="221"/>
        </w:trPr>
        <w:tc>
          <w:tcPr>
            <w:tcW w:w="688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Elias J. Sabo</w:t>
            </w:r>
          </w:p>
        </w:tc>
      </w:tr>
      <w:tr>
        <w:trPr>
          <w:trHeight w:val="171"/>
        </w:trPr>
        <w:tc>
          <w:tcPr>
            <w:tcW w:w="6880" w:type="dxa"/>
            <w:vAlign w:val="bottom"/>
          </w:tcPr>
          <w:p>
            <w:pPr>
              <w:spacing w:after="0"/>
              <w:rPr>
                <w:sz w:val="14"/>
                <w:szCs w:val="14"/>
                <w:color w:val="auto"/>
              </w:rPr>
            </w:pPr>
          </w:p>
        </w:tc>
        <w:tc>
          <w:tcPr>
            <w:tcW w:w="4300" w:type="dxa"/>
            <w:vAlign w:val="bottom"/>
          </w:tcPr>
          <w:p>
            <w:pPr>
              <w:ind w:left="180"/>
              <w:spacing w:after="0" w:line="171" w:lineRule="exact"/>
              <w:rPr>
                <w:sz w:val="20"/>
                <w:szCs w:val="20"/>
                <w:color w:val="auto"/>
              </w:rPr>
            </w:pPr>
            <w:r>
              <w:rPr>
                <w:rFonts w:ascii="Arial" w:cs="Arial" w:eastAsia="Arial" w:hAnsi="Arial"/>
                <w:sz w:val="17"/>
                <w:szCs w:val="17"/>
                <w:color w:val="auto"/>
              </w:rPr>
              <w:t>Chief Executive Officer</w:t>
            </w:r>
          </w:p>
        </w:tc>
      </w:tr>
      <w:tr>
        <w:trPr>
          <w:trHeight w:val="225"/>
        </w:trPr>
        <w:tc>
          <w:tcPr>
            <w:tcW w:w="688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Compass Group Diversified Holdings LLC</w:t>
            </w:r>
          </w:p>
        </w:tc>
      </w:tr>
    </w:tbl>
    <w:p>
      <w:pPr>
        <w:sectPr>
          <w:pgSz w:w="11900" w:h="16838" w:orient="portrait"/>
          <w:cols w:equalWidth="0" w:num="1">
            <w:col w:w="11240"/>
          </w:cols>
          <w:pgMar w:left="320" w:top="122"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Stephen Keller, certify that:</w:t>
      </w:r>
    </w:p>
    <w:p>
      <w:pPr>
        <w:spacing w:after="0" w:line="223" w:lineRule="exact"/>
        <w:rPr>
          <w:sz w:val="20"/>
          <w:szCs w:val="20"/>
          <w:color w:val="auto"/>
        </w:rPr>
      </w:pPr>
    </w:p>
    <w:p>
      <w:pPr>
        <w:ind w:left="640" w:hanging="308"/>
        <w:spacing w:after="0"/>
        <w:tabs>
          <w:tab w:leader="none" w:pos="6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Compass Diversified Holdings and Compass Group Diversified Holdings LLC;</w:t>
      </w:r>
    </w:p>
    <w:p>
      <w:pPr>
        <w:spacing w:after="0" w:line="223" w:lineRule="exact"/>
        <w:rPr>
          <w:rFonts w:ascii="Arial" w:cs="Arial" w:eastAsia="Arial" w:hAnsi="Arial"/>
          <w:sz w:val="17"/>
          <w:szCs w:val="17"/>
          <w:color w:val="auto"/>
        </w:rPr>
      </w:pPr>
    </w:p>
    <w:p>
      <w:pPr>
        <w:jc w:val="both"/>
        <w:ind w:left="660" w:hanging="328"/>
        <w:spacing w:after="0" w:line="274" w:lineRule="auto"/>
        <w:tabs>
          <w:tab w:leader="none" w:pos="65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7"/>
          <w:szCs w:val="17"/>
          <w:color w:val="auto"/>
        </w:rPr>
      </w:pPr>
    </w:p>
    <w:p>
      <w:pPr>
        <w:ind w:left="660" w:hanging="328"/>
        <w:spacing w:after="0" w:line="284" w:lineRule="auto"/>
        <w:tabs>
          <w:tab w:leader="none" w:pos="65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left="660" w:hanging="328"/>
        <w:spacing w:after="0" w:line="274" w:lineRule="auto"/>
        <w:tabs>
          <w:tab w:leader="none" w:pos="65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67" w:lineRule="exact"/>
        <w:rPr>
          <w:rFonts w:ascii="Arial" w:cs="Arial" w:eastAsia="Arial" w:hAnsi="Arial"/>
          <w:sz w:val="17"/>
          <w:szCs w:val="17"/>
          <w:color w:val="auto"/>
        </w:rPr>
      </w:pPr>
    </w:p>
    <w:p>
      <w:pPr>
        <w:jc w:val="both"/>
        <w:ind w:left="980" w:hanging="324"/>
        <w:spacing w:after="0" w:line="266" w:lineRule="auto"/>
        <w:tabs>
          <w:tab w:leader="none" w:pos="973" w:val="left"/>
        </w:tabs>
        <w:numPr>
          <w:ilvl w:val="1"/>
          <w:numId w:val="1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7"/>
          <w:szCs w:val="17"/>
          <w:color w:val="auto"/>
        </w:rPr>
      </w:pPr>
    </w:p>
    <w:p>
      <w:pPr>
        <w:jc w:val="both"/>
        <w:ind w:left="980" w:hanging="324"/>
        <w:spacing w:after="0" w:line="274" w:lineRule="auto"/>
        <w:tabs>
          <w:tab w:leader="none" w:pos="973" w:val="left"/>
        </w:tabs>
        <w:numPr>
          <w:ilvl w:val="1"/>
          <w:numId w:val="1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7"/>
          <w:szCs w:val="17"/>
          <w:color w:val="auto"/>
        </w:rPr>
      </w:pPr>
    </w:p>
    <w:p>
      <w:pPr>
        <w:jc w:val="both"/>
        <w:ind w:left="980" w:hanging="324"/>
        <w:spacing w:after="0" w:line="275" w:lineRule="auto"/>
        <w:tabs>
          <w:tab w:leader="none" w:pos="977"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5" w:lineRule="exact"/>
        <w:rPr>
          <w:rFonts w:ascii="Arial" w:cs="Arial" w:eastAsia="Arial" w:hAnsi="Arial"/>
          <w:sz w:val="17"/>
          <w:szCs w:val="17"/>
          <w:color w:val="auto"/>
        </w:rPr>
      </w:pPr>
    </w:p>
    <w:p>
      <w:pPr>
        <w:jc w:val="both"/>
        <w:ind w:left="980" w:hanging="324"/>
        <w:spacing w:after="0" w:line="274" w:lineRule="auto"/>
        <w:tabs>
          <w:tab w:leader="none" w:pos="973" w:val="left"/>
        </w:tabs>
        <w:numPr>
          <w:ilvl w:val="1"/>
          <w:numId w:val="1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7"/>
          <w:szCs w:val="17"/>
          <w:color w:val="auto"/>
        </w:rPr>
      </w:pPr>
    </w:p>
    <w:p>
      <w:pPr>
        <w:ind w:left="660" w:right="20" w:hanging="328"/>
        <w:spacing w:after="0" w:line="284" w:lineRule="auto"/>
        <w:tabs>
          <w:tab w:leader="none" w:pos="65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980" w:hanging="324"/>
        <w:spacing w:after="0" w:line="301" w:lineRule="auto"/>
        <w:tabs>
          <w:tab w:leader="none" w:pos="973"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7"/>
          <w:szCs w:val="17"/>
          <w:color w:val="auto"/>
        </w:rPr>
      </w:pPr>
    </w:p>
    <w:p>
      <w:pPr>
        <w:ind w:left="980" w:right="20" w:hanging="324"/>
        <w:spacing w:after="0" w:line="284" w:lineRule="auto"/>
        <w:tabs>
          <w:tab w:leader="none" w:pos="973"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180" w:type="dxa"/>
            <w:vAlign w:val="bottom"/>
          </w:tcPr>
          <w:p>
            <w:pPr>
              <w:spacing w:after="0"/>
              <w:rPr>
                <w:sz w:val="20"/>
                <w:szCs w:val="20"/>
                <w:color w:val="auto"/>
              </w:rPr>
            </w:pPr>
            <w:r>
              <w:rPr>
                <w:rFonts w:ascii="Arial" w:cs="Arial" w:eastAsia="Arial" w:hAnsi="Arial"/>
                <w:sz w:val="17"/>
                <w:szCs w:val="17"/>
                <w:color w:val="auto"/>
              </w:rPr>
              <w:t>Date: February 27, 2025</w:t>
            </w:r>
          </w:p>
        </w:tc>
        <w:tc>
          <w:tcPr>
            <w:tcW w:w="48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/s/ Stephen Keller</w:t>
            </w:r>
          </w:p>
        </w:tc>
      </w:tr>
      <w:tr>
        <w:trPr>
          <w:trHeight w:val="221"/>
        </w:trPr>
        <w:tc>
          <w:tcPr>
            <w:tcW w:w="618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7"/>
                <w:szCs w:val="17"/>
                <w:color w:val="auto"/>
              </w:rPr>
              <w:t>Stephen Keller</w:t>
            </w:r>
          </w:p>
        </w:tc>
      </w:tr>
      <w:tr>
        <w:trPr>
          <w:trHeight w:val="225"/>
        </w:trPr>
        <w:tc>
          <w:tcPr>
            <w:tcW w:w="618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7"/>
                <w:szCs w:val="17"/>
                <w:color w:val="auto"/>
              </w:rPr>
              <w:t>Regular Trustee of Compass Diversified Holdings</w:t>
            </w:r>
          </w:p>
        </w:tc>
      </w:tr>
      <w:tr>
        <w:trPr>
          <w:trHeight w:val="230"/>
        </w:trPr>
        <w:tc>
          <w:tcPr>
            <w:tcW w:w="618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7"/>
                <w:szCs w:val="17"/>
                <w:color w:val="auto"/>
              </w:rPr>
              <w:t>Chief Financial Officer</w:t>
            </w:r>
          </w:p>
        </w:tc>
      </w:tr>
      <w:tr>
        <w:trPr>
          <w:trHeight w:val="230"/>
        </w:trPr>
        <w:tc>
          <w:tcPr>
            <w:tcW w:w="618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7"/>
                <w:szCs w:val="17"/>
                <w:color w:val="auto"/>
              </w:rPr>
              <w:t>Compass Group Diversified Holdings LLC</w:t>
            </w:r>
          </w:p>
        </w:tc>
      </w:tr>
    </w:tbl>
    <w:p>
      <w:pPr>
        <w:sectPr>
          <w:pgSz w:w="11900" w:h="16838" w:orient="portrait"/>
          <w:cols w:equalWidth="0" w:num="1">
            <w:col w:w="11240"/>
          </w:cols>
          <w:pgMar w:left="320" w:top="122"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Compass Diversified Holdings and Compass Group Diversified Holdings LLC Annual Report on Form 10-K for the period ended December 31, 2024 as filed with the Securities and Exchange Commission on the date hereof (the “Report”), I, Elias J. Sabo,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560" w:hanging="309"/>
        <w:spacing w:after="0"/>
        <w:tabs>
          <w:tab w:leader="none" w:pos="5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right="100" w:hanging="329"/>
        <w:spacing w:after="0" w:line="287" w:lineRule="auto"/>
        <w:tabs>
          <w:tab w:leader="none" w:pos="57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88" w:lineRule="exact"/>
        <w:rPr>
          <w:sz w:val="20"/>
          <w:szCs w:val="20"/>
          <w:color w:val="auto"/>
        </w:rPr>
      </w:pPr>
    </w:p>
    <w:p>
      <w:pPr>
        <w:ind w:left="20"/>
        <w:spacing w:after="0"/>
        <w:tabs>
          <w:tab w:leader="none" w:pos="6480" w:val="left"/>
          <w:tab w:leader="none" w:pos="7100" w:val="left"/>
        </w:tabs>
        <w:rPr>
          <w:sz w:val="20"/>
          <w:szCs w:val="20"/>
          <w:color w:val="auto"/>
        </w:rPr>
      </w:pPr>
      <w:r>
        <w:rPr>
          <w:rFonts w:ascii="Arial" w:cs="Arial" w:eastAsia="Arial" w:hAnsi="Arial"/>
          <w:sz w:val="18"/>
          <w:szCs w:val="18"/>
          <w:color w:val="auto"/>
        </w:rPr>
        <w:t>Date: February 27,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17780</wp:posOffset>
            </wp:positionV>
            <wp:extent cx="273431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Elias J. Sabo</w:t>
      </w:r>
    </w:p>
    <w:p>
      <w:pPr>
        <w:spacing w:after="0" w:line="1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Executive Officer</w:t>
      </w:r>
    </w:p>
    <w:p>
      <w:pPr>
        <w:ind w:left="7120"/>
        <w:spacing w:after="0"/>
        <w:rPr>
          <w:sz w:val="20"/>
          <w:szCs w:val="20"/>
          <w:color w:val="auto"/>
        </w:rPr>
      </w:pPr>
      <w:r>
        <w:rPr>
          <w:rFonts w:ascii="Arial" w:cs="Arial" w:eastAsia="Arial" w:hAnsi="Arial"/>
          <w:sz w:val="18"/>
          <w:szCs w:val="18"/>
          <w:color w:val="auto"/>
        </w:rPr>
        <w:t>Compass Group Diversified Holdings LLC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foregoing certification is being furnished to accompany Compass Diversified Holdings and Compass Group Diversified Holdings LLC’s Annual Report on Form 10-K for the year ended December 31, 2024 (the “Report”)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p>
      <w:pPr>
        <w:sectPr>
          <w:pgSz w:w="11900" w:h="16838" w:orient="portrait"/>
          <w:cols w:equalWidth="0" w:num="1">
            <w:col w:w="11240"/>
          </w:cols>
          <w:pgMar w:left="320" w:top="122"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Compass Diversified Holdings and Compass Group Diversified Holdings LLC Annual Report on Form 10-K for the period ended December 31, 2024 as filed with the Securities and Exchange Commission on the date hereof (the “Report”), I, Stephen Keller, Chief Financial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560" w:hanging="309"/>
        <w:spacing w:after="0"/>
        <w:tabs>
          <w:tab w:leader="none" w:pos="5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329"/>
        <w:spacing w:after="0" w:line="287" w:lineRule="auto"/>
        <w:tabs>
          <w:tab w:leader="none" w:pos="57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Date: February 27, 2025</w:t>
            </w:r>
          </w:p>
        </w:tc>
        <w:tc>
          <w:tcPr>
            <w:tcW w:w="2440" w:type="dxa"/>
            <w:vAlign w:val="bottom"/>
          </w:tcPr>
          <w:p>
            <w:pPr>
              <w:ind w:left="20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Stephen Keller</w:t>
            </w:r>
          </w:p>
        </w:tc>
      </w:tr>
      <w:tr>
        <w:trPr>
          <w:trHeight w:val="218"/>
        </w:trPr>
        <w:tc>
          <w:tcPr>
            <w:tcW w:w="39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Stephen Keller</w:t>
            </w:r>
          </w:p>
        </w:tc>
      </w:tr>
      <w:tr>
        <w:trPr>
          <w:trHeight w:val="181"/>
        </w:trPr>
        <w:tc>
          <w:tcPr>
            <w:tcW w:w="39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840" w:type="dxa"/>
            <w:vAlign w:val="bottom"/>
          </w:tcPr>
          <w:p>
            <w:pPr>
              <w:ind w:left="180"/>
              <w:spacing w:after="0" w:line="181" w:lineRule="exact"/>
              <w:rPr>
                <w:sz w:val="20"/>
                <w:szCs w:val="20"/>
                <w:color w:val="auto"/>
              </w:rPr>
            </w:pPr>
            <w:r>
              <w:rPr>
                <w:rFonts w:ascii="Arial" w:cs="Arial" w:eastAsia="Arial" w:hAnsi="Arial"/>
                <w:sz w:val="18"/>
                <w:szCs w:val="18"/>
                <w:color w:val="auto"/>
              </w:rPr>
              <w:t>Regular Trustee of Compass Diversified Holdings</w:t>
            </w:r>
          </w:p>
        </w:tc>
      </w:tr>
      <w:tr>
        <w:trPr>
          <w:trHeight w:val="175"/>
        </w:trPr>
        <w:tc>
          <w:tcPr>
            <w:tcW w:w="39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840" w:type="dxa"/>
            <w:vAlign w:val="bottom"/>
          </w:tcPr>
          <w:p>
            <w:pPr>
              <w:ind w:left="180"/>
              <w:spacing w:after="0" w:line="176" w:lineRule="exact"/>
              <w:rPr>
                <w:sz w:val="20"/>
                <w:szCs w:val="20"/>
                <w:color w:val="auto"/>
              </w:rPr>
            </w:pPr>
            <w:r>
              <w:rPr>
                <w:rFonts w:ascii="Arial" w:cs="Arial" w:eastAsia="Arial" w:hAnsi="Arial"/>
                <w:sz w:val="18"/>
                <w:szCs w:val="18"/>
                <w:color w:val="auto"/>
              </w:rPr>
              <w:t>Chief Financial Officer</w:t>
            </w:r>
          </w:p>
        </w:tc>
      </w:tr>
      <w:tr>
        <w:trPr>
          <w:trHeight w:val="239"/>
        </w:trPr>
        <w:tc>
          <w:tcPr>
            <w:tcW w:w="3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Compass Group Diversified Holdings LLC</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foregoing certification is being furnished to accompany Compass Diversified Holdings and Compass Group Diversified Holdings LLC’s Annual Report on Form 10-K for the year ended December 31, 2024 (the “Report”)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1)"/>
      <w:numFmt w:val="lowerRoman"/>
      <w:start w:val="4"/>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1)"/>
      <w:numFmt w:val="decimal"/>
      <w:start w:val="1"/>
    </w:lvl>
  </w:abstractNum>
  <w:abstractNum w:abstractNumId="7">
    <w:nsid w:val="51D9C564"/>
    <w:multiLevelType w:val="hybridMultilevel"/>
    <w:lvl w:ilvl="0">
      <w:lvlJc w:val="left"/>
      <w:lvlText w:val="%1)"/>
      <w:numFmt w:val="decimal"/>
      <w:start w:val="4"/>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1)"/>
      <w:numFmt w:val="decimal"/>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1)"/>
      <w:numFmt w:val="decimal"/>
      <w:start w:val="6"/>
    </w:lvl>
    <w:lvl w:ilvl="1">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1)"/>
      <w:numFmt w:val="decimal"/>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1)"/>
      <w:numFmt w:val="decimal"/>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
      <w:numFmt w:val="bullet"/>
      <w:start w:val="1"/>
    </w:lvl>
  </w:abstractNum>
  <w:abstractNum w:abstractNumId="47">
    <w:nsid w:val="49DA307D"/>
    <w:multiLevelType w:val="hybridMultilevel"/>
    <w:lvl w:ilvl="0">
      <w:lvlJc w:val="left"/>
      <w:lvlText w:val="(%1)"/>
      <w:numFmt w:val="decimal"/>
      <w:start w:val="1"/>
    </w:lvl>
  </w:abstractNum>
  <w:abstractNum w:abstractNumId="48">
    <w:nsid w:val="7055A5F5"/>
    <w:multiLevelType w:val="hybridMultilevel"/>
    <w:lvl w:ilvl="0">
      <w:lvlJc w:val="left"/>
      <w:lvlText w:val="(%1)"/>
      <w:numFmt w:val="decimal"/>
      <w:start w:val="2"/>
    </w:lvl>
  </w:abstractNum>
  <w:abstractNum w:abstractNumId="49">
    <w:nsid w:val="5FB8370B"/>
    <w:multiLevelType w:val="hybridMultilevel"/>
    <w:lvl w:ilvl="0">
      <w:lvlJc w:val="left"/>
      <w:lvlText w:val="(%1)"/>
      <w:numFmt w:val="decimal"/>
      <w:start w:val="1"/>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1)"/>
      <w:numFmt w:val="lowerLetter"/>
      <w:start w:val="1"/>
    </w:lvl>
  </w:abstractNum>
  <w:abstractNum w:abstractNumId="57">
    <w:nsid w:val="7D5E18F8"/>
    <w:multiLevelType w:val="hybridMultilevel"/>
    <w:lvl w:ilvl="0">
      <w:lvlJc w:val="left"/>
      <w:lvlText w:val="(%1)"/>
      <w:numFmt w:val="lowerLetter"/>
      <w:start w:val="2"/>
    </w:lvl>
  </w:abstractNum>
  <w:abstractNum w:abstractNumId="58">
    <w:nsid w:val="5F3534A4"/>
    <w:multiLevelType w:val="hybridMultilevel"/>
    <w:lvl w:ilvl="0">
      <w:lvlJc w:val="left"/>
      <w:lvlText w:val="(%1)"/>
      <w:numFmt w:val="lowerLetter"/>
      <w:start w:val="3"/>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1)"/>
      <w:numFmt w:val="decimal"/>
      <w:start w:val="1"/>
    </w:lvl>
  </w:abstractNum>
  <w:abstractNum w:abstractNumId="64">
    <w:nsid w:val="6A3DD3E8"/>
    <w:multiLevelType w:val="hybridMultilevel"/>
    <w:lvl w:ilvl="0">
      <w:lvlJc w:val="left"/>
      <w:lvlText w:val="(%1)"/>
      <w:numFmt w:val="decimal"/>
      <w:start w:val="1"/>
    </w:lvl>
  </w:abstractNum>
  <w:abstractNum w:abstractNumId="65">
    <w:nsid w:val="71C91298"/>
    <w:multiLevelType w:val="hybridMultilevel"/>
    <w:lvl w:ilvl="0">
      <w:lvlJc w:val="left"/>
      <w:lvlText w:val="(%1)"/>
      <w:numFmt w:val="decimal"/>
      <w:start w:val="1"/>
    </w:lvl>
  </w:abstractNum>
  <w:abstractNum w:abstractNumId="66">
    <w:nsid w:val="9DAF632"/>
    <w:multiLevelType w:val="hybridMultilevel"/>
    <w:lvl w:ilvl="0">
      <w:lvlJc w:val="left"/>
      <w:lvlText w:val="(%1)"/>
      <w:numFmt w:val="decimal"/>
      <w:start w:val="1"/>
    </w:lvl>
  </w:abstractNum>
  <w:abstractNum w:abstractNumId="67">
    <w:nsid w:val="53299938"/>
    <w:multiLevelType w:val="hybridMultilevel"/>
    <w:lvl w:ilvl="0">
      <w:lvlJc w:val="left"/>
      <w:lvlText w:val="(%1)"/>
      <w:numFmt w:val="decimal"/>
      <w:start w:val="1"/>
    </w:lvl>
  </w:abstractNum>
  <w:abstractNum w:abstractNumId="68">
    <w:nsid w:val="1FBFE8E0"/>
    <w:multiLevelType w:val="hybridMultilevel"/>
    <w:lvl w:ilvl="0">
      <w:lvlJc w:val="left"/>
      <w:lvlText w:val="(%1)"/>
      <w:numFmt w:val="decimal"/>
      <w:start w:val="1"/>
    </w:lvl>
  </w:abstractNum>
  <w:abstractNum w:abstractNumId="69">
    <w:nsid w:val="5092CA79"/>
    <w:multiLevelType w:val="hybridMultilevel"/>
    <w:lvl w:ilvl="0">
      <w:lvlJc w:val="left"/>
      <w:lvlText w:val="(%1)"/>
      <w:numFmt w:val="decimal"/>
      <w:start w:val="1"/>
    </w:lvl>
  </w:abstractNum>
  <w:abstractNum w:abstractNumId="70">
    <w:nsid w:val="1D545C4D"/>
    <w:multiLevelType w:val="hybridMultilevel"/>
    <w:lvl w:ilvl="0">
      <w:lvlJc w:val="left"/>
      <w:lvlText w:val="(%1)"/>
      <w:numFmt w:val="decimal"/>
      <w:start w:val="1"/>
    </w:lvl>
  </w:abstractNum>
  <w:abstractNum w:abstractNumId="71">
    <w:nsid w:val="59ADEA3D"/>
    <w:multiLevelType w:val="hybridMultilevel"/>
    <w:lvl w:ilvl="0">
      <w:lvlJc w:val="left"/>
      <w:lvlText w:val="(%1)"/>
      <w:numFmt w:val="decimal"/>
      <w:start w:val="1"/>
    </w:lvl>
  </w:abstractNum>
  <w:abstractNum w:abstractNumId="72">
    <w:nsid w:val="288F1A34"/>
    <w:multiLevelType w:val="hybridMultilevel"/>
    <w:lvl w:ilvl="0">
      <w:lvlJc w:val="left"/>
      <w:lvlText w:val="(%1)"/>
      <w:numFmt w:val="decimal"/>
      <w:start w:val="1"/>
    </w:lvl>
  </w:abstractNum>
  <w:abstractNum w:abstractNumId="73">
    <w:nsid w:val="2A155DBC"/>
    <w:multiLevelType w:val="hybridMultilevel"/>
    <w:lvl w:ilvl="0">
      <w:lvlJc w:val="left"/>
      <w:lvlText w:val="(%1)"/>
      <w:numFmt w:val="decimal"/>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1)"/>
      <w:numFmt w:val="decimal"/>
      <w:start w:val="1"/>
    </w:lvl>
  </w:abstractNum>
  <w:abstractNum w:abstractNumId="77">
    <w:nsid w:val="1CA0C5FA"/>
    <w:multiLevelType w:val="hybridMultilevel"/>
    <w:lvl w:ilvl="0">
      <w:lvlJc w:val="left"/>
      <w:lvlText w:val="(%1)"/>
      <w:numFmt w:val="decimal"/>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1)"/>
      <w:numFmt w:val="decimal"/>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1)"/>
      <w:numFmt w:val="decimal"/>
      <w:start w:val="1"/>
    </w:lvl>
  </w:abstractNum>
  <w:abstractNum w:abstractNumId="84">
    <w:nsid w:val="E7FFA2B"/>
    <w:multiLevelType w:val="hybridMultilevel"/>
    <w:lvl w:ilvl="0">
      <w:lvlJc w:val="left"/>
      <w:lvlText w:val="(%1)"/>
      <w:numFmt w:val="decimal"/>
      <w:start w:val="1"/>
    </w:lvl>
  </w:abstractNum>
  <w:abstractNum w:abstractNumId="85">
    <w:nsid w:val="3C5991AA"/>
    <w:multiLevelType w:val="hybridMultilevel"/>
    <w:lvl w:ilvl="0">
      <w:lvlJc w:val="left"/>
      <w:lvlText w:val="(%1)"/>
      <w:numFmt w:val="decimal"/>
      <w:start w:val="1"/>
    </w:lvl>
  </w:abstractNum>
  <w:abstractNum w:abstractNumId="86">
    <w:nsid w:val="4BD8591A"/>
    <w:multiLevelType w:val="hybridMultilevel"/>
    <w:lvl w:ilvl="0">
      <w:lvlJc w:val="left"/>
      <w:lvlText w:val="(%1)"/>
      <w:numFmt w:val="decimal"/>
      <w:start w:val="1"/>
    </w:lvl>
  </w:abstractNum>
  <w:abstractNum w:abstractNumId="87">
    <w:nsid w:val="78DF6A55"/>
    <w:multiLevelType w:val="hybridMultilevel"/>
    <w:lvl w:ilvl="0">
      <w:lvlJc w:val="left"/>
      <w:lvlText w:val="(%1)"/>
      <w:numFmt w:val="decimal"/>
      <w:start w:val="1"/>
    </w:lvl>
  </w:abstractNum>
  <w:abstractNum w:abstractNumId="88">
    <w:nsid w:val="39B7AAA2"/>
    <w:multiLevelType w:val="hybridMultilevel"/>
    <w:lvl w:ilvl="0">
      <w:lvlJc w:val="left"/>
      <w:lvlText w:val="(%1)"/>
      <w:numFmt w:val="decimal"/>
      <w:start w:val="1"/>
    </w:lvl>
  </w:abstractNum>
  <w:abstractNum w:abstractNumId="89">
    <w:nsid w:val="2B0D8DBE"/>
    <w:multiLevelType w:val="hybridMultilevel"/>
    <w:lvl w:ilvl="0">
      <w:lvlJc w:val="left"/>
      <w:lvlText w:val="(%1)"/>
      <w:numFmt w:val="decimal"/>
      <w:start w:val="1"/>
    </w:lvl>
  </w:abstractNum>
  <w:abstractNum w:abstractNumId="90">
    <w:nsid w:val="6C80EC70"/>
    <w:multiLevelType w:val="hybridMultilevel"/>
    <w:lvl w:ilvl="0">
      <w:lvlJc w:val="left"/>
      <w:lvlText w:val="(%1)"/>
      <w:numFmt w:val="lowerRoman"/>
      <w:start w:val="1"/>
    </w:lvl>
  </w:abstractNum>
  <w:abstractNum w:abstractNumId="91">
    <w:nsid w:val="379E21B5"/>
    <w:multiLevelType w:val="hybridMultilevel"/>
    <w:lvl w:ilvl="0">
      <w:lvlJc w:val="left"/>
      <w:lvlText w:val="(%1)"/>
      <w:numFmt w:val="decimal"/>
      <w:start w:val="1"/>
    </w:lvl>
  </w:abstractNum>
  <w:abstractNum w:abstractNumId="92">
    <w:nsid w:val="69E373"/>
    <w:multiLevelType w:val="hybridMultilevel"/>
    <w:lvl w:ilvl="0">
      <w:lvlJc w:val="left"/>
      <w:lvlText w:val="*"/>
      <w:numFmt w:val="bullet"/>
      <w:start w:val="1"/>
    </w:lvl>
    <w:lvl w:ilvl="1">
      <w:lvlJc w:val="left"/>
      <w:lvlText w:val="%2"/>
      <w:numFmt w:val="decimal"/>
      <w:start w:val="104"/>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
      <w:numFmt w:val="bullet"/>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
      <w:numFmt w:val="bullet"/>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1)"/>
      <w:numFmt w:val="decimal"/>
      <w:start w:val="1"/>
    </w:lvl>
  </w:abstractNum>
  <w:abstractNum w:abstractNumId="101">
    <w:nsid w:val="5B25ACE2"/>
    <w:multiLevelType w:val="hybridMultilevel"/>
    <w:lvl w:ilvl="0">
      <w:lvlJc w:val="left"/>
      <w:lvlText w:val="(%1)"/>
      <w:numFmt w:val="decimal"/>
      <w:start w:val="1"/>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1)"/>
      <w:numFmt w:val="lowerRoman"/>
      <w:start w:val="1"/>
    </w:lvl>
  </w:abstractNum>
  <w:abstractNum w:abstractNumId="104">
    <w:nsid w:val="53B0A9E"/>
    <w:multiLevelType w:val="hybridMultilevel"/>
    <w:lvl w:ilvl="0">
      <w:lvlJc w:val="left"/>
      <w:lvlText w:val="(%1)"/>
      <w:numFmt w:val="decimal"/>
      <w:start w:val="1"/>
    </w:lvl>
  </w:abstractNum>
  <w:abstractNum w:abstractNumId="105">
    <w:nsid w:val="34FD6B4F"/>
    <w:multiLevelType w:val="hybridMultilevel"/>
    <w:lvl w:ilvl="0">
      <w:lvlJc w:val="left"/>
      <w:lvlText w:val="(%1)"/>
      <w:numFmt w:val="decimal"/>
      <w:start w:val="1"/>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1)"/>
      <w:numFmt w:val="decimal"/>
      <w:start w:val="1"/>
    </w:lvl>
  </w:abstractNum>
  <w:abstractNum w:abstractNumId="108">
    <w:nsid w:val="519E3149"/>
    <w:multiLevelType w:val="hybridMultilevel"/>
    <w:lvl w:ilvl="0">
      <w:lvlJc w:val="left"/>
      <w:lvlText w:val="(%1)"/>
      <w:numFmt w:val="decimal"/>
      <w:start w:val="1"/>
    </w:lvl>
  </w:abstractNum>
  <w:abstractNum w:abstractNumId="109">
    <w:nsid w:val="2C6E4AFD"/>
    <w:multiLevelType w:val="hybridMultilevel"/>
    <w:lvl w:ilvl="0">
      <w:lvlJc w:val="left"/>
      <w:lvlText w:val="(%1)"/>
      <w:numFmt w:val="decimal"/>
      <w:start w:val="2"/>
    </w:lvl>
  </w:abstractNum>
  <w:abstractNum w:abstractNumId="110">
    <w:nsid w:val="17A1B582"/>
    <w:multiLevelType w:val="hybridMultilevel"/>
    <w:lvl w:ilvl="0">
      <w:lvlJc w:val="left"/>
      <w:lvlText w:val="•"/>
      <w:numFmt w:val="bullet"/>
      <w:start w:val="1"/>
    </w:lvl>
  </w:abstractNum>
  <w:abstractNum w:abstractNumId="111">
    <w:nsid w:val="4DF72E4E"/>
    <w:multiLevelType w:val="hybridMultilevel"/>
    <w:lvl w:ilvl="0">
      <w:lvlJc w:val="left"/>
      <w:lvlText w:val="•"/>
      <w:numFmt w:val="bullet"/>
      <w:start w:val="1"/>
    </w:lvl>
  </w:abstractNum>
  <w:abstractNum w:abstractNumId="112">
    <w:nsid w:val="5046B5A9"/>
    <w:multiLevelType w:val="hybridMultilevel"/>
    <w:lvl w:ilvl="0">
      <w:lvlJc w:val="left"/>
      <w:lvlText w:val="•"/>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
      <w:numFmt w:val="bullet"/>
      <w:start w:val="1"/>
    </w:lvl>
  </w:abstractNum>
  <w:abstractNum w:abstractNumId="115">
    <w:nsid w:val="5EC6AFD4"/>
    <w:multiLevelType w:val="hybridMultilevel"/>
    <w:lvl w:ilvl="0">
      <w:lvlJc w:val="left"/>
      <w:lvlText w:val="(%1)"/>
      <w:numFmt w:val="lowerLetter"/>
      <w:start w:val="1"/>
    </w:lvl>
  </w:abstractNum>
  <w:abstractNum w:abstractNumId="116">
    <w:nsid w:val="19E21BB2"/>
    <w:multiLevelType w:val="hybridMultilevel"/>
    <w:lvl w:ilvl="0">
      <w:lvlJc w:val="left"/>
      <w:lvlText w:val="(%1)"/>
      <w:numFmt w:val="lowerLetter"/>
      <w:start w:val="3"/>
    </w:lvl>
    <w:lvl w:ilvl="1">
      <w:lvlJc w:val="left"/>
      <w:lvlText w:val="(%2)"/>
      <w:numFmt w:val="lowerRoman"/>
      <w:start w:val="1"/>
    </w:lvl>
  </w:abstractNum>
  <w:abstractNum w:abstractNumId="117">
    <w:nsid w:val="75E0858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8">
    <w:nsid w:val="57A61A29"/>
    <w:multiLevelType w:val="hybridMultilevel"/>
    <w:lvl w:ilvl="0">
      <w:lvlJc w:val="left"/>
      <w:lvlText w:val="(%1)"/>
      <w:numFmt w:val="decimal"/>
      <w:start w:val="60"/>
    </w:lvl>
    <w:lvl w:ilvl="1">
      <w:lvlJc w:val="left"/>
      <w:lvlText w:val="(%2)"/>
      <w:numFmt w:val="lowerLetter"/>
      <w:start w:val="5"/>
    </w:lvl>
    <w:lvl w:ilvl="2">
      <w:lvlJc w:val="left"/>
      <w:lvlText w:val="%3"/>
      <w:numFmt w:val="lowerLetter"/>
      <w:start w:val="1"/>
    </w:lvl>
  </w:abstractNum>
  <w:abstractNum w:abstractNumId="119">
    <w:nsid w:val="5399C654"/>
    <w:multiLevelType w:val="hybridMultilevel"/>
    <w:lvl w:ilvl="0">
      <w:lvlJc w:val="left"/>
      <w:lvlText w:val="(%1)"/>
      <w:numFmt w:val="lowerLetter"/>
      <w:start w:val="1"/>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1."/>
      <w:numFmt w:val="decimal"/>
      <w:start w:val="1"/>
    </w:lvl>
  </w:abstractNum>
  <w:abstractNum w:abstractNumId="123">
    <w:nsid w:val="2157F6BC"/>
    <w:multiLevelType w:val="hybridMultilevel"/>
    <w:lvl w:ilvl="0">
      <w:lvlJc w:val="left"/>
      <w:lvlText w:val="•"/>
      <w:numFmt w:val="bullet"/>
      <w:start w:val="1"/>
    </w:lvl>
  </w:abstractNum>
  <w:abstractNum w:abstractNumId="124">
    <w:nsid w:val="704E1DD5"/>
    <w:multiLevelType w:val="hybridMultilevel"/>
    <w:lvl w:ilvl="0">
      <w:lvlJc w:val="left"/>
      <w:lvlText w:val="%1"/>
      <w:numFmt w:val="upperLetter"/>
      <w:start w:val="1"/>
    </w:lvl>
    <w:lvl w:ilvl="1">
      <w:lvlJc w:val="left"/>
      <w:lvlText w:val="%2."/>
      <w:numFmt w:val="decimal"/>
      <w:start w:val="2"/>
    </w:lvl>
  </w:abstractNum>
  <w:abstractNum w:abstractNumId="125">
    <w:nsid w:val="57D2F10E"/>
    <w:multiLevelType w:val="hybridMultilevel"/>
    <w:lvl w:ilvl="0">
      <w:lvlJc w:val="left"/>
      <w:lvlText w:val="%1."/>
      <w:numFmt w:val="upperLetter"/>
      <w:start w:val="3"/>
    </w:lvl>
    <w:lvl w:ilvl="1">
      <w:lvlJc w:val="left"/>
      <w:lvlText w:val="%2"/>
      <w:numFmt w:val="decimal"/>
      <w:start w:val="1"/>
    </w:lvl>
  </w:abstractNum>
  <w:abstractNum w:abstractNumId="126">
    <w:nsid w:val="BFFAE18"/>
    <w:multiLevelType w:val="hybridMultilevel"/>
    <w:lvl w:ilvl="0">
      <w:lvlJc w:val="left"/>
      <w:lvlText w:val="%1."/>
      <w:numFmt w:val="decimal"/>
      <w:start w:val="1"/>
    </w:lvl>
  </w:abstractNum>
  <w:abstractNum w:abstractNumId="127">
    <w:nsid w:val="E3E47A8"/>
    <w:multiLevelType w:val="hybridMultilevel"/>
    <w:lvl w:ilvl="0">
      <w:lvlJc w:val="left"/>
      <w:lvlText w:val="•"/>
      <w:numFmt w:val="bullet"/>
      <w:start w:val="1"/>
    </w:lvl>
  </w:abstractNum>
  <w:abstractNum w:abstractNumId="128">
    <w:nsid w:val="2E48F044"/>
    <w:multiLevelType w:val="hybridMultilevel"/>
    <w:lvl w:ilvl="0">
      <w:lvlJc w:val="left"/>
      <w:lvlText w:val="•"/>
      <w:numFmt w:val="bullet"/>
      <w:start w:val="1"/>
    </w:lvl>
    <w:lvl w:ilvl="1">
      <w:lvlJc w:val="left"/>
      <w:lvlText w:val="%2."/>
      <w:numFmt w:val="decimal"/>
      <w:start w:val="2"/>
    </w:lvl>
  </w:abstractNum>
  <w:abstractNum w:abstractNumId="129">
    <w:nsid w:val="49D0FEAC"/>
    <w:multiLevelType w:val="hybridMultilevel"/>
    <w:lvl w:ilvl="0">
      <w:lvlJc w:val="left"/>
      <w:lvlText w:val="%1."/>
      <w:numFmt w:val="decimal"/>
      <w:start w:val="3"/>
    </w:lvl>
  </w:abstractNum>
  <w:abstractNum w:abstractNumId="130">
    <w:nsid w:val="4BEE5A5B"/>
    <w:multiLevelType w:val="hybridMultilevel"/>
    <w:lvl w:ilvl="0">
      <w:lvlJc w:val="left"/>
      <w:lvlText w:val="%1"/>
      <w:numFmt w:val="upperLetter"/>
      <w:start w:val="1"/>
    </w:lvl>
    <w:lvl w:ilvl="1">
      <w:lvlJc w:val="left"/>
      <w:lvlText w:val="•"/>
      <w:numFmt w:val="bullet"/>
      <w:start w:val="1"/>
    </w:lvl>
    <w:lvl w:ilvl="2">
      <w:lvlJc w:val="left"/>
      <w:lvlText w:val="%3."/>
      <w:numFmt w:val="decimal"/>
      <w:start w:val="6"/>
    </w:lvl>
    <w:lvl w:ilvl="3">
      <w:lvlJc w:val="left"/>
      <w:lvlText w:val="%4"/>
      <w:numFmt w:val="decimal"/>
      <w:start w:val="1"/>
    </w:lvl>
  </w:abstractNum>
  <w:abstractNum w:abstractNumId="131">
    <w:nsid w:val="5551B9F3"/>
    <w:multiLevelType w:val="hybridMultilevel"/>
    <w:lvl w:ilvl="0">
      <w:lvlJc w:val="left"/>
      <w:lvlText w:val="%1."/>
      <w:numFmt w:val="upperLetter"/>
      <w:start w:val="4"/>
    </w:lvl>
    <w:lvl w:ilvl="1">
      <w:lvlJc w:val="left"/>
      <w:lvlText w:val="•"/>
      <w:numFmt w:val="bullet"/>
      <w:start w:val="1"/>
    </w:lvl>
    <w:lvl w:ilvl="2">
      <w:lvlJc w:val="left"/>
      <w:lvlText w:val="%3"/>
      <w:numFmt w:val="decimal"/>
      <w:start w:val="1"/>
    </w:lvl>
    <w:lvl w:ilvl="3">
      <w:lvlJc w:val="left"/>
      <w:lvlText w:val="%4."/>
      <w:numFmt w:val="decimal"/>
      <w:start w:val="1"/>
    </w:lvl>
  </w:abstractNum>
  <w:abstractNum w:abstractNumId="132">
    <w:nsid w:val="24F6AB8E"/>
    <w:multiLevelType w:val="hybridMultilevel"/>
    <w:lvl w:ilvl="0">
      <w:lvlJc w:val="left"/>
      <w:lvlText w:val="•"/>
      <w:numFmt w:val="bullet"/>
      <w:start w:val="1"/>
    </w:lvl>
  </w:abstractNum>
  <w:abstractNum w:abstractNumId="133">
    <w:nsid w:val="634C574C"/>
    <w:multiLevelType w:val="hybridMultilevel"/>
    <w:lvl w:ilvl="0">
      <w:lvlJc w:val="left"/>
      <w:lvlText w:val="%1"/>
      <w:numFmt w:val="upperLetter"/>
      <w:start w:val="1"/>
    </w:lvl>
    <w:lvl w:ilvl="1">
      <w:lvlJc w:val="left"/>
      <w:lvlText w:val="%2."/>
      <w:numFmt w:val="decimal"/>
      <w:start w:val="2"/>
    </w:lvl>
  </w:abstractNum>
  <w:abstractNum w:abstractNumId="134">
    <w:nsid w:val="24E99DD7"/>
    <w:multiLevelType w:val="hybridMultilevel"/>
    <w:lvl w:ilvl="0">
      <w:lvlJc w:val="left"/>
      <w:lvlText w:val="%1."/>
      <w:numFmt w:val="upperLetter"/>
      <w:start w:val="5"/>
    </w:lvl>
    <w:lvl w:ilvl="1">
      <w:lvlJc w:val="left"/>
      <w:lvlText w:val="%2"/>
      <w:numFmt w:val="decimal"/>
      <w:start w:val="1"/>
    </w:lvl>
  </w:abstractNum>
  <w:abstractNum w:abstractNumId="135">
    <w:nsid w:val="2A31B62D"/>
    <w:multiLevelType w:val="hybridMultilevel"/>
    <w:lvl w:ilvl="0">
      <w:lvlJc w:val="left"/>
      <w:lvlText w:val="•"/>
      <w:numFmt w:val="bullet"/>
      <w:start w:val="1"/>
    </w:lvl>
  </w:abstractNum>
  <w:abstractNum w:abstractNumId="136">
    <w:nsid w:val="1849C29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1."/>
      <w:numFmt w:val="decimal"/>
      <w:start w:val="16"/>
    </w:lvl>
  </w:abstractNum>
  <w:abstractNum w:abstractNumId="139">
    <w:nsid w:val="69E7F3E5"/>
    <w:multiLevelType w:val="hybridMultilevel"/>
    <w:lvl w:ilvl="0">
      <w:lvlJc w:val="left"/>
      <w:lvlText w:val="%1."/>
      <w:numFmt w:val="decimal"/>
      <w:start w:val="1"/>
    </w:lvl>
    <w:lvl w:ilvl="1">
      <w:lvlJc w:val="left"/>
      <w:lvlText w:val="(%2)"/>
      <w:numFmt w:val="lowerLetter"/>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96" Type="http://schemas.openxmlformats.org/officeDocument/2006/relationships/image" Target="media/image154.png"/><Relationship Id="rId214" Type="http://schemas.openxmlformats.org/officeDocument/2006/relationships/image" Target="media/image155.png"/><Relationship Id="rId232" Type="http://schemas.openxmlformats.org/officeDocument/2006/relationships/image" Target="media/image156.png"/><Relationship Id="rId234" Type="http://schemas.openxmlformats.org/officeDocument/2006/relationships/image" Target="media/image157.png"/><Relationship Id="rId235" Type="http://schemas.openxmlformats.org/officeDocument/2006/relationships/image" Target="media/image158.png"/><Relationship Id="rId236" Type="http://schemas.openxmlformats.org/officeDocument/2006/relationships/image" Target="media/image159.png"/><Relationship Id="rId237" Type="http://schemas.openxmlformats.org/officeDocument/2006/relationships/image" Target="media/image160.png"/><Relationship Id="rId238" Type="http://schemas.openxmlformats.org/officeDocument/2006/relationships/image" Target="media/image161.png"/><Relationship Id="rId239" Type="http://schemas.openxmlformats.org/officeDocument/2006/relationships/image" Target="media/image162.png"/><Relationship Id="rId240" Type="http://schemas.openxmlformats.org/officeDocument/2006/relationships/image" Target="media/image163.png"/><Relationship Id="rId241" Type="http://schemas.openxmlformats.org/officeDocument/2006/relationships/image" Target="media/image164.png"/><Relationship Id="rId242" Type="http://schemas.openxmlformats.org/officeDocument/2006/relationships/image" Target="media/image165.png"/><Relationship Id="rId243" Type="http://schemas.openxmlformats.org/officeDocument/2006/relationships/image" Target="media/image166.png"/><Relationship Id="rId244" Type="http://schemas.openxmlformats.org/officeDocument/2006/relationships/image" Target="media/image167.png"/><Relationship Id="rId245" Type="http://schemas.openxmlformats.org/officeDocument/2006/relationships/image" Target="media/image168.png"/><Relationship Id="rId246" Type="http://schemas.openxmlformats.org/officeDocument/2006/relationships/image" Target="media/image169.png"/><Relationship Id="rId247" Type="http://schemas.openxmlformats.org/officeDocument/2006/relationships/image" Target="media/image170.png"/><Relationship Id="rId248" Type="http://schemas.openxmlformats.org/officeDocument/2006/relationships/image" Target="media/image171.png"/><Relationship Id="rId249" Type="http://schemas.openxmlformats.org/officeDocument/2006/relationships/image" Target="media/image172.png"/><Relationship Id="rId250" Type="http://schemas.openxmlformats.org/officeDocument/2006/relationships/image" Target="media/image173.png"/><Relationship Id="rId251" Type="http://schemas.openxmlformats.org/officeDocument/2006/relationships/image" Target="media/image174.png"/><Relationship Id="rId252" Type="http://schemas.openxmlformats.org/officeDocument/2006/relationships/image" Target="media/image175.png"/><Relationship Id="rId253" Type="http://schemas.openxmlformats.org/officeDocument/2006/relationships/image" Target="media/image176.png"/><Relationship Id="rId254" Type="http://schemas.openxmlformats.org/officeDocument/2006/relationships/image" Target="media/image177.png"/><Relationship Id="rId255" Type="http://schemas.openxmlformats.org/officeDocument/2006/relationships/image" Target="media/image178.png"/><Relationship Id="rId256" Type="http://schemas.openxmlformats.org/officeDocument/2006/relationships/image" Target="media/image179.png"/><Relationship Id="rId257" Type="http://schemas.openxmlformats.org/officeDocument/2006/relationships/image" Target="media/image180.png"/><Relationship Id="rId258" Type="http://schemas.openxmlformats.org/officeDocument/2006/relationships/image" Target="media/image181.png"/><Relationship Id="rId259" Type="http://schemas.openxmlformats.org/officeDocument/2006/relationships/image" Target="media/image182.png"/><Relationship Id="rId260" Type="http://schemas.openxmlformats.org/officeDocument/2006/relationships/image" Target="media/image183.png"/><Relationship Id="rId261" Type="http://schemas.openxmlformats.org/officeDocument/2006/relationships/image" Target="media/image184.png"/><Relationship Id="rId262" Type="http://schemas.openxmlformats.org/officeDocument/2006/relationships/image" Target="media/image185.png"/><Relationship Id="rId263" Type="http://schemas.openxmlformats.org/officeDocument/2006/relationships/image" Target="media/image186.png"/><Relationship Id="rId264" Type="http://schemas.openxmlformats.org/officeDocument/2006/relationships/image" Target="media/image187.png"/><Relationship Id="rId265" Type="http://schemas.openxmlformats.org/officeDocument/2006/relationships/image" Target="media/image188.png"/><Relationship Id="rId266" Type="http://schemas.openxmlformats.org/officeDocument/2006/relationships/image" Target="media/image189.png"/><Relationship Id="rId267" Type="http://schemas.openxmlformats.org/officeDocument/2006/relationships/image" Target="media/image190.png"/><Relationship Id="rId268" Type="http://schemas.openxmlformats.org/officeDocument/2006/relationships/image" Target="media/image191.png"/><Relationship Id="rId269" Type="http://schemas.openxmlformats.org/officeDocument/2006/relationships/image" Target="media/image192.png"/><Relationship Id="rId270" Type="http://schemas.openxmlformats.org/officeDocument/2006/relationships/image" Target="media/image193.png"/><Relationship Id="rId271" Type="http://schemas.openxmlformats.org/officeDocument/2006/relationships/image" Target="media/image194.png"/><Relationship Id="rId272" Type="http://schemas.openxmlformats.org/officeDocument/2006/relationships/image" Target="media/image195.png"/><Relationship Id="rId273" Type="http://schemas.openxmlformats.org/officeDocument/2006/relationships/image" Target="media/image196.png"/><Relationship Id="rId274" Type="http://schemas.openxmlformats.org/officeDocument/2006/relationships/image" Target="media/image197.png"/><Relationship Id="rId275" Type="http://schemas.openxmlformats.org/officeDocument/2006/relationships/image" Target="media/image198.png"/><Relationship Id="rId276" Type="http://schemas.openxmlformats.org/officeDocument/2006/relationships/image" Target="media/image199.png"/><Relationship Id="rId277" Type="http://schemas.openxmlformats.org/officeDocument/2006/relationships/image" Target="media/image200.png"/><Relationship Id="rId278" Type="http://schemas.openxmlformats.org/officeDocument/2006/relationships/image" Target="media/image201.png"/><Relationship Id="rId279" Type="http://schemas.openxmlformats.org/officeDocument/2006/relationships/image" Target="media/image202.png"/><Relationship Id="rId280" Type="http://schemas.openxmlformats.org/officeDocument/2006/relationships/image" Target="media/image203.png"/><Relationship Id="rId281" Type="http://schemas.openxmlformats.org/officeDocument/2006/relationships/image" Target="media/image204.png"/><Relationship Id="rId282" Type="http://schemas.openxmlformats.org/officeDocument/2006/relationships/image" Target="media/image205.png"/><Relationship Id="rId283" Type="http://schemas.openxmlformats.org/officeDocument/2006/relationships/image" Target="media/image206.png"/><Relationship Id="rId284" Type="http://schemas.openxmlformats.org/officeDocument/2006/relationships/image" Target="media/image207.png"/><Relationship Id="rId285" Type="http://schemas.openxmlformats.org/officeDocument/2006/relationships/image" Target="media/image208.png"/><Relationship Id="rId286" Type="http://schemas.openxmlformats.org/officeDocument/2006/relationships/image" Target="media/image209.png"/><Relationship Id="rId287" Type="http://schemas.openxmlformats.org/officeDocument/2006/relationships/image" Target="media/image210.png"/><Relationship Id="rId288" Type="http://schemas.openxmlformats.org/officeDocument/2006/relationships/image" Target="media/image211.png"/><Relationship Id="rId289" Type="http://schemas.openxmlformats.org/officeDocument/2006/relationships/image" Target="media/image212.png"/><Relationship Id="rId290" Type="http://schemas.openxmlformats.org/officeDocument/2006/relationships/image" Target="media/image213.png"/><Relationship Id="rId291" Type="http://schemas.openxmlformats.org/officeDocument/2006/relationships/image" Target="media/image214.png"/><Relationship Id="rId292" Type="http://schemas.openxmlformats.org/officeDocument/2006/relationships/image" Target="media/image215.png"/><Relationship Id="rId293" Type="http://schemas.openxmlformats.org/officeDocument/2006/relationships/image" Target="media/image216.png"/><Relationship Id="rId294" Type="http://schemas.openxmlformats.org/officeDocument/2006/relationships/image" Target="media/image217.png"/><Relationship Id="rId295" Type="http://schemas.openxmlformats.org/officeDocument/2006/relationships/image" Target="media/image218.png"/><Relationship Id="rId296" Type="http://schemas.openxmlformats.org/officeDocument/2006/relationships/image" Target="media/image219.png"/><Relationship Id="rId297" Type="http://schemas.openxmlformats.org/officeDocument/2006/relationships/image" Target="media/image220.png"/><Relationship Id="rId298" Type="http://schemas.openxmlformats.org/officeDocument/2006/relationships/image" Target="media/image221.png"/><Relationship Id="rId299" Type="http://schemas.openxmlformats.org/officeDocument/2006/relationships/image" Target="media/image222.png"/><Relationship Id="rId300" Type="http://schemas.openxmlformats.org/officeDocument/2006/relationships/image" Target="media/image223.png"/><Relationship Id="rId301" Type="http://schemas.openxmlformats.org/officeDocument/2006/relationships/image" Target="media/image224.png"/><Relationship Id="rId302" Type="http://schemas.openxmlformats.org/officeDocument/2006/relationships/image" Target="media/image225.png"/><Relationship Id="rId303" Type="http://schemas.openxmlformats.org/officeDocument/2006/relationships/image" Target="media/image226.png"/><Relationship Id="rId304" Type="http://schemas.openxmlformats.org/officeDocument/2006/relationships/image" Target="media/image227.png"/><Relationship Id="rId305" Type="http://schemas.openxmlformats.org/officeDocument/2006/relationships/image" Target="media/image228.png"/><Relationship Id="rId306" Type="http://schemas.openxmlformats.org/officeDocument/2006/relationships/image" Target="media/image229.png"/><Relationship Id="rId307" Type="http://schemas.openxmlformats.org/officeDocument/2006/relationships/image" Target="media/image230.png"/><Relationship Id="rId308" Type="http://schemas.openxmlformats.org/officeDocument/2006/relationships/image" Target="media/image231.png"/><Relationship Id="rId309" Type="http://schemas.openxmlformats.org/officeDocument/2006/relationships/image" Target="media/image232.png"/><Relationship Id="rId310" Type="http://schemas.openxmlformats.org/officeDocument/2006/relationships/image" Target="media/image233.png"/><Relationship Id="rId311" Type="http://schemas.openxmlformats.org/officeDocument/2006/relationships/image" Target="media/image234.png"/><Relationship Id="rId312" Type="http://schemas.openxmlformats.org/officeDocument/2006/relationships/image" Target="media/image235.png"/><Relationship Id="rId313" Type="http://schemas.openxmlformats.org/officeDocument/2006/relationships/image" Target="media/image236.png"/><Relationship Id="rId314" Type="http://schemas.openxmlformats.org/officeDocument/2006/relationships/image" Target="media/image237.png"/><Relationship Id="rId315" Type="http://schemas.openxmlformats.org/officeDocument/2006/relationships/image" Target="media/image238.png"/><Relationship Id="rId316" Type="http://schemas.openxmlformats.org/officeDocument/2006/relationships/image" Target="media/image239.png"/><Relationship Id="rId317" Type="http://schemas.openxmlformats.org/officeDocument/2006/relationships/image" Target="media/image240.png"/><Relationship Id="rId318" Type="http://schemas.openxmlformats.org/officeDocument/2006/relationships/image" Target="media/image241.png"/><Relationship Id="rId319" Type="http://schemas.openxmlformats.org/officeDocument/2006/relationships/image" Target="media/image242.png"/><Relationship Id="rId320" Type="http://schemas.openxmlformats.org/officeDocument/2006/relationships/image" Target="media/image243.png"/><Relationship Id="rId321" Type="http://schemas.openxmlformats.org/officeDocument/2006/relationships/image" Target="media/image244.png"/><Relationship Id="rId322" Type="http://schemas.openxmlformats.org/officeDocument/2006/relationships/image" Target="media/image245.png"/><Relationship Id="rId323" Type="http://schemas.openxmlformats.org/officeDocument/2006/relationships/image" Target="media/image246.png"/><Relationship Id="rId324" Type="http://schemas.openxmlformats.org/officeDocument/2006/relationships/image" Target="media/image247.png"/><Relationship Id="rId325" Type="http://schemas.openxmlformats.org/officeDocument/2006/relationships/image" Target="media/image248.png"/><Relationship Id="rId326" Type="http://schemas.openxmlformats.org/officeDocument/2006/relationships/image" Target="media/image249.png"/><Relationship Id="rId327" Type="http://schemas.openxmlformats.org/officeDocument/2006/relationships/image" Target="media/image250.png"/><Relationship Id="rId328" Type="http://schemas.openxmlformats.org/officeDocument/2006/relationships/image" Target="media/image251.png"/><Relationship Id="rId329" Type="http://schemas.openxmlformats.org/officeDocument/2006/relationships/image" Target="media/image252.png"/><Relationship Id="rId330" Type="http://schemas.openxmlformats.org/officeDocument/2006/relationships/image" Target="media/image253.png"/><Relationship Id="rId331" Type="http://schemas.openxmlformats.org/officeDocument/2006/relationships/image" Target="media/image254.png"/><Relationship Id="rId332" Type="http://schemas.openxmlformats.org/officeDocument/2006/relationships/image" Target="media/image255.png"/><Relationship Id="rId333" Type="http://schemas.openxmlformats.org/officeDocument/2006/relationships/image" Target="media/image256.png"/><Relationship Id="rId334" Type="http://schemas.openxmlformats.org/officeDocument/2006/relationships/image" Target="media/image257.png"/><Relationship Id="rId335" Type="http://schemas.openxmlformats.org/officeDocument/2006/relationships/image" Target="media/image258.png"/><Relationship Id="rId336" Type="http://schemas.openxmlformats.org/officeDocument/2006/relationships/image" Target="media/image259.png"/><Relationship Id="rId337" Type="http://schemas.openxmlformats.org/officeDocument/2006/relationships/image" Target="media/image260.png"/><Relationship Id="rId338" Type="http://schemas.openxmlformats.org/officeDocument/2006/relationships/image" Target="media/image261.png"/><Relationship Id="rId339" Type="http://schemas.openxmlformats.org/officeDocument/2006/relationships/image" Target="media/image262.png"/><Relationship Id="rId340" Type="http://schemas.openxmlformats.org/officeDocument/2006/relationships/image" Target="media/image263.png"/><Relationship Id="rId341" Type="http://schemas.openxmlformats.org/officeDocument/2006/relationships/image" Target="media/image264.png"/><Relationship Id="rId342" Type="http://schemas.openxmlformats.org/officeDocument/2006/relationships/image" Target="media/image265.png"/><Relationship Id="rId343" Type="http://schemas.openxmlformats.org/officeDocument/2006/relationships/image" Target="media/image266.png"/><Relationship Id="rId344" Type="http://schemas.openxmlformats.org/officeDocument/2006/relationships/image" Target="media/image267.png"/><Relationship Id="rId345" Type="http://schemas.openxmlformats.org/officeDocument/2006/relationships/image" Target="media/image268.png"/><Relationship Id="rId346" Type="http://schemas.openxmlformats.org/officeDocument/2006/relationships/image" Target="media/image269.png"/><Relationship Id="rId347" Type="http://schemas.openxmlformats.org/officeDocument/2006/relationships/image" Target="media/image270.png"/><Relationship Id="rId348" Type="http://schemas.openxmlformats.org/officeDocument/2006/relationships/image" Target="media/image271.png"/><Relationship Id="rId349" Type="http://schemas.openxmlformats.org/officeDocument/2006/relationships/image" Target="media/image272.png"/><Relationship Id="rId350" Type="http://schemas.openxmlformats.org/officeDocument/2006/relationships/image" Target="media/image273.png"/><Relationship Id="rId351" Type="http://schemas.openxmlformats.org/officeDocument/2006/relationships/image" Target="media/image274.png"/><Relationship Id="rId352" Type="http://schemas.openxmlformats.org/officeDocument/2006/relationships/image" Target="media/image275.png"/><Relationship Id="rId353" Type="http://schemas.openxmlformats.org/officeDocument/2006/relationships/image" Target="media/image276.png"/><Relationship Id="rId354" Type="http://schemas.openxmlformats.org/officeDocument/2006/relationships/image" Target="media/image277.png"/><Relationship Id="rId355" Type="http://schemas.openxmlformats.org/officeDocument/2006/relationships/image" Target="media/image278.png"/><Relationship Id="rId356" Type="http://schemas.openxmlformats.org/officeDocument/2006/relationships/image" Target="media/image279.png"/><Relationship Id="rId357" Type="http://schemas.openxmlformats.org/officeDocument/2006/relationships/image" Target="media/image280.png"/><Relationship Id="rId358" Type="http://schemas.openxmlformats.org/officeDocument/2006/relationships/image" Target="media/image281.png"/><Relationship Id="rId359" Type="http://schemas.openxmlformats.org/officeDocument/2006/relationships/image" Target="media/image282.png"/><Relationship Id="rId360" Type="http://schemas.openxmlformats.org/officeDocument/2006/relationships/image" Target="media/image283.png"/><Relationship Id="rId361" Type="http://schemas.openxmlformats.org/officeDocument/2006/relationships/image" Target="media/image284.png"/><Relationship Id="rId362" Type="http://schemas.openxmlformats.org/officeDocument/2006/relationships/image" Target="media/image285.png"/><Relationship Id="rId363" Type="http://schemas.openxmlformats.org/officeDocument/2006/relationships/image" Target="media/image286.png"/><Relationship Id="rId364" Type="http://schemas.openxmlformats.org/officeDocument/2006/relationships/image" Target="media/image287.png"/><Relationship Id="rId365" Type="http://schemas.openxmlformats.org/officeDocument/2006/relationships/image" Target="media/image288.png"/><Relationship Id="rId366" Type="http://schemas.openxmlformats.org/officeDocument/2006/relationships/image" Target="media/image289.png"/><Relationship Id="rId367" Type="http://schemas.openxmlformats.org/officeDocument/2006/relationships/image" Target="media/image290.png"/><Relationship Id="rId368" Type="http://schemas.openxmlformats.org/officeDocument/2006/relationships/image" Target="media/image291.png"/><Relationship Id="rId369" Type="http://schemas.openxmlformats.org/officeDocument/2006/relationships/image" Target="media/image292.png"/><Relationship Id="rId370" Type="http://schemas.openxmlformats.org/officeDocument/2006/relationships/image" Target="media/image293.png"/><Relationship Id="rId371" Type="http://schemas.openxmlformats.org/officeDocument/2006/relationships/image" Target="media/image294.png"/><Relationship Id="rId372" Type="http://schemas.openxmlformats.org/officeDocument/2006/relationships/image" Target="media/image295.png"/><Relationship Id="rId373" Type="http://schemas.openxmlformats.org/officeDocument/2006/relationships/image" Target="media/image296.png"/><Relationship Id="rId374" Type="http://schemas.openxmlformats.org/officeDocument/2006/relationships/image" Target="media/image297.jpeg"/><Relationship Id="rId375" Type="http://schemas.openxmlformats.org/officeDocument/2006/relationships/image" Target="media/image298.png"/><Relationship Id="rId159" Type="http://schemas.openxmlformats.org/officeDocument/2006/relationships/hyperlink" Target="https://www.sec.gov/Archives/edgar/data/1345122/000095013306003467/w23746exv2w1.htm" TargetMode="External"/><Relationship Id="rId160" Type="http://schemas.openxmlformats.org/officeDocument/2006/relationships/hyperlink" Target="https://www.sec.gov/Archives/edgar/data/1345126/000095013308002315/0000950133-08-002315-index.htm" TargetMode="External"/><Relationship Id="rId161" Type="http://schemas.openxmlformats.org/officeDocument/2006/relationships/hyperlink" Target="https://www.sec.gov/Archives/edgar/data/1345126/000119312511273246/0001193125-11-273246-index.htm" TargetMode="External"/><Relationship Id="rId162" Type="http://schemas.openxmlformats.org/officeDocument/2006/relationships/hyperlink" Target="https://www.sec.gov/Archives/edgar/data/1345126/000119312512203179/0001193125-12-203179-index.htm" TargetMode="External"/><Relationship Id="rId163" Type="http://schemas.openxmlformats.org/officeDocument/2006/relationships/hyperlink" Target="https://www.sec.gov/Archives/edgar/data/1345122/000134512619000023/cleanearthspa.htm" TargetMode="External"/><Relationship Id="rId164" Type="http://schemas.openxmlformats.org/officeDocument/2006/relationships/hyperlink" Target="https://www.sec.gov/Archives/edgar/data/1345122/000095013306001836/w15027a3exv2w1.htm" TargetMode="External"/><Relationship Id="rId165" Type="http://schemas.openxmlformats.org/officeDocument/2006/relationships/hyperlink" Target="https://www.sec.gov/Archives/edgar/data/0001345126/000134512621000023/ex21stockpurchaseagreement.htm" TargetMode="External"/><Relationship Id="rId166" Type="http://schemas.openxmlformats.org/officeDocument/2006/relationships/hyperlink" Target="https://www.sec.gov/Archives/edgar/data/0001345126/000134512621000031/ex21amendmenttolibertystoc.htm" TargetMode="External"/><Relationship Id="rId167" Type="http://schemas.openxmlformats.org/officeDocument/2006/relationships/hyperlink" Target="https://www.sec.gov/Archives/edgar/data/0001345126/000119312521298886/d214107dex21.htm" TargetMode="External"/><Relationship Id="rId168" Type="http://schemas.openxmlformats.org/officeDocument/2006/relationships/hyperlink" Target="https://www.sec.gov/Archives/edgar/data/1345126/000134512623000006/ex21aciagreementandplanofm.htm" TargetMode="External"/><Relationship Id="rId169" Type="http://schemas.openxmlformats.org/officeDocument/2006/relationships/hyperlink" Target="https://www.sec.gov/Archives/edgar/data/1345126/000134512623000056/ex21marucciagreementandpla.htm" TargetMode="External"/><Relationship Id="rId170" Type="http://schemas.openxmlformats.org/officeDocument/2006/relationships/hyperlink" Target="https://www.sec.gov/ix?doc=/Archives/edgar/data/1345126/000134512624000066/codi-20241227.htm" TargetMode="External"/><Relationship Id="rId171" Type="http://schemas.openxmlformats.org/officeDocument/2006/relationships/hyperlink" Target="https://www.sec.gov/Archives/edgar/data/1345126/000095013305005575/0000950133-05-005575-index.htm" TargetMode="External"/><Relationship Id="rId172" Type="http://schemas.openxmlformats.org/officeDocument/2006/relationships/hyperlink" Target="https://www.sec.gov/Archives/edgar/data/1345126/000095013307003816/0000950133-07-003816-index.htm" TargetMode="External"/><Relationship Id="rId173" Type="http://schemas.openxmlformats.org/officeDocument/2006/relationships/hyperlink" Target="https://www.sec.gov/Archives/edgar/data/1345126/000095013306002045/0000950133-06-002045-index.htm" TargetMode="External"/><Relationship Id="rId174" Type="http://schemas.openxmlformats.org/officeDocument/2006/relationships/hyperlink" Target="https://www.sec.gov/Archives/edgar/data/1345126/000095013307002479/0000950133-07-002479-index.htm" TargetMode="External"/><Relationship Id="rId177" Type="http://schemas.openxmlformats.org/officeDocument/2006/relationships/hyperlink" Target="https://www.sec.gov/Archives/edgar/data/1345126/000095013307005042/0000950133-07-005042-index.htm" TargetMode="External"/><Relationship Id="rId178" Type="http://schemas.openxmlformats.org/officeDocument/2006/relationships/hyperlink" Target="https://www.sec.gov/Archives/edgar/data/1345126/000095012310102216/0000950123-10-102216-index.htm" TargetMode="External"/><Relationship Id="rId179" Type="http://schemas.openxmlformats.org/officeDocument/2006/relationships/hyperlink" Target="https://www.sec.gov/Archives/edgar/data/1345126/000119312516786893/0001193125-16-786893-index.htm" TargetMode="External"/><Relationship Id="rId180" Type="http://schemas.openxmlformats.org/officeDocument/2006/relationships/hyperlink" Target="https://www.sec.gov/Archives/edgar/data/0001345126/000119312521235786/d57259dex31.htm" TargetMode="External"/><Relationship Id="rId181" Type="http://schemas.openxmlformats.org/officeDocument/2006/relationships/hyperlink" Target="https://www.sec.gov/ix?doc=/Archives/edgar/data/0001345126/000134512624000048/codi-20240831.htm" TargetMode="External"/><Relationship Id="rId182" Type="http://schemas.openxmlformats.org/officeDocument/2006/relationships/hyperlink" Target="https://www.sec.gov/Archives/edgar/data/1345126/000095013307000088/0000950133-07-000088-index.htm" TargetMode="External"/><Relationship Id="rId183" Type="http://schemas.openxmlformats.org/officeDocument/2006/relationships/hyperlink" Target="https://www.sec.gov/Archives/edgar/data/1345126/000119312513204397/0001193125-13-204397-index.htm" TargetMode="External"/><Relationship Id="rId184" Type="http://schemas.openxmlformats.org/officeDocument/2006/relationships/hyperlink" Target="https://www.sec.gov/Archives/edgar/data/0001345126/000119312521235786/d57259dex32.htm" TargetMode="External"/><Relationship Id="rId185" Type="http://schemas.openxmlformats.org/officeDocument/2006/relationships/hyperlink" Target="https://www.sec.gov/Archives/edgar/data/0001345126/000134512622000008/ex31firstamendmenttothesix.htm" TargetMode="External"/><Relationship Id="rId186" Type="http://schemas.openxmlformats.org/officeDocument/2006/relationships/hyperlink" Target="https://www.sec.gov/Archives/edgar/data/0001345126/000119312521235786/d57259dex33.htm" TargetMode="External"/><Relationship Id="rId187" Type="http://schemas.openxmlformats.org/officeDocument/2006/relationships/hyperlink" Target="https://www.sec.gov/ix?doc=/Archives/edgar/data/0001345126/000119312524072850/d800897d8k.htm" TargetMode="External"/><Relationship Id="rId188" Type="http://schemas.openxmlformats.org/officeDocument/2006/relationships/hyperlink" Target="https://www.sec.gov/Archives/edgar/data/1345126/000119312524213116/d878317dex411.htm" TargetMode="External"/><Relationship Id="rId189" Type="http://schemas.openxmlformats.org/officeDocument/2006/relationships/hyperlink" Target="https://www.sec.gov/Archives/edgar/data/1345126/000134512617000038/0001345126-17-000038-index.htm" TargetMode="External"/><Relationship Id="rId190" Type="http://schemas.openxmlformats.org/officeDocument/2006/relationships/hyperlink" Target="https://www.sec.gov/Archives/edgar/data/1345126/000119312524213116/d878317dex414.htm" TargetMode="External"/><Relationship Id="rId191" Type="http://schemas.openxmlformats.org/officeDocument/2006/relationships/hyperlink" Target="https://www.sec.gov/Archives/edgar/data/0001345126/000119312521235786/d57259dex34.htm" TargetMode="External"/><Relationship Id="rId192" Type="http://schemas.openxmlformats.org/officeDocument/2006/relationships/hyperlink" Target="https://www.sec.gov/Archives/edgar/data/1345126/000119312524213116/d878317dex417.htm" TargetMode="External"/><Relationship Id="rId193" Type="http://schemas.openxmlformats.org/officeDocument/2006/relationships/hyperlink" Target="https://www.sec.gov/Archives/edgar/data/1345126/000119312518080755/d436474dex32.htm" TargetMode="External"/><Relationship Id="rId194" Type="http://schemas.openxmlformats.org/officeDocument/2006/relationships/hyperlink" Target="https://www.sec.gov/Archives/edgar/data/1345126/000119312524213116/d878317dex420.htm" TargetMode="External"/><Relationship Id="rId195" Type="http://schemas.openxmlformats.org/officeDocument/2006/relationships/hyperlink" Target="https://www.sec.gov/Archives/edgar/data/0001345126/000119312521235786/d57259dex35.htm" TargetMode="External"/><Relationship Id="rId197" Type="http://schemas.openxmlformats.org/officeDocument/2006/relationships/hyperlink" Target="https://www.sec.gov/Archives/edgar/data/1345126/000119312524213116/d878317dex423.htm" TargetMode="External"/><Relationship Id="rId198" Type="http://schemas.openxmlformats.org/officeDocument/2006/relationships/hyperlink" Target="https://www.sec.gov/Archives/edgar/data/0001345126/000119312519296560/d835497dex32.htm" TargetMode="External"/><Relationship Id="rId199" Type="http://schemas.openxmlformats.org/officeDocument/2006/relationships/hyperlink" Target="https://www.sec.gov/Archives/edgar/data/1345126/000119312524213116/d878317dex426.htm" TargetMode="External"/><Relationship Id="rId200" Type="http://schemas.openxmlformats.org/officeDocument/2006/relationships/hyperlink" Target="https://www.sec.gov/Archives/edgar/data/0001345126/000119312521235786/d57259dex31.htm#tx57259_43a" TargetMode="External"/><Relationship Id="rId201" Type="http://schemas.openxmlformats.org/officeDocument/2006/relationships/hyperlink" Target="https://www.sec.gov/Archives/edgar/data/0001345126/000119312521235786/d57259dex32.htm#tx57259_76a" TargetMode="External"/><Relationship Id="rId202" Type="http://schemas.openxmlformats.org/officeDocument/2006/relationships/hyperlink" Target="https://www.sec.gov/Archives/edgar/data/0001345126/000119312521235786/d57259dex33.htm#appa" TargetMode="External"/><Relationship Id="rId203" Type="http://schemas.openxmlformats.org/officeDocument/2006/relationships/hyperlink" Target="https://www.sec.gov/Archives/edgar/data/0001345126/000119312521235786/d57259dex34.htm#appb" TargetMode="External"/><Relationship Id="rId204" Type="http://schemas.openxmlformats.org/officeDocument/2006/relationships/hyperlink" Target="https://www.sec.gov/Archives/edgar/data/0001345126/000119312521235786/d57259dex35.htm#appc" TargetMode="External"/><Relationship Id="rId205" Type="http://schemas.openxmlformats.org/officeDocument/2006/relationships/hyperlink" Target="https://www.sec.gov/Archives/edgar/data/0001345126/000119312521091235/d129192dex41.htm" TargetMode="External"/><Relationship Id="rId206" Type="http://schemas.openxmlformats.org/officeDocument/2006/relationships/hyperlink" Target="https://www.sec.gov/ix?doc=/Archives/edgar/data/0001345126/000134512625000008/codi-20250115.htm" TargetMode="External"/><Relationship Id="rId207" Type="http://schemas.openxmlformats.org/officeDocument/2006/relationships/hyperlink" Target="https://www.sec.gov/Archives/edgar/data/0001345126/000134512621000053/codihynotesnovember2021-ex.htm" TargetMode="External"/><Relationship Id="rId208" Type="http://schemas.openxmlformats.org/officeDocument/2006/relationships/hyperlink" Target="https://www.sec.gov/Archives/edgar/data/1345126/000095013306002310/0000950133-06-002310-index.htm" TargetMode="External"/><Relationship Id="rId209" Type="http://schemas.openxmlformats.org/officeDocument/2006/relationships/hyperlink" Target="https://www.sec.gov/Archives/edgar/data/1345126/000095012307005726/0000950123-07-005726-index.htm" TargetMode="External"/><Relationship Id="rId210" Type="http://schemas.openxmlformats.org/officeDocument/2006/relationships/hyperlink" Target="https://www.sec.gov/Archives/edgar/data/1345126/000095012311079930/0000950123-11-079930-index.htm" TargetMode="External"/><Relationship Id="rId211" Type="http://schemas.openxmlformats.org/officeDocument/2006/relationships/hyperlink" Target="https://www.sec.gov/Archives/edgar/data/1345126/000119312513288172/0001193125-13-288172-index.htm" TargetMode="External"/><Relationship Id="rId212" Type="http://schemas.openxmlformats.org/officeDocument/2006/relationships/hyperlink" Target="https://www.sec.gov/ix?doc=/Archives/edgar/data/0001345126/000134512624000052/codi-20240912.htm" TargetMode="External"/><Relationship Id="rId213" Type="http://schemas.openxmlformats.org/officeDocument/2006/relationships/hyperlink" Target="https://www.sec.gov/ix?doc=/Archives/edgar/data/0001345126/000134512624000045/codi-20240826.htm" TargetMode="External"/><Relationship Id="rId215" Type="http://schemas.openxmlformats.org/officeDocument/2006/relationships/hyperlink" Target="https://www.sec.gov/Archives/edgar/data/1345126/000134512622000037/exhibit101-amendedandresta.htm" TargetMode="External"/><Relationship Id="rId216" Type="http://schemas.openxmlformats.org/officeDocument/2006/relationships/hyperlink" Target="https://www.sec.gov/ix?doc=/Archives/edgar/data/0001345126/000134512625000006/codi-20250109.htm" TargetMode="External"/><Relationship Id="rId217" Type="http://schemas.openxmlformats.org/officeDocument/2006/relationships/hyperlink" Target="https://www.sec.gov/ix?doc=/Archives/edgar/data/0001345126/000134512623000062/codi-20231215.htm" TargetMode="External"/><Relationship Id="rId218" Type="http://schemas.openxmlformats.org/officeDocument/2006/relationships/hyperlink" Target="https://www.sec.gov/Archives/edgar/data/1345122/000134512624000016/a12312023ex971.htm" TargetMode="External"/><Relationship Id="rId219" Type="http://schemas.openxmlformats.org/officeDocument/2006/relationships/hyperlink" Target="https://www.sec.gov/Archives/edgar/data/1345126/000095012310031230/0000950123-10-031230-index.htm" TargetMode="External"/><Relationship Id="rId220" Type="http://schemas.openxmlformats.org/officeDocument/2006/relationships/hyperlink" Target="https://www.sec.gov/Archives/edgar/data/1345126/000095012310086934/0000950123-10-086934-index.htm" TargetMode="External"/><Relationship Id="rId221" Type="http://schemas.openxmlformats.org/officeDocument/2006/relationships/hyperlink" Target="https://www.sec.gov/Archives/edgar/data/1345126/000119312512099286/0001193125-12-099286-index.htm" TargetMode="External"/><Relationship Id="rId222" Type="http://schemas.openxmlformats.org/officeDocument/2006/relationships/hyperlink" Target="https://www.sec.gov/Archives/edgar/data/1345126/000134512614000021/0001345126-14-000021-index.htm" TargetMode="External"/><Relationship Id="rId223" Type="http://schemas.openxmlformats.org/officeDocument/2006/relationships/hyperlink" Target="https://www.sec.gov/Archives/edgar/data/1345126/000134512616000076/0001345126-16-000076-index.htm" TargetMode="External"/><Relationship Id="rId224" Type="http://schemas.openxmlformats.org/officeDocument/2006/relationships/hyperlink" Target="https://www.sec.gov/Archives/edgar/data/1345126/000134512617000034/0001345126-17-000034-index.htm" TargetMode="External"/><Relationship Id="rId225" Type="http://schemas.openxmlformats.org/officeDocument/2006/relationships/hyperlink" Target="https://www.sec.gov/Archives/edgar/data/1345126/000134512618000004/0001345126-18-000004-index.htm" TargetMode="External"/><Relationship Id="rId226" Type="http://schemas.openxmlformats.org/officeDocument/2006/relationships/hyperlink" Target="https://www.sec.gov/Archives/edgar/data/1345122/000134512619000005/manitobaharvestplanofarran.htm" TargetMode="External"/><Relationship Id="rId227" Type="http://schemas.openxmlformats.org/officeDocument/2006/relationships/hyperlink" Target="https://www.sec.gov/Archives/edgar/data/1345122/000134512620000014/ex991maruccispa.htm" TargetMode="External"/><Relationship Id="rId228" Type="http://schemas.openxmlformats.org/officeDocument/2006/relationships/hyperlink" Target="https://www.sec.gov/Archives/edgar/data/1345122/000134512620000057/ex993boaagreementandpl.htm" TargetMode="External"/><Relationship Id="rId229" Type="http://schemas.openxmlformats.org/officeDocument/2006/relationships/hyperlink" Target="https://www.sec.gov/Archives/edgar/data/1345122/000119312520271713/d10734dex992.htm" TargetMode="External"/><Relationship Id="rId230" Type="http://schemas.openxmlformats.org/officeDocument/2006/relationships/hyperlink" Target="https://www.sec.gov/Archives/edgar/data/0001345126/000134512621000039/ex992luganostockpurchaseag.htm" TargetMode="External"/><Relationship Id="rId231" Type="http://schemas.openxmlformats.org/officeDocument/2006/relationships/hyperlink" Target="https://www.sec.gov/Archives/edgar/data/1345126/000134512622000029/ex993primaloftstockpurchas.htm" TargetMode="External"/><Relationship Id="rId233" Type="http://schemas.openxmlformats.org/officeDocument/2006/relationships/hyperlink" Target="https://www.sec.gov/ix?doc=/Archives/edgar/data/0001345126/000134512624000005/codi-202401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2025-02-27T16:17:13Z</dcterms:created>
  <dcterms:modified xsi:type="dcterms:W3CDTF">2025-02-27T16:17:13Z</dcterms:modified>
</cp:coreProperties>
</file>