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525780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80645</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-4445</wp:posOffset>
            </wp:positionV>
            <wp:extent cx="129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89535</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DIVERSIFIED HOLDINGS</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5" w:lineRule="exact"/>
        <w:rPr>
          <w:sz w:val="24"/>
          <w:szCs w:val="24"/>
          <w:color w:val="auto"/>
        </w:rPr>
      </w:pPr>
    </w:p>
    <w:tbl>
      <w:tblPr>
        <w:tblLayout w:type="fixed"/>
        <w:tblInd w:w="1440" w:type="dxa"/>
        <w:tblCellMar>
          <w:top w:w="0" w:type="dxa"/>
          <w:left w:w="0" w:type="dxa"/>
          <w:bottom w:w="0" w:type="dxa"/>
          <w:right w:w="0" w:type="dxa"/>
        </w:tblCellMar>
      </w:tblPr>
      <w:tr>
        <w:trPr>
          <w:trHeight w:val="196"/>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620" w:type="dxa"/>
            <w:vAlign w:val="bottom"/>
          </w:tcPr>
          <w:p>
            <w:pPr>
              <w:jc w:val="center"/>
              <w:ind w:right="28"/>
              <w:spacing w:after="0"/>
              <w:rPr>
                <w:sz w:val="20"/>
                <w:szCs w:val="20"/>
                <w:color w:val="auto"/>
              </w:rPr>
            </w:pPr>
            <w:r>
              <w:rPr>
                <w:rFonts w:ascii="Arial" w:cs="Arial" w:eastAsia="Arial" w:hAnsi="Arial"/>
                <w:sz w:val="14"/>
                <w:szCs w:val="14"/>
                <w:b w:val="1"/>
                <w:bCs w:val="1"/>
                <w:color w:val="auto"/>
              </w:rPr>
              <w:t>001-34927</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57-6218917</w:t>
            </w:r>
          </w:p>
        </w:tc>
      </w:tr>
      <w:tr>
        <w:trPr>
          <w:trHeight w:val="155"/>
        </w:trPr>
        <w:tc>
          <w:tcPr>
            <w:tcW w:w="2380" w:type="dxa"/>
            <w:vAlign w:val="bottom"/>
          </w:tcPr>
          <w:p>
            <w:pPr>
              <w:jc w:val="center"/>
              <w:ind w:right="26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44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tcPr>
          <w:p>
            <w:pPr>
              <w:jc w:val="center"/>
              <w:ind w:right="8"/>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identification number)</w:t>
            </w:r>
          </w:p>
        </w:tc>
      </w:tr>
      <w:tr>
        <w:trPr>
          <w:trHeight w:val="110"/>
        </w:trPr>
        <w:tc>
          <w:tcPr>
            <w:tcW w:w="238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r>
    </w:tbl>
    <w:p>
      <w:pPr>
        <w:spacing w:after="0" w:line="17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GROUP DIVERSIFIED HOLDINGS LLC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9" w:lineRule="exact"/>
        <w:rPr>
          <w:sz w:val="24"/>
          <w:szCs w:val="24"/>
          <w:color w:val="auto"/>
        </w:rPr>
      </w:pPr>
    </w:p>
    <w:tbl>
      <w:tblPr>
        <w:tblLayout w:type="fixed"/>
        <w:tblInd w:w="1440" w:type="dxa"/>
        <w:tblCellMar>
          <w:top w:w="0" w:type="dxa"/>
          <w:left w:w="0" w:type="dxa"/>
          <w:bottom w:w="0" w:type="dxa"/>
          <w:right w:w="0" w:type="dxa"/>
        </w:tblCellMar>
      </w:tblPr>
      <w:tr>
        <w:trPr>
          <w:trHeight w:val="196"/>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center"/>
              <w:ind w:right="68"/>
              <w:spacing w:after="0"/>
              <w:rPr>
                <w:sz w:val="20"/>
                <w:szCs w:val="20"/>
                <w:color w:val="auto"/>
              </w:rPr>
            </w:pPr>
            <w:r>
              <w:rPr>
                <w:rFonts w:ascii="Arial" w:cs="Arial" w:eastAsia="Arial" w:hAnsi="Arial"/>
                <w:sz w:val="14"/>
                <w:szCs w:val="14"/>
                <w:b w:val="1"/>
                <w:bCs w:val="1"/>
                <w:color w:val="auto"/>
              </w:rPr>
              <w:t>001-34926</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20-3812051</w:t>
            </w:r>
          </w:p>
        </w:tc>
      </w:tr>
      <w:tr>
        <w:trPr>
          <w:trHeight w:val="151"/>
        </w:trPr>
        <w:tc>
          <w:tcPr>
            <w:tcW w:w="2860" w:type="dxa"/>
            <w:vAlign w:val="bottom"/>
          </w:tcPr>
          <w:p>
            <w:pPr>
              <w:jc w:val="center"/>
              <w:ind w:right="748"/>
              <w:spacing w:after="0" w:line="151" w:lineRule="exact"/>
              <w:rPr>
                <w:sz w:val="20"/>
                <w:szCs w:val="20"/>
                <w:color w:val="auto"/>
              </w:rPr>
            </w:pPr>
            <w:r>
              <w:rPr>
                <w:rFonts w:ascii="Arial" w:cs="Arial" w:eastAsia="Arial" w:hAnsi="Arial"/>
                <w:sz w:val="14"/>
                <w:szCs w:val="14"/>
                <w:b w:val="1"/>
                <w:bCs w:val="1"/>
                <w:color w:val="auto"/>
              </w:rPr>
              <w:t>(State or other jurisdiction of</w:t>
            </w:r>
          </w:p>
        </w:tc>
        <w:tc>
          <w:tcPr>
            <w:tcW w:w="2700" w:type="dxa"/>
            <w:vAlign w:val="bottom"/>
          </w:tcPr>
          <w:p>
            <w:pPr>
              <w:jc w:val="center"/>
              <w:ind w:right="68"/>
              <w:spacing w:after="0" w:line="151"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888"/>
              <w:spacing w:after="0" w:line="151"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identification number)</w:t>
            </w:r>
          </w:p>
        </w:tc>
      </w:tr>
    </w:tbl>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6"/>
          <w:szCs w:val="16"/>
          <w:b w:val="1"/>
          <w:bCs w:val="1"/>
          <w:color w:val="auto"/>
        </w:rPr>
        <w:t>203</w:t>
      </w:r>
      <w:r>
        <w:rPr>
          <w:rFonts w:ascii="Times New Roman" w:cs="Times New Roman" w:eastAsia="Times New Roman" w:hAnsi="Times New Roman"/>
          <w:sz w:val="18"/>
          <w:szCs w:val="18"/>
          <w:color w:val="auto"/>
        </w:rPr>
        <w:t xml:space="preserve">) </w:t>
      </w:r>
      <w:r>
        <w:rPr>
          <w:rFonts w:ascii="Arial" w:cs="Arial" w:eastAsia="Arial" w:hAnsi="Arial"/>
          <w:sz w:val="16"/>
          <w:szCs w:val="16"/>
          <w:b w:val="1"/>
          <w:bCs w:val="1"/>
          <w:color w:val="auto"/>
        </w:rPr>
        <w:t>221-1703</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92075</wp:posOffset>
            </wp:positionV>
            <wp:extent cx="228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35" w:lineRule="exact"/>
        <w:rPr>
          <w:sz w:val="24"/>
          <w:szCs w:val="24"/>
          <w:color w:val="auto"/>
        </w:rPr>
      </w:pPr>
    </w:p>
    <w:tbl>
      <w:tblPr>
        <w:tblLayout w:type="fixed"/>
        <w:tblInd w:w="70" w:type="dxa"/>
        <w:tblCellMar>
          <w:top w:w="0" w:type="dxa"/>
          <w:left w:w="0" w:type="dxa"/>
          <w:bottom w:w="0" w:type="dxa"/>
          <w:right w:w="0" w:type="dxa"/>
        </w:tblCellMar>
      </w:tblPr>
      <w:tr>
        <w:trPr>
          <w:trHeight w:val="162"/>
        </w:trPr>
        <w:tc>
          <w:tcPr>
            <w:tcW w:w="5720" w:type="dxa"/>
            <w:vAlign w:val="bottom"/>
            <w:tcBorders>
              <w:top w:val="single" w:sz="8" w:color="auto"/>
              <w:lef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w:t>
            </w:r>
          </w:p>
        </w:tc>
        <w:tc>
          <w:tcPr>
            <w:tcW w:w="39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5720" w:type="dxa"/>
            <w:vAlign w:val="bottom"/>
            <w:tcBorders>
              <w:left w:val="single" w:sz="8" w:color="auto"/>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Symbol(s)</w:t>
            </w:r>
          </w:p>
        </w:tc>
        <w:tc>
          <w:tcPr>
            <w:tcW w:w="39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CODI</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6"/>
        </w:trPr>
        <w:tc>
          <w:tcPr>
            <w:tcW w:w="5720" w:type="dxa"/>
            <w:vAlign w:val="bottom"/>
            <w:tcBorders>
              <w:left w:val="single" w:sz="8" w:color="auto"/>
            </w:tcBorders>
          </w:tcPr>
          <w:p>
            <w:pPr>
              <w:ind w:left="40"/>
              <w:spacing w:after="0" w:line="146" w:lineRule="exact"/>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A</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76"/>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20" w:type="dxa"/>
            <w:vAlign w:val="bottom"/>
            <w:tcBorders>
              <w:left w:val="single" w:sz="8" w:color="auto"/>
            </w:tcBorders>
          </w:tcPr>
          <w:p>
            <w:pPr>
              <w:ind w:left="40"/>
              <w:spacing w:after="0" w:line="142" w:lineRule="exact"/>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B</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75"/>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20" w:type="dxa"/>
            <w:vAlign w:val="bottom"/>
            <w:tcBorders>
              <w:left w:val="single" w:sz="8" w:color="auto"/>
            </w:tcBorders>
          </w:tcPr>
          <w:p>
            <w:pPr>
              <w:ind w:left="40"/>
              <w:spacing w:after="0" w:line="142" w:lineRule="exact"/>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C</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76"/>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ind w:right="260"/>
        <w:spacing w:after="0" w:line="26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68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24" w:lineRule="exact"/>
        <w:rPr>
          <w:sz w:val="24"/>
          <w:szCs w:val="24"/>
          <w:color w:val="auto"/>
        </w:rPr>
      </w:pPr>
    </w:p>
    <w:p>
      <w:pPr>
        <w:ind w:right="6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18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908" w:right="379" w:bottom="1440" w:gutter="0" w:footer="0" w:header="0"/>
        </w:sectPr>
      </w:pPr>
    </w:p>
    <w:p>
      <w:pPr>
        <w:spacing w:after="0" w:line="53"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Large accelerated filer</w:t>
      </w:r>
    </w:p>
    <w:p>
      <w:pPr>
        <w:spacing w:after="0" w:line="69"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0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right="40"/>
        <w:spacing w:after="0" w:line="382" w:lineRule="auto"/>
        <w:rPr>
          <w:sz w:val="20"/>
          <w:szCs w:val="20"/>
          <w:color w:val="auto"/>
        </w:rPr>
      </w:pPr>
      <w:r>
        <w:rPr>
          <w:rFonts w:ascii="Arial" w:cs="Arial" w:eastAsia="Arial" w:hAnsi="Arial"/>
          <w:sz w:val="14"/>
          <w:szCs w:val="14"/>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tabs>
          <w:tab w:leader="none" w:pos="340" w:val="left"/>
        </w:tabs>
        <w:rPr>
          <w:sz w:val="20"/>
          <w:szCs w:val="20"/>
          <w:color w:val="auto"/>
        </w:rPr>
      </w:pPr>
      <w:r>
        <w:rPr>
          <w:rFonts w:ascii="Wingdings" w:cs="Wingdings" w:eastAsia="Wingdings" w:hAnsi="Wingdings"/>
          <w:sz w:val="14"/>
          <w:szCs w:val="14"/>
          <w:b w:val="1"/>
          <w:bCs w:val="1"/>
          <w:color w:val="auto"/>
        </w:rPr>
        <w:t>x</w:t>
      </w:r>
      <w:r>
        <w:rPr>
          <w:sz w:val="20"/>
          <w:szCs w:val="20"/>
          <w:color w:val="auto"/>
        </w:rPr>
        <w:tab/>
      </w:r>
      <w:r>
        <w:rPr>
          <w:rFonts w:ascii="Arial" w:cs="Arial" w:eastAsia="Arial" w:hAnsi="Arial"/>
          <w:sz w:val="14"/>
          <w:szCs w:val="14"/>
          <w:color w:val="auto"/>
        </w:rPr>
        <w:t>Non-accelerated filer</w:t>
      </w:r>
    </w:p>
    <w:p>
      <w:pPr>
        <w:spacing w:after="0" w:line="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24" w:lineRule="exact"/>
        <w:rPr>
          <w:sz w:val="24"/>
          <w:szCs w:val="24"/>
          <w:color w:val="auto"/>
        </w:rPr>
      </w:pPr>
    </w:p>
    <w:p>
      <w:pPr>
        <w:sectPr>
          <w:pgSz w:w="11900" w:h="16838" w:orient="portrait"/>
          <w:cols w:equalWidth="0" w:num="5">
            <w:col w:w="3080" w:space="720"/>
            <w:col w:w="160" w:space="340"/>
            <w:col w:w="1760" w:space="720"/>
            <w:col w:w="1900" w:space="720"/>
            <w:col w:w="1800"/>
          </w:cols>
          <w:pgMar w:left="320" w:top="908" w:right="379" w:bottom="1440" w:gutter="0" w:footer="0" w:header="0"/>
          <w:type w:val="continuous"/>
        </w:sectPr>
      </w:pPr>
    </w:p>
    <w:p>
      <w:pPr>
        <w:ind w:right="26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326" w:lineRule="exact"/>
        <w:rPr>
          <w:sz w:val="24"/>
          <w:szCs w:val="24"/>
          <w:color w:val="auto"/>
        </w:rPr>
      </w:pPr>
    </w:p>
    <w:p>
      <w:pPr>
        <w:ind w:left="2100"/>
        <w:spacing w:after="0"/>
        <w:rPr>
          <w:sz w:val="20"/>
          <w:szCs w:val="20"/>
          <w:color w:val="auto"/>
        </w:rPr>
      </w:pPr>
      <w:r>
        <w:rPr>
          <w:rFonts w:ascii="Arial" w:cs="Arial" w:eastAsia="Arial" w:hAnsi="Arial"/>
          <w:sz w:val="15"/>
          <w:szCs w:val="15"/>
          <w:color w:val="auto"/>
        </w:rPr>
        <w:t>As of May 1, 2026, there were 75,235,966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124460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7"/>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2"/>
                <w:szCs w:val="22"/>
                <w:b w:val="1"/>
                <w:bCs w:val="1"/>
                <w:color w:val="auto"/>
                <w:w w:val="97"/>
              </w:rPr>
              <w:t>COMPASS DIVERSIFIED HOLDINGS</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0"/>
                <w:szCs w:val="20"/>
                <w:b w:val="1"/>
                <w:bCs w:val="1"/>
                <w:color w:val="auto"/>
                <w:w w:val="98"/>
              </w:rPr>
              <w:t>QUARTERLY REPORT ON FORM 10-Q</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900" w:type="dxa"/>
            <w:vAlign w:val="bottom"/>
            <w:gridSpan w:val="11"/>
          </w:tcPr>
          <w:p>
            <w:pPr>
              <w:jc w:val="center"/>
              <w:ind w:right="2500"/>
              <w:spacing w:after="0"/>
              <w:rPr>
                <w:sz w:val="20"/>
                <w:szCs w:val="20"/>
                <w:color w:val="auto"/>
              </w:rPr>
            </w:pPr>
            <w:r>
              <w:rPr>
                <w:rFonts w:ascii="Arial" w:cs="Arial" w:eastAsia="Arial" w:hAnsi="Arial"/>
                <w:sz w:val="20"/>
                <w:szCs w:val="20"/>
                <w:b w:val="1"/>
                <w:bCs w:val="1"/>
                <w:color w:val="auto"/>
                <w:w w:val="99"/>
              </w:rPr>
              <w:t>For the period ended March 31, 2026</w:t>
            </w: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4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25"/>
        </w:trPr>
        <w:tc>
          <w:tcPr>
            <w:tcW w:w="10300" w:type="dxa"/>
            <w:vAlign w:val="bottom"/>
            <w:gridSpan w:val="18"/>
            <w:vMerge w:val="restart"/>
          </w:tcPr>
          <w:p>
            <w:pPr>
              <w:spacing w:after="0"/>
              <w:rPr>
                <w:sz w:val="20"/>
                <w:szCs w:val="20"/>
                <w:color w:val="auto"/>
              </w:rPr>
            </w:pPr>
            <w:r>
              <w:rPr>
                <w:rFonts w:ascii="Arial" w:cs="Arial" w:eastAsia="Arial" w:hAnsi="Arial"/>
                <w:sz w:val="17"/>
                <w:szCs w:val="17"/>
                <w:color w:val="0000FF"/>
              </w:rPr>
              <w:t>FORWARD-LOOKING STATEMENTS</w:t>
            </w:r>
          </w:p>
        </w:tc>
        <w:tc>
          <w:tcPr>
            <w:tcW w:w="9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5"/>
        </w:trPr>
        <w:tc>
          <w:tcPr>
            <w:tcW w:w="10300" w:type="dxa"/>
            <w:vAlign w:val="bottom"/>
            <w:gridSpan w:val="18"/>
            <w:vMerge w:val="continue"/>
          </w:tcPr>
          <w:p>
            <w:pPr>
              <w:spacing w:after="0"/>
              <w:rPr>
                <w:sz w:val="15"/>
                <w:szCs w:val="15"/>
                <w:color w:val="auto"/>
              </w:rPr>
            </w:pPr>
          </w:p>
        </w:tc>
        <w:tc>
          <w:tcPr>
            <w:tcW w:w="540" w:type="dxa"/>
            <w:vAlign w:val="bottom"/>
            <w:gridSpan w:val="4"/>
          </w:tcPr>
          <w:p>
            <w:pPr>
              <w:jc w:val="center"/>
              <w:ind w:left="295"/>
              <w:spacing w:after="0" w:line="142" w:lineRule="exact"/>
              <w:rPr>
                <w:sz w:val="20"/>
                <w:szCs w:val="20"/>
                <w:color w:val="auto"/>
              </w:rPr>
            </w:pPr>
            <w:r>
              <w:rPr>
                <w:rFonts w:ascii="Arial" w:cs="Arial" w:eastAsia="Arial" w:hAnsi="Arial"/>
                <w:sz w:val="16"/>
                <w:szCs w:val="16"/>
                <w:color w:val="0000FF"/>
                <w:w w:val="89"/>
              </w:rPr>
              <w:t>4</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3"/>
        </w:trPr>
        <w:tc>
          <w:tcPr>
            <w:tcW w:w="2880" w:type="dxa"/>
            <w:vAlign w:val="bottom"/>
            <w:tcBorders>
              <w:top w:val="single" w:sz="8" w:color="0000FF"/>
            </w:tcBorders>
            <w:gridSpan w:val="6"/>
          </w:tcPr>
          <w:p>
            <w:pPr>
              <w:spacing w:after="0"/>
              <w:rPr>
                <w:sz w:val="20"/>
                <w:szCs w:val="20"/>
                <w:color w:val="auto"/>
              </w:rPr>
            </w:pPr>
            <w:r>
              <w:rPr>
                <w:rFonts w:ascii="Arial" w:cs="Arial" w:eastAsia="Arial" w:hAnsi="Arial"/>
                <w:sz w:val="17"/>
                <w:szCs w:val="17"/>
                <w:b w:val="1"/>
                <w:bCs w:val="1"/>
                <w:color w:val="auto"/>
              </w:rPr>
              <w:t>PART I. FINANCIAL INFORMATION</w:t>
            </w:r>
          </w:p>
        </w:tc>
        <w:tc>
          <w:tcPr>
            <w:tcW w:w="742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540" w:type="dxa"/>
            <w:vAlign w:val="bottom"/>
            <w:gridSpan w:val="2"/>
          </w:tcPr>
          <w:p>
            <w:pPr>
              <w:spacing w:after="0" w:line="185" w:lineRule="exact"/>
              <w:rPr>
                <w:sz w:val="20"/>
                <w:szCs w:val="20"/>
                <w:color w:val="auto"/>
              </w:rPr>
            </w:pPr>
            <w:r>
              <w:rPr>
                <w:rFonts w:ascii="Arial" w:cs="Arial" w:eastAsia="Arial" w:hAnsi="Arial"/>
                <w:sz w:val="17"/>
                <w:szCs w:val="17"/>
                <w:color w:val="auto"/>
              </w:rPr>
              <w:t>ITEM 1.</w:t>
            </w:r>
          </w:p>
        </w:tc>
        <w:tc>
          <w:tcPr>
            <w:tcW w:w="8760" w:type="dxa"/>
            <w:vAlign w:val="bottom"/>
            <w:gridSpan w:val="16"/>
          </w:tcPr>
          <w:p>
            <w:pPr>
              <w:spacing w:after="0" w:line="185" w:lineRule="exact"/>
              <w:rPr>
                <w:sz w:val="20"/>
                <w:szCs w:val="20"/>
                <w:color w:val="auto"/>
              </w:rPr>
            </w:pPr>
            <w:r>
              <w:rPr>
                <w:rFonts w:ascii="Arial" w:cs="Arial" w:eastAsia="Arial" w:hAnsi="Arial"/>
                <w:sz w:val="17"/>
                <w:szCs w:val="17"/>
                <w:color w:val="0000FF"/>
              </w:rPr>
              <w:t>FINANCIAL STATEMENTS (UNAUDITED)</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8"/>
          </w:tcPr>
          <w:p>
            <w:pPr>
              <w:spacing w:after="0"/>
              <w:rPr>
                <w:sz w:val="20"/>
                <w:szCs w:val="20"/>
                <w:color w:val="auto"/>
              </w:rPr>
            </w:pPr>
            <w:r>
              <w:rPr>
                <w:rFonts w:ascii="Arial" w:cs="Arial" w:eastAsia="Arial" w:hAnsi="Arial"/>
                <w:sz w:val="17"/>
                <w:szCs w:val="17"/>
                <w:color w:val="0000FF"/>
                <w:w w:val="99"/>
              </w:rPr>
              <w:t>CONDENSED CONSOLIDATED BALANCE SHEETS</w:t>
            </w:r>
          </w:p>
        </w:tc>
        <w:tc>
          <w:tcPr>
            <w:tcW w:w="4700" w:type="dxa"/>
            <w:vAlign w:val="bottom"/>
            <w:gridSpan w:val="8"/>
          </w:tcPr>
          <w:p>
            <w:pPr>
              <w:spacing w:after="0"/>
              <w:rPr>
                <w:sz w:val="18"/>
                <w:szCs w:val="18"/>
                <w:color w:val="auto"/>
              </w:rPr>
            </w:pPr>
          </w:p>
        </w:tc>
        <w:tc>
          <w:tcPr>
            <w:tcW w:w="540" w:type="dxa"/>
            <w:vAlign w:val="bottom"/>
            <w:gridSpan w:val="4"/>
          </w:tcPr>
          <w:p>
            <w:pPr>
              <w:jc w:val="center"/>
              <w:ind w:left="295"/>
              <w:spacing w:after="0"/>
              <w:rPr>
                <w:sz w:val="20"/>
                <w:szCs w:val="20"/>
                <w:color w:val="auto"/>
              </w:rPr>
            </w:pPr>
            <w:r>
              <w:rPr>
                <w:rFonts w:ascii="Arial" w:cs="Arial" w:eastAsia="Arial" w:hAnsi="Arial"/>
                <w:sz w:val="17"/>
                <w:szCs w:val="17"/>
                <w:color w:val="0000FF"/>
                <w:w w:val="84"/>
              </w:rPr>
              <w:t>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9"/>
          </w:tcPr>
          <w:p>
            <w:pPr>
              <w:spacing w:after="0"/>
              <w:rPr>
                <w:sz w:val="20"/>
                <w:szCs w:val="20"/>
                <w:color w:val="auto"/>
              </w:rPr>
            </w:pPr>
            <w:r>
              <w:rPr>
                <w:rFonts w:ascii="Arial" w:cs="Arial" w:eastAsia="Arial" w:hAnsi="Arial"/>
                <w:sz w:val="17"/>
                <w:szCs w:val="17"/>
                <w:color w:val="0000FF"/>
                <w:w w:val="99"/>
              </w:rPr>
              <w:t>CONDENSED CONSOLIDATED STATEMENTS OF OPERATIONS</w:t>
            </w:r>
          </w:p>
        </w:tc>
        <w:tc>
          <w:tcPr>
            <w:tcW w:w="3660" w:type="dxa"/>
            <w:vAlign w:val="bottom"/>
            <w:gridSpan w:val="7"/>
          </w:tcPr>
          <w:p>
            <w:pPr>
              <w:spacing w:after="0"/>
              <w:rPr>
                <w:sz w:val="18"/>
                <w:szCs w:val="18"/>
                <w:color w:val="auto"/>
              </w:rPr>
            </w:pPr>
          </w:p>
        </w:tc>
        <w:tc>
          <w:tcPr>
            <w:tcW w:w="540" w:type="dxa"/>
            <w:vAlign w:val="bottom"/>
            <w:gridSpan w:val="4"/>
          </w:tcPr>
          <w:p>
            <w:pPr>
              <w:jc w:val="center"/>
              <w:ind w:left="295"/>
              <w:spacing w:after="0"/>
              <w:rPr>
                <w:sz w:val="20"/>
                <w:szCs w:val="20"/>
                <w:color w:val="auto"/>
              </w:rPr>
            </w:pPr>
            <w:r>
              <w:rPr>
                <w:rFonts w:ascii="Arial" w:cs="Arial" w:eastAsia="Arial" w:hAnsi="Arial"/>
                <w:sz w:val="17"/>
                <w:szCs w:val="17"/>
                <w:color w:val="0000FF"/>
                <w:w w:val="84"/>
              </w:rPr>
              <w:t>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40" w:type="dxa"/>
            <w:vAlign w:val="bottom"/>
            <w:gridSpan w:val="14"/>
          </w:tcPr>
          <w:p>
            <w:pPr>
              <w:spacing w:after="0"/>
              <w:rPr>
                <w:sz w:val="20"/>
                <w:szCs w:val="20"/>
                <w:color w:val="auto"/>
              </w:rPr>
            </w:pPr>
            <w:r>
              <w:rPr>
                <w:rFonts w:ascii="Arial" w:cs="Arial" w:eastAsia="Arial" w:hAnsi="Arial"/>
                <w:sz w:val="17"/>
                <w:szCs w:val="17"/>
                <w:color w:val="0000FF"/>
                <w:w w:val="99"/>
              </w:rPr>
              <w:t>CONDENSED CONSOLIDATED STATEMENTS OF COMPREHENSIVE INCOME (LOSS)</w:t>
            </w:r>
          </w:p>
        </w:tc>
        <w:tc>
          <w:tcPr>
            <w:tcW w:w="1920" w:type="dxa"/>
            <w:vAlign w:val="bottom"/>
            <w:gridSpan w:val="2"/>
          </w:tcPr>
          <w:p>
            <w:pPr>
              <w:spacing w:after="0"/>
              <w:rPr>
                <w:sz w:val="18"/>
                <w:szCs w:val="18"/>
                <w:color w:val="auto"/>
              </w:rPr>
            </w:pPr>
          </w:p>
        </w:tc>
        <w:tc>
          <w:tcPr>
            <w:tcW w:w="540" w:type="dxa"/>
            <w:vAlign w:val="bottom"/>
            <w:gridSpan w:val="4"/>
          </w:tcPr>
          <w:p>
            <w:pPr>
              <w:jc w:val="center"/>
              <w:ind w:left="295"/>
              <w:spacing w:after="0"/>
              <w:rPr>
                <w:sz w:val="20"/>
                <w:szCs w:val="20"/>
                <w:color w:val="auto"/>
              </w:rPr>
            </w:pPr>
            <w:r>
              <w:rPr>
                <w:rFonts w:ascii="Arial" w:cs="Arial" w:eastAsia="Arial" w:hAnsi="Arial"/>
                <w:sz w:val="17"/>
                <w:szCs w:val="17"/>
                <w:color w:val="0000FF"/>
                <w:w w:val="84"/>
              </w:rPr>
              <w:t>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20" w:type="dxa"/>
            <w:vAlign w:val="bottom"/>
            <w:gridSpan w:val="13"/>
          </w:tcPr>
          <w:p>
            <w:pPr>
              <w:spacing w:after="0"/>
              <w:rPr>
                <w:sz w:val="20"/>
                <w:szCs w:val="20"/>
                <w:color w:val="auto"/>
              </w:rPr>
            </w:pPr>
            <w:r>
              <w:rPr>
                <w:rFonts w:ascii="Arial" w:cs="Arial" w:eastAsia="Arial" w:hAnsi="Arial"/>
                <w:sz w:val="17"/>
                <w:szCs w:val="17"/>
                <w:color w:val="0000FF"/>
                <w:w w:val="99"/>
              </w:rPr>
              <w:t>CONDENSED CONSOLIDATED STATEMENTS OF STOCKHOLDERS' EQUITY</w:t>
            </w:r>
          </w:p>
        </w:tc>
        <w:tc>
          <w:tcPr>
            <w:tcW w:w="72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540" w:type="dxa"/>
            <w:vAlign w:val="bottom"/>
            <w:gridSpan w:val="4"/>
          </w:tcPr>
          <w:p>
            <w:pPr>
              <w:jc w:val="center"/>
              <w:ind w:left="255"/>
              <w:spacing w:after="0"/>
              <w:rPr>
                <w:sz w:val="20"/>
                <w:szCs w:val="20"/>
                <w:color w:val="auto"/>
              </w:rPr>
            </w:pPr>
            <w:r>
              <w:rPr>
                <w:rFonts w:ascii="Arial" w:cs="Arial" w:eastAsia="Arial" w:hAnsi="Arial"/>
                <w:sz w:val="17"/>
                <w:szCs w:val="17"/>
                <w:color w:val="0000FF"/>
              </w:rPr>
              <w:t>10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10"/>
          </w:tcPr>
          <w:p>
            <w:pPr>
              <w:spacing w:after="0"/>
              <w:rPr>
                <w:sz w:val="20"/>
                <w:szCs w:val="20"/>
                <w:color w:val="auto"/>
              </w:rPr>
            </w:pPr>
            <w:r>
              <w:rPr>
                <w:rFonts w:ascii="Arial" w:cs="Arial" w:eastAsia="Arial" w:hAnsi="Arial"/>
                <w:sz w:val="17"/>
                <w:szCs w:val="17"/>
                <w:color w:val="0000FF"/>
                <w:w w:val="99"/>
              </w:rPr>
              <w:t>CONDENSED CONSOLIDATED STATEMENTS OF CASH FLOWS</w:t>
            </w:r>
          </w:p>
        </w:tc>
        <w:tc>
          <w:tcPr>
            <w:tcW w:w="1000" w:type="dxa"/>
            <w:vAlign w:val="bottom"/>
            <w:gridSpan w:val="3"/>
          </w:tcPr>
          <w:p>
            <w:pPr>
              <w:spacing w:after="0"/>
              <w:rPr>
                <w:sz w:val="18"/>
                <w:szCs w:val="18"/>
                <w:color w:val="auto"/>
              </w:rPr>
            </w:pPr>
          </w:p>
        </w:tc>
        <w:tc>
          <w:tcPr>
            <w:tcW w:w="2640" w:type="dxa"/>
            <w:vAlign w:val="bottom"/>
            <w:gridSpan w:val="3"/>
          </w:tcPr>
          <w:p>
            <w:pPr>
              <w:spacing w:after="0"/>
              <w:rPr>
                <w:sz w:val="18"/>
                <w:szCs w:val="18"/>
                <w:color w:val="auto"/>
              </w:rPr>
            </w:pPr>
          </w:p>
        </w:tc>
        <w:tc>
          <w:tcPr>
            <w:tcW w:w="540" w:type="dxa"/>
            <w:vAlign w:val="bottom"/>
            <w:gridSpan w:val="4"/>
          </w:tcPr>
          <w:p>
            <w:pPr>
              <w:jc w:val="center"/>
              <w:ind w:left="295"/>
              <w:spacing w:after="0"/>
              <w:rPr>
                <w:sz w:val="20"/>
                <w:szCs w:val="20"/>
                <w:color w:val="auto"/>
              </w:rPr>
            </w:pPr>
            <w:r>
              <w:rPr>
                <w:rFonts w:ascii="Arial" w:cs="Arial" w:eastAsia="Arial" w:hAnsi="Arial"/>
                <w:sz w:val="17"/>
                <w:szCs w:val="17"/>
                <w:color w:val="0000FF"/>
                <w:w w:val="84"/>
              </w:rPr>
              <w:t>11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16"/>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540" w:type="dxa"/>
            <w:vAlign w:val="bottom"/>
            <w:gridSpan w:val="4"/>
          </w:tcPr>
          <w:p>
            <w:pPr>
              <w:jc w:val="center"/>
              <w:ind w:left="255"/>
              <w:spacing w:after="0"/>
              <w:rPr>
                <w:sz w:val="20"/>
                <w:szCs w:val="20"/>
                <w:color w:val="auto"/>
              </w:rPr>
            </w:pPr>
            <w:r>
              <w:rPr>
                <w:rFonts w:ascii="Arial" w:cs="Arial" w:eastAsia="Arial" w:hAnsi="Arial"/>
                <w:sz w:val="17"/>
                <w:szCs w:val="17"/>
                <w:color w:val="0000FF"/>
              </w:rPr>
              <w:t>13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MANAGEMENT'S DISCUSSION AND ANALYSIS OF FINANCIAL CONDITION AND RESULTS OF</w:t>
            </w:r>
          </w:p>
        </w:tc>
        <w:tc>
          <w:tcPr>
            <w:tcW w:w="1240" w:type="dxa"/>
            <w:vAlign w:val="bottom"/>
          </w:tcPr>
          <w:p>
            <w:pPr>
              <w:spacing w:after="0"/>
              <w:rPr>
                <w:sz w:val="24"/>
                <w:szCs w:val="24"/>
                <w:color w:val="auto"/>
              </w:rPr>
            </w:pPr>
          </w:p>
        </w:tc>
        <w:tc>
          <w:tcPr>
            <w:tcW w:w="540" w:type="dxa"/>
            <w:vAlign w:val="bottom"/>
            <w:gridSpan w:val="4"/>
            <w:vMerge w:val="restart"/>
          </w:tcPr>
          <w:p>
            <w:pPr>
              <w:jc w:val="center"/>
              <w:ind w:left="255"/>
              <w:spacing w:after="0"/>
              <w:rPr>
                <w:sz w:val="20"/>
                <w:szCs w:val="20"/>
                <w:color w:val="auto"/>
              </w:rPr>
            </w:pPr>
            <w:r>
              <w:rPr>
                <w:rFonts w:ascii="Arial" w:cs="Arial" w:eastAsia="Arial" w:hAnsi="Arial"/>
                <w:sz w:val="17"/>
                <w:szCs w:val="17"/>
                <w:color w:val="0000FF"/>
              </w:rPr>
              <w:t>41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gridSpan w:val="2"/>
            <w:vMerge w:val="restart"/>
          </w:tcPr>
          <w:p>
            <w:pPr>
              <w:spacing w:after="0" w:line="155" w:lineRule="exact"/>
              <w:rPr>
                <w:sz w:val="20"/>
                <w:szCs w:val="20"/>
                <w:color w:val="auto"/>
              </w:rPr>
            </w:pPr>
            <w:r>
              <w:rPr>
                <w:rFonts w:ascii="Arial" w:cs="Arial" w:eastAsia="Arial" w:hAnsi="Arial"/>
                <w:sz w:val="17"/>
                <w:szCs w:val="17"/>
                <w:color w:val="0000FF"/>
                <w:w w:val="98"/>
              </w:rPr>
              <w:t>OPERATIONS</w:t>
            </w:r>
          </w:p>
        </w:tc>
        <w:tc>
          <w:tcPr>
            <w:tcW w:w="7640" w:type="dxa"/>
            <w:vAlign w:val="bottom"/>
            <w:gridSpan w:val="14"/>
            <w:vMerge w:val="restart"/>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Borders>
              <w:bottom w:val="single" w:sz="8" w:color="0000FF"/>
            </w:tcBorders>
            <w:gridSpan w:val="2"/>
            <w:vMerge w:val="continue"/>
          </w:tcPr>
          <w:p>
            <w:pPr>
              <w:spacing w:after="0"/>
              <w:rPr>
                <w:sz w:val="6"/>
                <w:szCs w:val="6"/>
                <w:color w:val="auto"/>
              </w:rPr>
            </w:pPr>
          </w:p>
        </w:tc>
        <w:tc>
          <w:tcPr>
            <w:tcW w:w="7640" w:type="dxa"/>
            <w:vAlign w:val="bottom"/>
            <w:gridSpan w:val="14"/>
            <w:vMerge w:val="continue"/>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540" w:type="dxa"/>
            <w:vAlign w:val="bottom"/>
            <w:gridSpan w:val="2"/>
          </w:tcPr>
          <w:p>
            <w:pPr>
              <w:spacing w:after="0"/>
              <w:rPr>
                <w:sz w:val="20"/>
                <w:szCs w:val="20"/>
                <w:color w:val="auto"/>
              </w:rPr>
            </w:pPr>
            <w:r>
              <w:rPr>
                <w:rFonts w:ascii="Arial" w:cs="Arial" w:eastAsia="Arial" w:hAnsi="Arial"/>
                <w:sz w:val="17"/>
                <w:szCs w:val="17"/>
                <w:color w:val="auto"/>
              </w:rPr>
              <w:t>ITEM 3.</w:t>
            </w:r>
          </w:p>
        </w:tc>
        <w:tc>
          <w:tcPr>
            <w:tcW w:w="5880" w:type="dxa"/>
            <w:vAlign w:val="bottom"/>
            <w:gridSpan w:val="12"/>
          </w:tcPr>
          <w:p>
            <w:pPr>
              <w:spacing w:after="0"/>
              <w:rPr>
                <w:sz w:val="20"/>
                <w:szCs w:val="20"/>
                <w:color w:val="auto"/>
              </w:rPr>
            </w:pPr>
            <w:r>
              <w:rPr>
                <w:rFonts w:ascii="Arial" w:cs="Arial" w:eastAsia="Arial" w:hAnsi="Arial"/>
                <w:sz w:val="17"/>
                <w:szCs w:val="17"/>
                <w:color w:val="0000FF"/>
                <w:w w:val="99"/>
              </w:rPr>
              <w:t>QUANTITATIVE AND QUALITATIVE DISCLOSURES ABOUT MARKET RISK</w:t>
            </w:r>
          </w:p>
        </w:tc>
        <w:tc>
          <w:tcPr>
            <w:tcW w:w="2880" w:type="dxa"/>
            <w:vAlign w:val="bottom"/>
            <w:gridSpan w:val="4"/>
          </w:tcPr>
          <w:p>
            <w:pPr>
              <w:spacing w:after="0"/>
              <w:rPr>
                <w:sz w:val="17"/>
                <w:szCs w:val="17"/>
                <w:color w:val="auto"/>
              </w:rPr>
            </w:pPr>
          </w:p>
        </w:tc>
        <w:tc>
          <w:tcPr>
            <w:tcW w:w="540" w:type="dxa"/>
            <w:vAlign w:val="bottom"/>
            <w:gridSpan w:val="4"/>
          </w:tcPr>
          <w:p>
            <w:pPr>
              <w:jc w:val="center"/>
              <w:ind w:left="255"/>
              <w:spacing w:after="0"/>
              <w:rPr>
                <w:sz w:val="20"/>
                <w:szCs w:val="20"/>
                <w:color w:val="auto"/>
              </w:rPr>
            </w:pPr>
            <w:r>
              <w:rPr>
                <w:rFonts w:ascii="Arial" w:cs="Arial" w:eastAsia="Arial" w:hAnsi="Arial"/>
                <w:sz w:val="17"/>
                <w:szCs w:val="17"/>
                <w:color w:val="0000FF"/>
              </w:rPr>
              <w:t>66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620" w:type="dxa"/>
            <w:vAlign w:val="bottom"/>
            <w:gridSpan w:val="6"/>
          </w:tcPr>
          <w:p>
            <w:pPr>
              <w:spacing w:after="0"/>
              <w:rPr>
                <w:sz w:val="20"/>
                <w:szCs w:val="20"/>
                <w:color w:val="auto"/>
              </w:rPr>
            </w:pPr>
            <w:r>
              <w:rPr>
                <w:rFonts w:ascii="Arial" w:cs="Arial" w:eastAsia="Arial" w:hAnsi="Arial"/>
                <w:sz w:val="17"/>
                <w:szCs w:val="17"/>
                <w:color w:val="0000FF"/>
              </w:rPr>
              <w:t>CONTROLS AND PROCEDURES</w:t>
            </w:r>
          </w:p>
        </w:tc>
        <w:tc>
          <w:tcPr>
            <w:tcW w:w="3260" w:type="dxa"/>
            <w:vAlign w:val="bottom"/>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540" w:type="dxa"/>
            <w:vAlign w:val="bottom"/>
            <w:gridSpan w:val="4"/>
          </w:tcPr>
          <w:p>
            <w:pPr>
              <w:jc w:val="center"/>
              <w:ind w:left="255"/>
              <w:spacing w:after="0"/>
              <w:rPr>
                <w:sz w:val="20"/>
                <w:szCs w:val="20"/>
                <w:color w:val="auto"/>
              </w:rPr>
            </w:pPr>
            <w:r>
              <w:rPr>
                <w:rFonts w:ascii="Arial" w:cs="Arial" w:eastAsia="Arial" w:hAnsi="Arial"/>
                <w:sz w:val="17"/>
                <w:szCs w:val="17"/>
                <w:color w:val="0000FF"/>
              </w:rPr>
              <w:t>66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30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3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rPr>
              <w:t>67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760" w:type="dxa"/>
            <w:vAlign w:val="bottom"/>
            <w:gridSpan w:val="16"/>
          </w:tcPr>
          <w:p>
            <w:pPr>
              <w:spacing w:after="0"/>
              <w:rPr>
                <w:sz w:val="20"/>
                <w:szCs w:val="20"/>
                <w:color w:val="auto"/>
              </w:rPr>
            </w:pPr>
            <w:r>
              <w:rPr>
                <w:rFonts w:ascii="Arial" w:cs="Arial" w:eastAsia="Arial" w:hAnsi="Arial"/>
                <w:sz w:val="17"/>
                <w:szCs w:val="17"/>
                <w:color w:val="0000FF"/>
              </w:rPr>
              <w:t>LEGAL PROCEEDINGS</w:t>
            </w:r>
          </w:p>
        </w:tc>
        <w:tc>
          <w:tcPr>
            <w:tcW w:w="540" w:type="dxa"/>
            <w:vAlign w:val="bottom"/>
            <w:gridSpan w:val="4"/>
          </w:tcPr>
          <w:p>
            <w:pPr>
              <w:jc w:val="center"/>
              <w:ind w:left="255"/>
              <w:spacing w:after="0"/>
              <w:rPr>
                <w:sz w:val="20"/>
                <w:szCs w:val="20"/>
                <w:color w:val="auto"/>
              </w:rPr>
            </w:pPr>
            <w:r>
              <w:rPr>
                <w:rFonts w:ascii="Arial" w:cs="Arial" w:eastAsia="Arial" w:hAnsi="Arial"/>
                <w:sz w:val="17"/>
                <w:szCs w:val="17"/>
                <w:color w:val="0000FF"/>
              </w:rPr>
              <w:t>67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60" w:type="dxa"/>
            <w:vAlign w:val="bottom"/>
            <w:gridSpan w:val="3"/>
          </w:tcPr>
          <w:p>
            <w:pPr>
              <w:spacing w:after="0"/>
              <w:rPr>
                <w:sz w:val="20"/>
                <w:szCs w:val="20"/>
                <w:color w:val="auto"/>
              </w:rPr>
            </w:pPr>
            <w:r>
              <w:rPr>
                <w:rFonts w:ascii="Arial" w:cs="Arial" w:eastAsia="Arial" w:hAnsi="Arial"/>
                <w:sz w:val="17"/>
                <w:szCs w:val="17"/>
                <w:color w:val="0000FF"/>
                <w:w w:val="98"/>
              </w:rPr>
              <w:t>RISK FACTORS</w:t>
            </w:r>
          </w:p>
        </w:tc>
        <w:tc>
          <w:tcPr>
            <w:tcW w:w="600" w:type="dxa"/>
            <w:vAlign w:val="bottom"/>
            <w:gridSpan w:val="2"/>
          </w:tcPr>
          <w:p>
            <w:pPr>
              <w:spacing w:after="0"/>
              <w:rPr>
                <w:sz w:val="24"/>
                <w:szCs w:val="24"/>
                <w:color w:val="auto"/>
              </w:rPr>
            </w:pPr>
          </w:p>
        </w:tc>
        <w:tc>
          <w:tcPr>
            <w:tcW w:w="6900" w:type="dxa"/>
            <w:vAlign w:val="bottom"/>
            <w:gridSpan w:val="11"/>
          </w:tcPr>
          <w:p>
            <w:pPr>
              <w:spacing w:after="0"/>
              <w:rPr>
                <w:sz w:val="24"/>
                <w:szCs w:val="24"/>
                <w:color w:val="auto"/>
              </w:rPr>
            </w:pPr>
          </w:p>
        </w:tc>
        <w:tc>
          <w:tcPr>
            <w:tcW w:w="540" w:type="dxa"/>
            <w:vAlign w:val="bottom"/>
            <w:gridSpan w:val="4"/>
          </w:tcPr>
          <w:p>
            <w:pPr>
              <w:jc w:val="center"/>
              <w:ind w:left="255"/>
              <w:spacing w:after="0"/>
              <w:rPr>
                <w:sz w:val="20"/>
                <w:szCs w:val="20"/>
                <w:color w:val="auto"/>
              </w:rPr>
            </w:pPr>
            <w:r>
              <w:rPr>
                <w:rFonts w:ascii="Arial" w:cs="Arial" w:eastAsia="Arial" w:hAnsi="Arial"/>
                <w:sz w:val="17"/>
                <w:szCs w:val="17"/>
                <w:color w:val="0000FF"/>
              </w:rPr>
              <w:t>67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60" w:type="dxa"/>
            <w:vAlign w:val="bottom"/>
            <w:gridSpan w:val="3"/>
          </w:tcPr>
          <w:p>
            <w:pPr>
              <w:spacing w:after="0"/>
              <w:rPr>
                <w:sz w:val="20"/>
                <w:szCs w:val="20"/>
                <w:color w:val="auto"/>
              </w:rPr>
            </w:pPr>
            <w:r>
              <w:rPr>
                <w:rFonts w:ascii="Arial" w:cs="Arial" w:eastAsia="Arial" w:hAnsi="Arial"/>
                <w:sz w:val="17"/>
                <w:szCs w:val="17"/>
                <w:color w:val="0000FF"/>
              </w:rPr>
              <w:t>EXHIBITS</w:t>
            </w:r>
          </w:p>
        </w:tc>
        <w:tc>
          <w:tcPr>
            <w:tcW w:w="7500" w:type="dxa"/>
            <w:vAlign w:val="bottom"/>
            <w:gridSpan w:val="13"/>
          </w:tcPr>
          <w:p>
            <w:pPr>
              <w:spacing w:after="0"/>
              <w:rPr>
                <w:sz w:val="24"/>
                <w:szCs w:val="24"/>
                <w:color w:val="auto"/>
              </w:rPr>
            </w:pPr>
          </w:p>
        </w:tc>
        <w:tc>
          <w:tcPr>
            <w:tcW w:w="540" w:type="dxa"/>
            <w:vAlign w:val="bottom"/>
            <w:gridSpan w:val="4"/>
          </w:tcPr>
          <w:p>
            <w:pPr>
              <w:jc w:val="center"/>
              <w:ind w:left="255"/>
              <w:spacing w:after="0"/>
              <w:rPr>
                <w:sz w:val="20"/>
                <w:szCs w:val="20"/>
                <w:color w:val="auto"/>
              </w:rPr>
            </w:pPr>
            <w:r>
              <w:rPr>
                <w:rFonts w:ascii="Arial" w:cs="Arial" w:eastAsia="Arial" w:hAnsi="Arial"/>
                <w:sz w:val="17"/>
                <w:szCs w:val="17"/>
                <w:color w:val="0000FF"/>
              </w:rPr>
              <w:t>68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gridSpan w:val="4"/>
          </w:tcPr>
          <w:p>
            <w:pPr>
              <w:jc w:val="center"/>
              <w:ind w:left="255"/>
              <w:spacing w:after="0"/>
              <w:rPr>
                <w:sz w:val="20"/>
                <w:szCs w:val="20"/>
                <w:color w:val="auto"/>
              </w:rPr>
            </w:pPr>
            <w:r>
              <w:rPr>
                <w:rFonts w:ascii="Arial" w:cs="Arial" w:eastAsia="Arial" w:hAnsi="Arial"/>
                <w:sz w:val="17"/>
                <w:szCs w:val="17"/>
                <w:color w:val="0000FF"/>
              </w:rPr>
              <w:t>71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TO READER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refers to Compass Group Diversified Holdings LLC;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refers to Compass Diversified Holdings and Compass Group Diversified Holdings LLC, collectively;</w:t>
      </w:r>
    </w:p>
    <w:p>
      <w:pPr>
        <w:spacing w:after="0" w:line="76"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all refer to, collectively, the businesses controlled by the Company;</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refers to Compass Group Management LLC (“CGM”);</w:t>
      </w:r>
    </w:p>
    <w:p>
      <w:pPr>
        <w:spacing w:after="0" w:line="76"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refers to the Third Amended and Restated Trust Agreement of the Trust dated as of August 3, 2021, as further amended;</w:t>
      </w:r>
    </w:p>
    <w:p>
      <w:pPr>
        <w:spacing w:after="0" w:line="4"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Credit Facility" refers to the third amended and restated credit agreement entered into on July 12, 2022, as further amended, among the LLC, the lenders from time to time party thereto, Bank of America, N.A., as Administrative Agent, Swing Line Lender and letter of credit issuer (the "agent");</w:t>
      </w:r>
    </w:p>
    <w:p>
      <w:pPr>
        <w:spacing w:after="0" w:line="35"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refers to the Sixth Amended and Restated Operating Agreement of the Company dated as of August 3, 2021, as further amended;</w:t>
      </w:r>
    </w:p>
    <w:p>
      <w:pPr>
        <w:spacing w:after="0" w:line="4"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“Management Services Agreement” or “MSA” refer to the Management Services Agreement with CGM effective May 16, 2006, as amended; and</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130" w:lineRule="exact"/>
        <w:rPr>
          <w:rFonts w:ascii="Arial" w:cs="Arial" w:eastAsia="Arial" w:hAnsi="Arial"/>
          <w:sz w:val="18"/>
          <w:szCs w:val="18"/>
          <w:color w:val="auto"/>
        </w:rPr>
      </w:pPr>
    </w:p>
    <w:p>
      <w:pPr>
        <w:ind w:left="660" w:right="240" w:hanging="328"/>
        <w:spacing w:after="0" w:line="23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“2025 Form 10-K” refers to the Company’s Form 10-K for the fiscal year ended December 31, 2025 filed with the United States Securities and Exchange Commission (“SEC”) on February 27, 2026.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previously disclosed, in April 2025, the Audit Committee of the Company’s board of directors commenced an internal investigation into the financing, accounting, and inventory practices of Lugano Holding, Inc. (“Lugano”), a subsidiary and operating segment of the Company (the “Lugano Investigation”). The Lugano Investigation identified certain unrecorded financing arrangements and irregularities involving, among other things, sales, cost of sales, inventory, and accounts receivable recorded by Lugano.</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Lugano Investigation and related matters significantly affected the Company during 2025 and continued to affect the Company during the first quarter of 2026. In November 2025, Lugano and certain of its subsidiaries filed voluntary petitions for relief under Chapter 11 of the United States Bankruptcy Code and, as a result, Lugano was deconsolidated from the Company’s consolidated financial statements as of the bankruptcy filing date. The Company also incurred significant professional fees and other expenses related to the Lugano Investigation, the preparation of restated and delayed periodic financial statements, related litigation and investigations, financing arrangements and internal control remediation. In addition, the Company suspended its quarterly cash distribution on its common shares in 2025, and its ability to access the capital markets, including through its at-the-market equity programs, was limited in light of these events.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Form 10-Q should be read in conjunction with the Company’s 2025 Form 10-K for additional information regarding the Lugano Investigation and restatement, the deconsolidation of Lugano, related financing arrangements, internal control remediation efforts and related risks.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(this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Forward-looking statements include, among other things, (i) statements as to our future performance or liquidity, such as expectations for our results of operations, net income, leverage, Adjusted EBITDA, and Adjusted Earnings, our deleveraging efforts and ability to make quarterly distributions, and (ii) our plans, strategies and objectives for future operations, including our business outlook and planned capital expenditures. Forward-looking statements in this Form 10-Q are subject to a number of risks and uncertainties, such as those disclosed or incorporated by reference in our filings with the SEC, including, but not limited to, those described under the sections entitled “Risk Factors” and “Management’s Discussion and Analysis of Financial Condition and Results of Operations” in both this Form 10-Q and our Annual Report on Form 10-K for the year ended December 31, 2025 filed with the United States Securities and Exchange Commission (“SEC”) February 27, 2026 as such factors may be updated from time to time in our filings with the SEC. Many of these risks and uncertainties are beyond our control. Important factors that could cause our actual results, performance and achievements to differ materially from those estimates or projections contained in our forward-looking statements include, among other things:</w:t>
      </w:r>
    </w:p>
    <w:p>
      <w:pPr>
        <w:spacing w:after="0" w:line="23" w:lineRule="exact"/>
        <w:rPr>
          <w:sz w:val="20"/>
          <w:szCs w:val="20"/>
          <w:color w:val="auto"/>
        </w:rPr>
      </w:pPr>
    </w:p>
    <w:p>
      <w:pPr>
        <w:jc w:val="both"/>
        <w:ind w:left="500" w:hanging="330"/>
        <w:spacing w:after="0" w:line="259"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relating to our representations regarding our financial statements and litigation, enforcement actions or investigations relating to our internal controls, restatement reviews, matters related to the Lugano Investigation (as defined herein) and additional liabilities we are currently unaware of;</w:t>
      </w:r>
    </w:p>
    <w:p>
      <w:pPr>
        <w:spacing w:after="0" w:line="18" w:lineRule="exact"/>
        <w:rPr>
          <w:rFonts w:ascii="Arial" w:cs="Arial" w:eastAsia="Arial" w:hAnsi="Arial"/>
          <w:sz w:val="18"/>
          <w:szCs w:val="18"/>
          <w:color w:val="auto"/>
        </w:rPr>
      </w:pPr>
    </w:p>
    <w:p>
      <w:pPr>
        <w:ind w:left="500" w:hanging="330"/>
        <w:spacing w:after="0" w:line="237"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likelihood that the control deficiencies identified or that may be identified in the future will result in additional material weaknesses in our internal control over financial reporting;</w:t>
      </w:r>
    </w:p>
    <w:p>
      <w:pPr>
        <w:spacing w:after="0" w:line="4"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credit agreements or incur additional borrowings on terms we deem attractive;</w:t>
      </w:r>
    </w:p>
    <w:p>
      <w:pPr>
        <w:spacing w:after="0" w:line="63" w:lineRule="exact"/>
        <w:rPr>
          <w:rFonts w:ascii="Arial" w:cs="Arial" w:eastAsia="Arial" w:hAnsi="Arial"/>
          <w:sz w:val="18"/>
          <w:szCs w:val="18"/>
          <w:color w:val="auto"/>
        </w:rPr>
      </w:pPr>
    </w:p>
    <w:p>
      <w:pPr>
        <w:jc w:val="both"/>
        <w:ind w:left="500" w:hanging="330"/>
        <w:spacing w:after="0" w:line="241"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amount and timing of any recoveries, if any, on our intercompany loan to Lugano, and the risk associated with our secured position being challenged in bankruptcy proceedings, including through claims seeking to subordinate or recharacterize our claim, and adverse outcomes that could materially reduce or eliminate recoveries;</w:t>
      </w:r>
    </w:p>
    <w:p>
      <w:pPr>
        <w:spacing w:after="0" w:line="32" w:lineRule="exact"/>
        <w:rPr>
          <w:rFonts w:ascii="Arial" w:cs="Arial" w:eastAsia="Arial" w:hAnsi="Arial"/>
          <w:sz w:val="22"/>
          <w:szCs w:val="22"/>
          <w:color w:val="auto"/>
        </w:rPr>
      </w:pPr>
    </w:p>
    <w:p>
      <w:pPr>
        <w:jc w:val="both"/>
        <w:ind w:left="500" w:hanging="330"/>
        <w:spacing w:after="0" w:line="246"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claims or causes of action asserted by parties in interest in the bankruptcy proceedings or other third parties against us and/or our directors and officers arising out of or relating to Lugano and the bankruptcy proceedings, which could result in substantial defense costs, potential liability or settlement payments, and could further reduce the net amount and timing of any recoveries;</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and our Manager’s ability to retain or replace qualified employees of our subsidiaries and Manager;</w:t>
      </w:r>
    </w:p>
    <w:p>
      <w:pPr>
        <w:spacing w:after="0" w:line="17"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difficulties and delays in identifying, integrating, and managing acquisitions or an inability to fully realize cost savings and other benefits related thereto;</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finance future acquisitions on acceptable terms;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ability to cause, in its sole discretion, the Trust to be converted into a corporation;</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ability to reduce or eliminate distributions to our shareholders;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reliance on receipts from our subsidiaries to make distributions to our shareholders;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ability to change the terms of the Company’s shares in its sole discretion;</w:t>
      </w:r>
    </w:p>
    <w:p>
      <w:pPr>
        <w:spacing w:after="0" w:line="17" w:lineRule="exact"/>
        <w:rPr>
          <w:rFonts w:ascii="Times New Roman" w:cs="Times New Roman" w:eastAsia="Times New Roman" w:hAnsi="Times New Roman"/>
          <w:sz w:val="22"/>
          <w:szCs w:val="22"/>
          <w:color w:val="auto"/>
        </w:rPr>
      </w:pPr>
    </w:p>
    <w:p>
      <w:pPr>
        <w:ind w:left="500" w:right="2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provisions in our governing documents and the governing documents of the Trust which may limit a third party’s ability to acquire control of the Company and Trust;</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regain compliance with NYSE continued listing requirements;</w:t>
      </w:r>
    </w:p>
    <w:p>
      <w:pPr>
        <w:spacing w:after="0" w:line="10" w:lineRule="exact"/>
        <w:rPr>
          <w:rFonts w:ascii="Arial" w:cs="Arial" w:eastAsia="Arial" w:hAnsi="Arial"/>
          <w:sz w:val="22"/>
          <w:szCs w:val="22"/>
          <w:color w:val="auto"/>
        </w:rPr>
      </w:pPr>
    </w:p>
    <w:p>
      <w:pPr>
        <w:ind w:left="480" w:hanging="310"/>
        <w:spacing w:after="0" w:line="233"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conflicts of interest to arise between the Company and the boards of directors of its respective businesses;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service our debt obligations;</w:t>
      </w:r>
    </w:p>
    <w:p>
      <w:pPr>
        <w:spacing w:after="0" w:line="31"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indebtedness may limit our ability to obtain financing in the future, increase the cost of future borrowings, limit our ability to use operating cash, and increase our vulnerability to adverse economic conditions;</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interest rate fluctuations;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conflicts of interest in acquisition opportunities;</w:t>
      </w:r>
    </w:p>
    <w:p>
      <w:pPr>
        <w:spacing w:after="0" w:line="18"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we may be deemed to be an investment company under the Investment Company Act of 1940, as amended, if we cease to control and operate our businesses in the future;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dependence of some of our businesses on a limited number of customers for a significant percentage of revenue;</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lack of long-term customer contracts;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changes to tariffs and import/export regulations;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impact of the Trust’s tax reclassification;</w:t>
      </w:r>
    </w:p>
    <w:p>
      <w:pPr>
        <w:spacing w:after="0" w:line="17"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future changes to tax laws and the potential for the Trust to be taxed at rates higher than expected or for the Trust to fail to realize the anticipated benefits of its tax election;</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discretionary and non-cumulative nature of distributions on Series A Preferred Shares;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subordination of our Series A, Series B, and Series C Preferred Shares to our existing and future indebtedness;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members of management to allocate their time to the operations of other businesses;</w:t>
      </w:r>
    </w:p>
    <w:p>
      <w:pPr>
        <w:spacing w:after="0" w:line="45" w:lineRule="exact"/>
        <w:rPr>
          <w:rFonts w:ascii="Times New Roman" w:cs="Times New Roman" w:eastAsia="Times New Roman" w:hAnsi="Times New Roman"/>
          <w:sz w:val="22"/>
          <w:szCs w:val="22"/>
          <w:color w:val="auto"/>
        </w:rPr>
      </w:pPr>
    </w:p>
    <w:p>
      <w:pPr>
        <w:ind w:left="500" w:right="2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our Manager, its affiliates, and members of the Company’s management team to engage in activities that compete with us or our businesses;</w:t>
      </w:r>
    </w:p>
    <w:p>
      <w:pPr>
        <w:spacing w:after="0" w:line="31" w:lineRule="exact"/>
        <w:rPr>
          <w:rFonts w:ascii="Times New Roman" w:cs="Times New Roman" w:eastAsia="Times New Roman" w:hAnsi="Times New Roman"/>
          <w:sz w:val="22"/>
          <w:szCs w:val="22"/>
          <w:color w:val="auto"/>
        </w:rPr>
      </w:pPr>
    </w:p>
    <w:p>
      <w:pPr>
        <w:ind w:left="500" w:right="20" w:hanging="330"/>
        <w:spacing w:after="0" w:line="244"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wide latitude that the Manager possesses in determining whether an acquisition or disposition opportunity does or does not meet the Company’s criteria;</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in removing our Manager for poor performance;</w:t>
      </w:r>
    </w:p>
    <w:p>
      <w:pPr>
        <w:spacing w:after="0" w:line="31" w:lineRule="exact"/>
        <w:rPr>
          <w:rFonts w:ascii="Times New Roman" w:cs="Times New Roman" w:eastAsia="Times New Roman" w:hAnsi="Times New Roman"/>
          <w:sz w:val="22"/>
          <w:szCs w:val="22"/>
          <w:color w:val="auto"/>
        </w:rPr>
      </w:pPr>
    </w:p>
    <w:p>
      <w:pPr>
        <w:ind w:left="500" w:hanging="330"/>
        <w:spacing w:after="0" w:line="244"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ability of our Manager to resign on 180 days’ notice and the possibility that we may be unable to find a suitable replacement in a timely fashion;</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requirement to pay our Manager the base management fee regardless of our performance;</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uncertainty with respect to determining the amount of the management fee that will be paid over time;</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uncertainty with respect to determining the amount of profit allocation that will be paid over time;</w:t>
      </w:r>
    </w:p>
    <w:p>
      <w:pPr>
        <w:spacing w:after="0" w:line="31" w:lineRule="exact"/>
        <w:rPr>
          <w:rFonts w:ascii="Times New Roman" w:cs="Times New Roman" w:eastAsia="Times New Roman" w:hAnsi="Times New Roman"/>
          <w:sz w:val="22"/>
          <w:szCs w:val="22"/>
          <w:color w:val="auto"/>
        </w:rPr>
      </w:pPr>
    </w:p>
    <w:p>
      <w:pPr>
        <w:ind w:left="500" w:right="20" w:hanging="330"/>
        <w:spacing w:after="0" w:line="244"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payment of the management fee, fees under offsetting management services agreements, and profit allocation may significantly reduce the amount of earnings and cash available for shareholder distributions;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Manager’s influence and ability to increase its fees;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our management fees or profit allocation may induce our Manager to make suboptimal operations decisions;</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obligation to pay management fees and profit allocation may cause the Company to liquidate assets or incur debt;</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potential material environmental liabilities arising from a subsidiary’s operations and the prior operations of predecessor companies;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products liability and products safety claims against some of our businesses;</w:t>
      </w:r>
    </w:p>
    <w:p>
      <w:pPr>
        <w:spacing w:after="0" w:line="44"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cybersecurity-related risks, including system failures, data breaches, and the unauthorized access to and use of our and our customers’ confidential information;</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goodwill impairment;</w:t>
      </w:r>
    </w:p>
    <w:p>
      <w:pPr>
        <w:spacing w:after="0" w:line="44"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disruptions to our business, operations, and supply chains, including as a result of natural disasters, inclement weather, accidents, transportation delays, and other events;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fluctuations in the cost and availability, and the possibility of shortages, of raw materials, components, or whole goods;</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protect and enforce our intellectual property rights;</w:t>
      </w:r>
    </w:p>
    <w:p>
      <w:pPr>
        <w:spacing w:after="0" w:line="31"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legal and regulatory environment in which we and our subsidiaries operate, particularly with respect to environmental regulations, products safety regulations, and products liability;</w:t>
      </w:r>
    </w:p>
    <w:p>
      <w:pPr>
        <w:spacing w:after="0" w:line="45"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risks inherent in operating a global business, including political and economic volatility, differing or conflicting cross-jurisdictional requirements, and import/export restrictions; and</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importance of maintaining the value and reputation of our branded consumer businesses.</w:t>
      </w:r>
    </w:p>
    <w:p>
      <w:pPr>
        <w:spacing w:after="0" w:line="13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 description of the risks that could cause our actual results to differ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8"/>
          <w:szCs w:val="18"/>
          <w:color w:val="auto"/>
        </w:rPr>
        <w:t>appears under the sections entitled “Risk Factors” and “Management’s Discussion and Analysis of Financial Condition and Results of Operations” in both this Form 10-Q and the 2025 Form 10-K.</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Form 10-Q may not occur. These forward-looking statements are made as of the date of this Form 10-Q. We undertake no obligation to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5"/>
        </w:trPr>
        <w:tc>
          <w:tcPr>
            <w:tcW w:w="7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68,015</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190,282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202,887</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Inventories, net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404,102</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63,835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78,398</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Due from related parties (refer to Note N)</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20,757</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Due from unconsolidated affiliate (refer to Note B)</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71,000</w:t>
            </w:r>
          </w:p>
        </w:tc>
        <w:tc>
          <w:tcPr>
            <w:tcW w:w="0" w:type="dxa"/>
            <w:vAlign w:val="bottom"/>
          </w:tcPr>
          <w:p>
            <w:pPr>
              <w:spacing w:after="0"/>
              <w:rPr>
                <w:sz w:val="1"/>
                <w:szCs w:val="1"/>
                <w:color w:val="auto"/>
              </w:rPr>
            </w:pPr>
          </w:p>
        </w:tc>
      </w:tr>
      <w:tr>
        <w:trPr>
          <w:trHeight w:val="20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assets held for sale</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131,610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20" w:type="dxa"/>
            <w:vAlign w:val="bottom"/>
            <w:gridSpan w:val="2"/>
          </w:tcPr>
          <w:p>
            <w:pPr>
              <w:ind w:left="36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904,298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845,159</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209,742</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830,902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895,421</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839,578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892,811</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Due from unconsolidated affiliate, long-term (refer to Note B)</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26,000</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172,267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170,051</w:t>
            </w:r>
          </w:p>
        </w:tc>
        <w:tc>
          <w:tcPr>
            <w:tcW w:w="0" w:type="dxa"/>
            <w:vAlign w:val="bottom"/>
          </w:tcPr>
          <w:p>
            <w:pPr>
              <w:spacing w:after="0"/>
              <w:rPr>
                <w:sz w:val="1"/>
                <w:szCs w:val="1"/>
                <w:color w:val="auto"/>
              </w:rPr>
            </w:pPr>
          </w:p>
        </w:tc>
      </w:tr>
      <w:tr>
        <w:trPr>
          <w:trHeight w:val="195"/>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2,963,844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3,039,184</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96,335</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149,099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163,265</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portion, long-term debt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48,131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52,519</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 held for sale</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28,669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20" w:type="dxa"/>
            <w:vAlign w:val="bottom"/>
            <w:gridSpan w:val="2"/>
          </w:tcPr>
          <w:p>
            <w:pPr>
              <w:ind w:left="36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338,985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349,619</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104,189</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1,818,998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1,839,817</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176,600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171,896</w:t>
            </w:r>
          </w:p>
        </w:tc>
        <w:tc>
          <w:tcPr>
            <w:tcW w:w="0" w:type="dxa"/>
            <w:vAlign w:val="bottom"/>
          </w:tcPr>
          <w:p>
            <w:pPr>
              <w:spacing w:after="0"/>
              <w:rPr>
                <w:sz w:val="1"/>
                <w:szCs w:val="1"/>
                <w:color w:val="auto"/>
              </w:rPr>
            </w:pPr>
          </w:p>
        </w:tc>
      </w:tr>
      <w:tr>
        <w:trPr>
          <w:trHeight w:val="192"/>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2,433,448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2,465,521</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 (refer to Note M)</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7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Trust preferred shares, 50,000 authorized; 20,109 shares issued and outstanding at March 31, 2026 and December</w:t>
            </w: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31, 2025, respectively.</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Series A preferred shares, no par value; 4,678 shares issued and outstanding at March 31, 2026 and December 31,</w:t>
            </w:r>
          </w:p>
        </w:tc>
        <w:tc>
          <w:tcPr>
            <w:tcW w:w="2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112,010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112,010</w:t>
            </w:r>
          </w:p>
        </w:tc>
        <w:tc>
          <w:tcPr>
            <w:tcW w:w="0" w:type="dxa"/>
            <w:vAlign w:val="bottom"/>
          </w:tcPr>
          <w:p>
            <w:pPr>
              <w:spacing w:after="0"/>
              <w:rPr>
                <w:sz w:val="1"/>
                <w:szCs w:val="1"/>
                <w:color w:val="auto"/>
              </w:rPr>
            </w:pPr>
          </w:p>
        </w:tc>
      </w:tr>
      <w:tr>
        <w:trPr>
          <w:trHeight w:val="189"/>
        </w:trPr>
        <w:tc>
          <w:tcPr>
            <w:tcW w:w="7720" w:type="dxa"/>
            <w:vAlign w:val="bottom"/>
            <w:gridSpan w:val="2"/>
          </w:tcPr>
          <w:p>
            <w:pPr>
              <w:ind w:left="140"/>
              <w:spacing w:after="0"/>
              <w:rPr>
                <w:sz w:val="20"/>
                <w:szCs w:val="20"/>
                <w:color w:val="auto"/>
              </w:rPr>
            </w:pPr>
            <w:r>
              <w:rPr>
                <w:rFonts w:ascii="Arial" w:cs="Arial" w:eastAsia="Arial" w:hAnsi="Arial"/>
                <w:sz w:val="14"/>
                <w:szCs w:val="14"/>
                <w:color w:val="auto"/>
              </w:rPr>
              <w:t>2025, respectively.</w:t>
            </w: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Series B preferred shares, no par value; 7,524 shares issued and outstanding at March 31, 2026 and December 31,</w:t>
            </w:r>
          </w:p>
        </w:tc>
        <w:tc>
          <w:tcPr>
            <w:tcW w:w="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177,771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177,771</w:t>
            </w:r>
          </w:p>
        </w:tc>
        <w:tc>
          <w:tcPr>
            <w:tcW w:w="0" w:type="dxa"/>
            <w:vAlign w:val="bottom"/>
          </w:tcPr>
          <w:p>
            <w:pPr>
              <w:spacing w:after="0"/>
              <w:rPr>
                <w:sz w:val="1"/>
                <w:szCs w:val="1"/>
                <w:color w:val="auto"/>
              </w:rPr>
            </w:pPr>
          </w:p>
        </w:tc>
      </w:tr>
      <w:tr>
        <w:trPr>
          <w:trHeight w:val="18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2025, respectively.</w:t>
            </w:r>
          </w:p>
        </w:tc>
        <w:tc>
          <w:tcPr>
            <w:tcW w:w="2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Series C preferred shares, no par value; 7,907 shares issued and outstanding at March 31, 2026 and December 31,</w:t>
            </w:r>
          </w:p>
        </w:tc>
        <w:tc>
          <w:tcPr>
            <w:tcW w:w="2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188,049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188,049</w:t>
            </w:r>
          </w:p>
        </w:tc>
        <w:tc>
          <w:tcPr>
            <w:tcW w:w="0" w:type="dxa"/>
            <w:vAlign w:val="bottom"/>
          </w:tcPr>
          <w:p>
            <w:pPr>
              <w:spacing w:after="0"/>
              <w:rPr>
                <w:sz w:val="1"/>
                <w:szCs w:val="1"/>
                <w:color w:val="auto"/>
              </w:rPr>
            </w:pPr>
          </w:p>
        </w:tc>
      </w:tr>
      <w:tr>
        <w:trPr>
          <w:trHeight w:val="189"/>
        </w:trPr>
        <w:tc>
          <w:tcPr>
            <w:tcW w:w="7720" w:type="dxa"/>
            <w:vAlign w:val="bottom"/>
            <w:gridSpan w:val="2"/>
          </w:tcPr>
          <w:p>
            <w:pPr>
              <w:ind w:left="140"/>
              <w:spacing w:after="0"/>
              <w:rPr>
                <w:sz w:val="20"/>
                <w:szCs w:val="20"/>
                <w:color w:val="auto"/>
              </w:rPr>
            </w:pPr>
            <w:r>
              <w:rPr>
                <w:rFonts w:ascii="Arial" w:cs="Arial" w:eastAsia="Arial" w:hAnsi="Arial"/>
                <w:sz w:val="14"/>
                <w:szCs w:val="14"/>
                <w:color w:val="auto"/>
              </w:rPr>
              <w:t>2025, respectively.</w:t>
            </w: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Trust common shares, no par value, 500,000</w:t>
            </w:r>
          </w:p>
        </w:tc>
        <w:tc>
          <w:tcPr>
            <w:tcW w:w="47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shd w:val="clear" w:color="auto" w:fill="CCEEFF"/>
              </w:rPr>
              <w:t>authorized; 76,135 shares issued and 75,236 shares outstanding at</w:t>
            </w: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March 31, 2026 and December 31, 2025, respectively.</w:t>
            </w:r>
          </w:p>
        </w:tc>
        <w:tc>
          <w:tcPr>
            <w:tcW w:w="2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1,288,951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1,288,951</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Treasury shares, at cost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(18,910)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(18,910)</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(1,347,058)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(1,306,585)</w:t>
            </w:r>
          </w:p>
        </w:tc>
        <w:tc>
          <w:tcPr>
            <w:tcW w:w="0" w:type="dxa"/>
            <w:vAlign w:val="bottom"/>
          </w:tcPr>
          <w:p>
            <w:pPr>
              <w:spacing w:after="0"/>
              <w:rPr>
                <w:sz w:val="1"/>
                <w:szCs w:val="1"/>
                <w:color w:val="auto"/>
              </w:rPr>
            </w:pPr>
          </w:p>
        </w:tc>
      </w:tr>
      <w:tr>
        <w:trPr>
          <w:trHeight w:val="200"/>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stockholders’ equity attributable to Holdings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442,024</w:t>
            </w:r>
          </w:p>
        </w:tc>
        <w:tc>
          <w:tcPr>
            <w:tcW w:w="0" w:type="dxa"/>
            <w:vAlign w:val="bottom"/>
          </w:tcPr>
          <w:p>
            <w:pPr>
              <w:spacing w:after="0"/>
              <w:rPr>
                <w:sz w:val="1"/>
                <w:szCs w:val="1"/>
                <w:color w:val="auto"/>
              </w:rPr>
            </w:pP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128,396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131,639</w:t>
            </w:r>
          </w:p>
        </w:tc>
        <w:tc>
          <w:tcPr>
            <w:tcW w:w="0" w:type="dxa"/>
            <w:vAlign w:val="bottom"/>
          </w:tcPr>
          <w:p>
            <w:pPr>
              <w:spacing w:after="0"/>
              <w:rPr>
                <w:sz w:val="1"/>
                <w:szCs w:val="1"/>
                <w:color w:val="auto"/>
              </w:rPr>
            </w:pP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 held for sale</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530,396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573,663</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2,963,844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3,039,184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11" w:lineRule="exact"/>
        <w:rPr>
          <w:sz w:val="20"/>
          <w:szCs w:val="20"/>
          <w:color w:val="auto"/>
        </w:rPr>
      </w:pPr>
    </w:p>
    <w:p>
      <w:pPr>
        <w:ind w:left="7180"/>
        <w:spacing w:after="0"/>
        <w:rPr>
          <w:sz w:val="20"/>
          <w:szCs w:val="20"/>
          <w:color w:val="auto"/>
        </w:rPr>
      </w:pPr>
      <w:r>
        <w:rPr>
          <w:rFonts w:ascii="Arial" w:cs="Arial" w:eastAsia="Arial" w:hAnsi="Arial"/>
          <w:sz w:val="15"/>
          <w:szCs w:val="15"/>
          <w:b w:val="1"/>
          <w:bCs w:val="1"/>
          <w:color w:val="auto"/>
        </w:rPr>
        <w:t>Three months ended</w:t>
      </w:r>
    </w:p>
    <w:tbl>
      <w:tblPr>
        <w:tblLayout w:type="fixed"/>
        <w:tblInd w:w="0" w:type="dxa"/>
        <w:tblCellMar>
          <w:top w:w="0" w:type="dxa"/>
          <w:left w:w="0" w:type="dxa"/>
          <w:bottom w:w="0" w:type="dxa"/>
          <w:right w:w="0" w:type="dxa"/>
        </w:tblCellMar>
      </w:tblPr>
      <w:tr>
        <w:trPr>
          <w:trHeight w:val="206"/>
        </w:trPr>
        <w:tc>
          <w:tcPr>
            <w:tcW w:w="6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r>
      <w:tr>
        <w:trPr>
          <w:trHeight w:val="196"/>
        </w:trPr>
        <w:tc>
          <w:tcPr>
            <w:tcW w:w="6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426,855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453,775</w:t>
            </w:r>
          </w:p>
        </w:tc>
      </w:tr>
      <w:tr>
        <w:trPr>
          <w:trHeight w:val="201"/>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237,497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257,743</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189,358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196,032</w:t>
            </w:r>
          </w:p>
        </w:tc>
      </w:tr>
      <w:tr>
        <w:trPr>
          <w:trHeight w:val="201"/>
        </w:trPr>
        <w:tc>
          <w:tcPr>
            <w:tcW w:w="646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6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Selling, general and administrative expense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132,010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150,377</w:t>
            </w:r>
          </w:p>
        </w:tc>
      </w:tr>
      <w:tr>
        <w:trPr>
          <w:trHeight w:val="201"/>
        </w:trPr>
        <w:tc>
          <w:tcPr>
            <w:tcW w:w="6460" w:type="dxa"/>
            <w:vAlign w:val="bottom"/>
          </w:tcPr>
          <w:p>
            <w:pPr>
              <w:ind w:left="340"/>
              <w:spacing w:after="0"/>
              <w:rPr>
                <w:sz w:val="20"/>
                <w:szCs w:val="20"/>
                <w:color w:val="auto"/>
              </w:rPr>
            </w:pPr>
            <w:r>
              <w:rPr>
                <w:rFonts w:ascii="Arial" w:cs="Arial" w:eastAsia="Arial" w:hAnsi="Arial"/>
                <w:sz w:val="15"/>
                <w:szCs w:val="15"/>
                <w:color w:val="auto"/>
              </w:rPr>
              <w:t>Management fees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15,934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18,863</w:t>
            </w:r>
          </w:p>
        </w:tc>
      </w:tr>
      <w:tr>
        <w:trPr>
          <w:trHeight w:val="204"/>
        </w:trPr>
        <w:tc>
          <w:tcPr>
            <w:tcW w:w="6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expense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22,844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23,351</w:t>
            </w:r>
          </w:p>
        </w:tc>
      </w:tr>
      <w:tr>
        <w:trPr>
          <w:trHeight w:val="201"/>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Impairment expense</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20,500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(loss)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3,441</w:t>
            </w:r>
          </w:p>
        </w:tc>
      </w:tr>
      <w:tr>
        <w:trPr>
          <w:trHeight w:val="201"/>
        </w:trPr>
        <w:tc>
          <w:tcPr>
            <w:tcW w:w="646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6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Interest expense, net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(27,495)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(35,851)</w:t>
            </w:r>
          </w:p>
        </w:tc>
      </w:tr>
      <w:tr>
        <w:trPr>
          <w:trHeight w:val="201"/>
        </w:trPr>
        <w:tc>
          <w:tcPr>
            <w:tcW w:w="6460" w:type="dxa"/>
            <w:vAlign w:val="bottom"/>
          </w:tcPr>
          <w:p>
            <w:pPr>
              <w:ind w:left="340"/>
              <w:spacing w:after="0"/>
              <w:rPr>
                <w:sz w:val="20"/>
                <w:szCs w:val="20"/>
                <w:color w:val="auto"/>
              </w:rPr>
            </w:pPr>
            <w:r>
              <w:rPr>
                <w:rFonts w:ascii="Arial" w:cs="Arial" w:eastAsia="Arial" w:hAnsi="Arial"/>
                <w:sz w:val="15"/>
                <w:szCs w:val="15"/>
                <w:color w:val="auto"/>
              </w:rPr>
              <w:t>Amortization of debt issuance costs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(1,125)</w:t>
            </w:r>
          </w:p>
        </w:tc>
      </w:tr>
      <w:tr>
        <w:trPr>
          <w:trHeight w:val="204"/>
        </w:trPr>
        <w:tc>
          <w:tcPr>
            <w:tcW w:w="6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income (expense), net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7,705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(13,681)</w:t>
            </w:r>
          </w:p>
        </w:tc>
      </w:tr>
      <w:tr>
        <w:trPr>
          <w:trHeight w:val="195"/>
        </w:trPr>
        <w:tc>
          <w:tcPr>
            <w:tcW w:w="6460" w:type="dxa"/>
            <w:vAlign w:val="bottom"/>
          </w:tcPr>
          <w:p>
            <w:pPr>
              <w:ind w:left="20"/>
              <w:spacing w:after="0"/>
              <w:rPr>
                <w:sz w:val="20"/>
                <w:szCs w:val="20"/>
                <w:color w:val="auto"/>
              </w:rPr>
            </w:pPr>
            <w:r>
              <w:rPr>
                <w:rFonts w:ascii="Arial" w:cs="Arial" w:eastAsia="Arial" w:hAnsi="Arial"/>
                <w:sz w:val="15"/>
                <w:szCs w:val="15"/>
                <w:b w:val="1"/>
                <w:bCs w:val="1"/>
                <w:color w:val="auto"/>
              </w:rPr>
              <w:t>Loss from continuing operations before income taxes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(23,767)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(47,216)</w:t>
            </w:r>
          </w:p>
        </w:tc>
      </w:tr>
      <w:tr>
        <w:trPr>
          <w:trHeight w:val="204"/>
        </w:trPr>
        <w:tc>
          <w:tcPr>
            <w:tcW w:w="6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Provision for income taxes</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7,064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2,538</w:t>
            </w:r>
          </w:p>
        </w:tc>
      </w:tr>
      <w:tr>
        <w:trPr>
          <w:trHeight w:val="195"/>
        </w:trPr>
        <w:tc>
          <w:tcPr>
            <w:tcW w:w="6460" w:type="dxa"/>
            <w:vAlign w:val="bottom"/>
          </w:tcPr>
          <w:p>
            <w:pPr>
              <w:ind w:left="20"/>
              <w:spacing w:after="0"/>
              <w:rPr>
                <w:sz w:val="20"/>
                <w:szCs w:val="20"/>
                <w:color w:val="auto"/>
              </w:rPr>
            </w:pPr>
            <w:r>
              <w:rPr>
                <w:rFonts w:ascii="Arial" w:cs="Arial" w:eastAsia="Arial" w:hAnsi="Arial"/>
                <w:sz w:val="15"/>
                <w:szCs w:val="15"/>
                <w:b w:val="1"/>
                <w:bCs w:val="1"/>
                <w:color w:val="auto"/>
              </w:rPr>
              <w:t>Loss from continuing operations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(30,831)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(49,754)</w:t>
            </w:r>
          </w:p>
        </w:tc>
      </w:tr>
      <w:tr>
        <w:trPr>
          <w:trHeight w:val="204"/>
        </w:trPr>
        <w:tc>
          <w:tcPr>
            <w:tcW w:w="6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Gain on sale of discontinued operations, net of income taxes</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w:t>
            </w:r>
          </w:p>
        </w:tc>
      </w:tr>
      <w:tr>
        <w:trPr>
          <w:trHeight w:val="195"/>
        </w:trPr>
        <w:tc>
          <w:tcPr>
            <w:tcW w:w="6460" w:type="dxa"/>
            <w:vAlign w:val="bottom"/>
          </w:tcPr>
          <w:p>
            <w:pPr>
              <w:ind w:left="20"/>
              <w:spacing w:after="0"/>
              <w:rPr>
                <w:sz w:val="20"/>
                <w:szCs w:val="20"/>
                <w:color w:val="auto"/>
              </w:rPr>
            </w:pPr>
            <w:r>
              <w:rPr>
                <w:rFonts w:ascii="Arial" w:cs="Arial" w:eastAsia="Arial" w:hAnsi="Arial"/>
                <w:sz w:val="15"/>
                <w:szCs w:val="15"/>
                <w:b w:val="1"/>
                <w:bCs w:val="1"/>
                <w:color w:val="auto"/>
              </w:rPr>
              <w:t>Net loss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(30,674)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(49,710)</w:t>
            </w:r>
          </w:p>
        </w:tc>
      </w:tr>
      <w:tr>
        <w:trPr>
          <w:trHeight w:val="204"/>
        </w:trPr>
        <w:tc>
          <w:tcPr>
            <w:tcW w:w="6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Net income (loss) from continuing operations attributable to noncontrolling interest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(19,717)</w:t>
            </w:r>
          </w:p>
        </w:tc>
      </w:tr>
      <w:tr>
        <w:trPr>
          <w:trHeight w:val="196"/>
        </w:trPr>
        <w:tc>
          <w:tcPr>
            <w:tcW w:w="6460" w:type="dxa"/>
            <w:vAlign w:val="bottom"/>
          </w:tcPr>
          <w:p>
            <w:pPr>
              <w:ind w:left="20"/>
              <w:spacing w:after="0"/>
              <w:rPr>
                <w:sz w:val="20"/>
                <w:szCs w:val="20"/>
                <w:color w:val="auto"/>
              </w:rPr>
            </w:pPr>
            <w:r>
              <w:rPr>
                <w:rFonts w:ascii="Arial" w:cs="Arial" w:eastAsia="Arial" w:hAnsi="Arial"/>
                <w:sz w:val="15"/>
                <w:szCs w:val="15"/>
                <w:b w:val="1"/>
                <w:bCs w:val="1"/>
                <w:color w:val="auto"/>
              </w:rPr>
              <w:t>Net loss attributable to Holdings</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(30,759)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(29,993)</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5"/>
        </w:trPr>
        <w:tc>
          <w:tcPr>
            <w:tcW w:w="6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03"/>
        </w:trPr>
        <w:tc>
          <w:tcPr>
            <w:tcW w:w="646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Holdings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Loss from continuing operations</w:t>
            </w:r>
          </w:p>
        </w:tc>
        <w:tc>
          <w:tcPr>
            <w:tcW w:w="4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(30,037)</w:t>
            </w:r>
          </w:p>
        </w:tc>
      </w:tr>
      <w:tr>
        <w:trPr>
          <w:trHeight w:val="201"/>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Gain on sale of discontinued operations, net of income tax</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44</w:t>
            </w:r>
          </w:p>
        </w:tc>
      </w:tr>
      <w:tr>
        <w:trPr>
          <w:trHeight w:val="221"/>
        </w:trPr>
        <w:tc>
          <w:tcPr>
            <w:tcW w:w="6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Net loss attributable to Holdings</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(30,759)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(29,993)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43"/>
        </w:trPr>
        <w:tc>
          <w:tcPr>
            <w:tcW w:w="6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Basic income (loss) per common share attributable to Holdings (refer to Note H)</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1"/>
        </w:trPr>
        <w:tc>
          <w:tcPr>
            <w:tcW w:w="6460" w:type="dxa"/>
            <w:vAlign w:val="bottom"/>
          </w:tcPr>
          <w:p>
            <w:pPr>
              <w:ind w:left="20"/>
              <w:spacing w:after="0"/>
              <w:rPr>
                <w:sz w:val="20"/>
                <w:szCs w:val="20"/>
                <w:color w:val="auto"/>
              </w:rPr>
            </w:pPr>
            <w:r>
              <w:rPr>
                <w:rFonts w:ascii="Arial" w:cs="Arial" w:eastAsia="Arial" w:hAnsi="Arial"/>
                <w:sz w:val="15"/>
                <w:szCs w:val="15"/>
                <w:color w:val="auto"/>
              </w:rPr>
              <w:t>Continuing operations</w:t>
            </w:r>
          </w:p>
        </w:tc>
        <w:tc>
          <w:tcPr>
            <w:tcW w:w="40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(0.62)</w:t>
            </w:r>
          </w:p>
        </w:tc>
        <w:tc>
          <w:tcPr>
            <w:tcW w:w="100" w:type="dxa"/>
            <w:vAlign w:val="bottom"/>
          </w:tcPr>
          <w:p>
            <w:pPr>
              <w:spacing w:after="0"/>
              <w:rPr>
                <w:sz w:val="17"/>
                <w:szCs w:val="17"/>
                <w:color w:val="auto"/>
              </w:rPr>
            </w:pP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(0.59)</w:t>
            </w:r>
          </w:p>
        </w:tc>
      </w:tr>
      <w:tr>
        <w:trPr>
          <w:trHeight w:val="201"/>
        </w:trPr>
        <w:tc>
          <w:tcPr>
            <w:tcW w:w="6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Discontinued operations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23"/>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Basic loss per common share attributable to Holdings (refer to Note H)</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2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75,236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75,236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distributions declared per Trust common share (refer to Note H)</w:t>
            </w:r>
          </w:p>
        </w:tc>
        <w:tc>
          <w:tcPr>
            <w:tcW w:w="4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0.25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111125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40"/>
          </w:cols>
          <w:pgMar w:left="1280" w:top="895" w:right="1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54"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Three months ended</w:t>
      </w:r>
    </w:p>
    <w:tbl>
      <w:tblPr>
        <w:tblLayout w:type="fixed"/>
        <w:tblInd w:w="300" w:type="dxa"/>
        <w:tblCellMar>
          <w:top w:w="0" w:type="dxa"/>
          <w:left w:w="0" w:type="dxa"/>
          <w:bottom w:w="0" w:type="dxa"/>
          <w:right w:w="0" w:type="dxa"/>
        </w:tblCellMar>
      </w:tblPr>
      <w:tr>
        <w:trPr>
          <w:trHeight w:val="206"/>
        </w:trPr>
        <w:tc>
          <w:tcPr>
            <w:tcW w:w="5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5"/>
                <w:szCs w:val="15"/>
                <w:b w:val="1"/>
                <w:bCs w:val="1"/>
                <w:color w:val="auto"/>
              </w:rPr>
              <w:t>March 31,</w:t>
            </w:r>
          </w:p>
        </w:tc>
        <w:tc>
          <w:tcPr>
            <w:tcW w:w="92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r>
      <w:tr>
        <w:trPr>
          <w:trHeight w:val="196"/>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(30,674)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(49,710)</w:t>
            </w:r>
          </w:p>
        </w:tc>
      </w:tr>
      <w:tr>
        <w:trPr>
          <w:trHeight w:val="201"/>
        </w:trPr>
        <w:tc>
          <w:tcPr>
            <w:tcW w:w="564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4"/>
        </w:trPr>
        <w:tc>
          <w:tcPr>
            <w:tcW w:w="5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Foreign currency translation adjustments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r>
      <w:tr>
        <w:trPr>
          <w:trHeight w:val="201"/>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Pension benefit liability, net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1,494</w:t>
            </w:r>
          </w:p>
        </w:tc>
      </w:tr>
      <w:tr>
        <w:trPr>
          <w:trHeight w:val="197"/>
        </w:trPr>
        <w:tc>
          <w:tcPr>
            <w:tcW w:w="5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1,250</w:t>
            </w:r>
          </w:p>
        </w:tc>
      </w:tr>
      <w:tr>
        <w:trPr>
          <w:trHeight w:val="195"/>
        </w:trPr>
        <w:tc>
          <w:tcPr>
            <w:tcW w:w="5640" w:type="dxa"/>
            <w:vAlign w:val="bottom"/>
          </w:tcPr>
          <w:p>
            <w:pPr>
              <w:ind w:left="20"/>
              <w:spacing w:after="0"/>
              <w:rPr>
                <w:sz w:val="20"/>
                <w:szCs w:val="20"/>
                <w:color w:val="auto"/>
              </w:rPr>
            </w:pPr>
            <w:r>
              <w:rPr>
                <w:rFonts w:ascii="Arial" w:cs="Arial" w:eastAsia="Arial" w:hAnsi="Arial"/>
                <w:sz w:val="15"/>
                <w:szCs w:val="15"/>
                <w:color w:val="auto"/>
              </w:rPr>
              <w:t>Total comprehensive loss, net of tax</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(31,520)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(48,460)</w:t>
            </w:r>
          </w:p>
        </w:tc>
      </w:tr>
      <w:tr>
        <w:trPr>
          <w:trHeight w:val="204"/>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Net income (loss) attributable to noncontrolling interests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ind w:left="780"/>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(19,717)</w:t>
            </w:r>
          </w:p>
        </w:tc>
      </w:tr>
      <w:tr>
        <w:trPr>
          <w:trHeight w:val="201"/>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Other comprehensive loss attributable to noncontrolling interests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w:t>
            </w:r>
          </w:p>
        </w:tc>
      </w:tr>
      <w:tr>
        <w:trPr>
          <w:trHeight w:val="22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loss attributable to Holdings, net of tax</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(31,586)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(28,397)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125730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3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2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Trust Preferred Shares</w:t>
            </w:r>
          </w:p>
        </w:tc>
        <w:tc>
          <w:tcPr>
            <w:tcW w:w="8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240" w:type="dxa"/>
            <w:vAlign w:val="bottom"/>
            <w:tcBorders>
              <w:bottom w:val="single" w:sz="8" w:color="auto"/>
            </w:tcBorders>
            <w:gridSpan w:val="5"/>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Trust</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720" w:type="dxa"/>
            <w:vAlign w:val="bottom"/>
            <w:gridSpan w:val="2"/>
          </w:tcPr>
          <w:p>
            <w:pPr>
              <w:ind w:left="120"/>
              <w:spacing w:after="0" w:line="115"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0"/>
                <w:szCs w:val="10"/>
                <w:color w:val="auto"/>
              </w:rPr>
            </w:pPr>
          </w:p>
        </w:tc>
        <w:tc>
          <w:tcPr>
            <w:tcW w:w="80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0"/>
                <w:szCs w:val="10"/>
                <w:color w:val="auto"/>
              </w:rPr>
            </w:pPr>
          </w:p>
        </w:tc>
        <w:tc>
          <w:tcPr>
            <w:tcW w:w="800" w:type="dxa"/>
            <w:vAlign w:val="bottom"/>
            <w:gridSpan w:val="2"/>
          </w:tcPr>
          <w:p>
            <w:pPr>
              <w:ind w:left="120"/>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 A</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Series B</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88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rPr>
              <w:t>Common</w:t>
            </w:r>
          </w:p>
        </w:tc>
        <w:tc>
          <w:tcPr>
            <w:tcW w:w="78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Treasury</w:t>
            </w:r>
          </w:p>
        </w:tc>
        <w:tc>
          <w:tcPr>
            <w:tcW w:w="98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Attributable</w:t>
            </w:r>
          </w:p>
        </w:tc>
        <w:tc>
          <w:tcPr>
            <w:tcW w:w="84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Controlling</w:t>
            </w: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rPr>
              <w:t>Held for</w:t>
            </w:r>
          </w:p>
        </w:tc>
        <w:tc>
          <w:tcPr>
            <w:tcW w:w="98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Shares</w:t>
            </w:r>
          </w:p>
        </w:tc>
        <w:tc>
          <w:tcPr>
            <w:tcW w:w="9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rPr>
              <w:t>Deficit</w:t>
            </w: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rPr>
              <w:t>Income (Loss)</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to Holdings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Interest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rPr>
              <w:t>Sale</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13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Balance —</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$ 109,159</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$ 147,906</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$ 161,767</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$1,289,010</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(1,004,975)</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678,620</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(148,046)</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530,574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January 1, 2025</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(29,993)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(19,717)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(49,710)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net</w:t>
            </w:r>
          </w:p>
        </w:tc>
        <w:tc>
          <w:tcPr>
            <w:tcW w:w="7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2,748</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29,206</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26,183</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58,137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7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Effect of subsidiary</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7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(4,665)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7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Common</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(18,809)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(18,809)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(18,809)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3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 March</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w w:val="96"/>
              </w:rPr>
              <w:t>$ 111,907</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$ 177,112</w:t>
            </w:r>
          </w:p>
        </w:tc>
        <w:tc>
          <w:tcPr>
            <w:tcW w:w="8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w w:val="96"/>
              </w:rPr>
              <w:t>$ 187,950</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$1,288,975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(18,910)</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(1,062,211)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(4,087)</w:t>
            </w:r>
          </w:p>
        </w:tc>
        <w:tc>
          <w:tcPr>
            <w:tcW w:w="8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680,736</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(167,091)</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513,645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31, 2025</w:t>
            </w: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Balance —</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$ 112,010</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$ 177,771</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$ 188,049</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$1,288,951</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(1,306,585)</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738</w:t>
            </w:r>
          </w:p>
        </w:tc>
        <w:tc>
          <w:tcPr>
            <w:tcW w:w="8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442,024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130,627</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1,012</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573,663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January 1, 2026</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(30,759)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(30,759)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(30,674)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net</w:t>
            </w:r>
          </w:p>
        </w:tc>
        <w:tc>
          <w:tcPr>
            <w:tcW w:w="7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Effect of subsidiary</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7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(9,456)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(9,456)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7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(9,714)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(9,714)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(9,714)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3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Balance — March</w:t>
            </w:r>
          </w:p>
        </w:tc>
        <w:tc>
          <w:tcPr>
            <w:tcW w:w="7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$ 112,010</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$ 177,771</w:t>
            </w: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$ 188,049</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$1,288,951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(1,347,058)</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400,705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128,396</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1,295</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530,396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32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31, 2026</w:t>
            </w: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468"/>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 w:name="page11"/>
    <w:bookmarkEnd w:id="10"/>
    <w:p>
      <w:pPr>
        <w:jc w:val="center"/>
        <w:ind w:right="159"/>
        <w:spacing w:after="0" w:line="399" w:lineRule="auto"/>
        <w:rPr>
          <w:sz w:val="20"/>
          <w:szCs w:val="20"/>
          <w:color w:val="auto"/>
        </w:rPr>
      </w:pPr>
      <w:r>
        <w:rPr>
          <w:rFonts w:ascii="Arial" w:cs="Arial" w:eastAsia="Arial" w:hAnsi="Arial"/>
          <w:sz w:val="16"/>
          <w:szCs w:val="16"/>
          <w:b w:val="1"/>
          <w:bCs w:val="1"/>
          <w:color w:val="auto"/>
        </w:rPr>
        <w:t>COMPASS DIVERSIFIED HOLDINGS CONDENSED CONSOLIDATED STATEMENTS OF CASH FLOWS (Unaudited)</w:t>
      </w:r>
    </w:p>
    <w:p>
      <w:pPr>
        <w:spacing w:after="0" w:line="200" w:lineRule="exact"/>
        <w:rPr>
          <w:sz w:val="20"/>
          <w:szCs w:val="20"/>
          <w:color w:val="auto"/>
        </w:rPr>
      </w:pPr>
    </w:p>
    <w:p>
      <w:pPr>
        <w:spacing w:after="0" w:line="222" w:lineRule="exact"/>
        <w:rPr>
          <w:sz w:val="20"/>
          <w:szCs w:val="20"/>
          <w:color w:val="auto"/>
        </w:rPr>
      </w:pPr>
    </w:p>
    <w:p>
      <w:pPr>
        <w:ind w:left="6340"/>
        <w:spacing w:after="0"/>
        <w:rPr>
          <w:sz w:val="20"/>
          <w:szCs w:val="20"/>
          <w:color w:val="auto"/>
        </w:rPr>
      </w:pPr>
      <w:r>
        <w:rPr>
          <w:rFonts w:ascii="Arial" w:cs="Arial" w:eastAsia="Arial" w:hAnsi="Arial"/>
          <w:sz w:val="15"/>
          <w:szCs w:val="15"/>
          <w:b w:val="1"/>
          <w:bCs w:val="1"/>
          <w:color w:val="auto"/>
        </w:rPr>
        <w:t>Three months ended March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2026</w:t>
            </w:r>
          </w:p>
        </w:tc>
        <w:tc>
          <w:tcPr>
            <w:tcW w:w="14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Net loss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(30,674)</w:t>
            </w:r>
          </w:p>
        </w:tc>
        <w:tc>
          <w:tcPr>
            <w:tcW w:w="140" w:type="dxa"/>
            <w:vAlign w:val="bottom"/>
          </w:tcPr>
          <w:p>
            <w:pPr>
              <w:spacing w:after="0"/>
              <w:rPr>
                <w:sz w:val="23"/>
                <w:szCs w:val="23"/>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(49,710)</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Gain on sale of 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157</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50"/>
        </w:trPr>
        <w:tc>
          <w:tcPr>
            <w:tcW w:w="6020" w:type="dxa"/>
            <w:vAlign w:val="bottom"/>
          </w:tcPr>
          <w:p>
            <w:pPr>
              <w:ind w:left="140"/>
              <w:spacing w:after="0"/>
              <w:rPr>
                <w:sz w:val="20"/>
                <w:szCs w:val="20"/>
                <w:color w:val="auto"/>
              </w:rPr>
            </w:pPr>
            <w:r>
              <w:rPr>
                <w:rFonts w:ascii="Arial" w:cs="Arial" w:eastAsia="Arial" w:hAnsi="Arial"/>
                <w:sz w:val="15"/>
                <w:szCs w:val="15"/>
                <w:color w:val="auto"/>
              </w:rPr>
              <w:t>Loss from continuing operations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(30,831)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(49,754)</w:t>
            </w:r>
          </w:p>
        </w:tc>
        <w:tc>
          <w:tcPr>
            <w:tcW w:w="0" w:type="dxa"/>
            <w:vAlign w:val="bottom"/>
          </w:tcPr>
          <w:p>
            <w:pPr>
              <w:spacing w:after="0"/>
              <w:rPr>
                <w:sz w:val="1"/>
                <w:szCs w:val="1"/>
                <w:color w:val="auto"/>
              </w:rPr>
            </w:pPr>
          </w:p>
        </w:tc>
      </w:tr>
      <w:tr>
        <w:trPr>
          <w:trHeight w:val="259"/>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6020" w:type="dxa"/>
            <w:vAlign w:val="bottom"/>
          </w:tcPr>
          <w:p>
            <w:pPr>
              <w:ind w:left="460"/>
              <w:spacing w:after="0"/>
              <w:rPr>
                <w:sz w:val="20"/>
                <w:szCs w:val="20"/>
                <w:color w:val="auto"/>
              </w:rPr>
            </w:pPr>
            <w:r>
              <w:rPr>
                <w:rFonts w:ascii="Arial" w:cs="Arial" w:eastAsia="Arial" w:hAnsi="Arial"/>
                <w:sz w:val="15"/>
                <w:szCs w:val="15"/>
                <w:color w:val="auto"/>
              </w:rPr>
              <w:t>Depreciation expense</w:t>
            </w:r>
          </w:p>
        </w:tc>
        <w:tc>
          <w:tcPr>
            <w:tcW w:w="30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11,902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12,301</w:t>
            </w:r>
          </w:p>
        </w:tc>
        <w:tc>
          <w:tcPr>
            <w:tcW w:w="0" w:type="dxa"/>
            <w:vAlign w:val="bottom"/>
          </w:tcPr>
          <w:p>
            <w:pPr>
              <w:spacing w:after="0"/>
              <w:rPr>
                <w:sz w:val="1"/>
                <w:szCs w:val="1"/>
                <w:color w:val="auto"/>
              </w:rPr>
            </w:pPr>
          </w:p>
        </w:tc>
      </w:tr>
      <w:tr>
        <w:trPr>
          <w:trHeight w:val="273"/>
        </w:trPr>
        <w:tc>
          <w:tcPr>
            <w:tcW w:w="6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expense - intangibles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22,844</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23,351</w:t>
            </w:r>
          </w:p>
        </w:tc>
        <w:tc>
          <w:tcPr>
            <w:tcW w:w="0" w:type="dxa"/>
            <w:vAlign w:val="bottom"/>
          </w:tcPr>
          <w:p>
            <w:pPr>
              <w:spacing w:after="0"/>
              <w:rPr>
                <w:sz w:val="1"/>
                <w:szCs w:val="1"/>
                <w:color w:val="auto"/>
              </w:rPr>
            </w:pPr>
          </w:p>
        </w:tc>
      </w:tr>
      <w:tr>
        <w:trPr>
          <w:trHeight w:val="267"/>
        </w:trPr>
        <w:tc>
          <w:tcPr>
            <w:tcW w:w="6020" w:type="dxa"/>
            <w:vAlign w:val="bottom"/>
          </w:tcPr>
          <w:p>
            <w:pPr>
              <w:ind w:left="460"/>
              <w:spacing w:after="0"/>
              <w:rPr>
                <w:sz w:val="20"/>
                <w:szCs w:val="20"/>
                <w:color w:val="auto"/>
              </w:rPr>
            </w:pPr>
            <w:r>
              <w:rPr>
                <w:rFonts w:ascii="Arial" w:cs="Arial" w:eastAsia="Arial" w:hAnsi="Arial"/>
                <w:sz w:val="15"/>
                <w:szCs w:val="15"/>
                <w:color w:val="auto"/>
              </w:rPr>
              <w:t>Amortization of debt issuance costs</w:t>
            </w:r>
          </w:p>
        </w:tc>
        <w:tc>
          <w:tcPr>
            <w:tcW w:w="30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2,047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73"/>
        </w:trPr>
        <w:tc>
          <w:tcPr>
            <w:tcW w:w="6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Impairment expense</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20,500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7"/>
        </w:trPr>
        <w:tc>
          <w:tcPr>
            <w:tcW w:w="6020" w:type="dxa"/>
            <w:vAlign w:val="bottom"/>
          </w:tcPr>
          <w:p>
            <w:pPr>
              <w:ind w:left="460"/>
              <w:spacing w:after="0"/>
              <w:rPr>
                <w:sz w:val="20"/>
                <w:szCs w:val="20"/>
                <w:color w:val="auto"/>
              </w:rPr>
            </w:pPr>
            <w:r>
              <w:rPr>
                <w:rFonts w:ascii="Arial" w:cs="Arial" w:eastAsia="Arial" w:hAnsi="Arial"/>
                <w:sz w:val="15"/>
                <w:szCs w:val="15"/>
                <w:color w:val="auto"/>
              </w:rPr>
              <w:t>Noncontrolling stockholder stock based compensation</w:t>
            </w:r>
          </w:p>
        </w:tc>
        <w:tc>
          <w:tcPr>
            <w:tcW w:w="30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2,559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4,012</w:t>
            </w:r>
          </w:p>
        </w:tc>
        <w:tc>
          <w:tcPr>
            <w:tcW w:w="0" w:type="dxa"/>
            <w:vAlign w:val="bottom"/>
          </w:tcPr>
          <w:p>
            <w:pPr>
              <w:spacing w:after="0"/>
              <w:rPr>
                <w:sz w:val="1"/>
                <w:szCs w:val="1"/>
                <w:color w:val="auto"/>
              </w:rPr>
            </w:pPr>
          </w:p>
        </w:tc>
      </w:tr>
      <w:tr>
        <w:trPr>
          <w:trHeight w:val="273"/>
        </w:trPr>
        <w:tc>
          <w:tcPr>
            <w:tcW w:w="6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Provision for receivable and inventory reserves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67"/>
        </w:trPr>
        <w:tc>
          <w:tcPr>
            <w:tcW w:w="6020" w:type="dxa"/>
            <w:vAlign w:val="bottom"/>
          </w:tcPr>
          <w:p>
            <w:pPr>
              <w:ind w:left="460"/>
              <w:spacing w:after="0"/>
              <w:rPr>
                <w:sz w:val="20"/>
                <w:szCs w:val="20"/>
                <w:color w:val="auto"/>
              </w:rPr>
            </w:pPr>
            <w:r>
              <w:rPr>
                <w:rFonts w:ascii="Arial" w:cs="Arial" w:eastAsia="Arial" w:hAnsi="Arial"/>
                <w:sz w:val="15"/>
                <w:szCs w:val="15"/>
                <w:color w:val="auto"/>
              </w:rPr>
              <w:t>Deferred income taxes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(3,543)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(6,874)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Gain on sale-leaseback</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7"/>
        </w:trPr>
        <w:tc>
          <w:tcPr>
            <w:tcW w:w="6020" w:type="dxa"/>
            <w:vAlign w:val="bottom"/>
          </w:tcPr>
          <w:p>
            <w:pPr>
              <w:ind w:left="46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652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 net of acquisitions: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020" w:type="dxa"/>
            <w:vAlign w:val="bottom"/>
          </w:tcPr>
          <w:p>
            <w:pPr>
              <w:ind w:left="460"/>
              <w:spacing w:after="0"/>
              <w:rPr>
                <w:sz w:val="20"/>
                <w:szCs w:val="20"/>
                <w:color w:val="auto"/>
              </w:rPr>
            </w:pPr>
            <w:r>
              <w:rPr>
                <w:rFonts w:ascii="Arial" w:cs="Arial" w:eastAsia="Arial" w:hAnsi="Arial"/>
                <w:sz w:val="15"/>
                <w:szCs w:val="15"/>
                <w:color w:val="auto"/>
              </w:rPr>
              <w:t>Accounts receivable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(2,913)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7,940</w:t>
            </w:r>
          </w:p>
        </w:tc>
        <w:tc>
          <w:tcPr>
            <w:tcW w:w="0" w:type="dxa"/>
            <w:vAlign w:val="bottom"/>
          </w:tcPr>
          <w:p>
            <w:pPr>
              <w:spacing w:after="0"/>
              <w:rPr>
                <w:sz w:val="1"/>
                <w:szCs w:val="1"/>
                <w:color w:val="auto"/>
              </w:rPr>
            </w:pPr>
          </w:p>
        </w:tc>
      </w:tr>
      <w:tr>
        <w:trPr>
          <w:trHeight w:val="273"/>
        </w:trPr>
        <w:tc>
          <w:tcPr>
            <w:tcW w:w="6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Inventories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7,202</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(27,839)</w:t>
            </w:r>
          </w:p>
        </w:tc>
        <w:tc>
          <w:tcPr>
            <w:tcW w:w="0" w:type="dxa"/>
            <w:vAlign w:val="bottom"/>
          </w:tcPr>
          <w:p>
            <w:pPr>
              <w:spacing w:after="0"/>
              <w:rPr>
                <w:sz w:val="1"/>
                <w:szCs w:val="1"/>
                <w:color w:val="auto"/>
              </w:rPr>
            </w:pPr>
          </w:p>
        </w:tc>
      </w:tr>
      <w:tr>
        <w:trPr>
          <w:trHeight w:val="267"/>
        </w:trPr>
        <w:tc>
          <w:tcPr>
            <w:tcW w:w="6020" w:type="dxa"/>
            <w:vAlign w:val="bottom"/>
          </w:tcPr>
          <w:p>
            <w:pPr>
              <w:ind w:left="460"/>
              <w:spacing w:after="0"/>
              <w:rPr>
                <w:sz w:val="20"/>
                <w:szCs w:val="20"/>
                <w:color w:val="auto"/>
              </w:rPr>
            </w:pPr>
            <w:r>
              <w:rPr>
                <w:rFonts w:ascii="Arial" w:cs="Arial" w:eastAsia="Arial" w:hAnsi="Arial"/>
                <w:sz w:val="15"/>
                <w:szCs w:val="15"/>
                <w:color w:val="auto"/>
              </w:rPr>
              <w:t>Other current and non-current assets</w:t>
            </w:r>
          </w:p>
        </w:tc>
        <w:tc>
          <w:tcPr>
            <w:tcW w:w="30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13,035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5,768</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Accounts payable and accrued expenses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(9,604)</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1,560</w:t>
            </w:r>
          </w:p>
        </w:tc>
        <w:tc>
          <w:tcPr>
            <w:tcW w:w="0" w:type="dxa"/>
            <w:vAlign w:val="bottom"/>
          </w:tcPr>
          <w:p>
            <w:pPr>
              <w:spacing w:after="0"/>
              <w:rPr>
                <w:sz w:val="1"/>
                <w:szCs w:val="1"/>
                <w:color w:val="auto"/>
              </w:rPr>
            </w:pPr>
          </w:p>
        </w:tc>
      </w:tr>
      <w:tr>
        <w:trPr>
          <w:trHeight w:val="250"/>
        </w:trPr>
        <w:tc>
          <w:tcPr>
            <w:tcW w:w="6020" w:type="dxa"/>
            <w:vAlign w:val="bottom"/>
          </w:tcPr>
          <w:p>
            <w:pPr>
              <w:ind w:left="660"/>
              <w:spacing w:after="0"/>
              <w:rPr>
                <w:sz w:val="20"/>
                <w:szCs w:val="20"/>
                <w:color w:val="auto"/>
              </w:rPr>
            </w:pPr>
            <w:r>
              <w:rPr>
                <w:rFonts w:ascii="Arial" w:cs="Arial" w:eastAsia="Arial" w:hAnsi="Arial"/>
                <w:sz w:val="15"/>
                <w:szCs w:val="15"/>
                <w:color w:val="auto"/>
              </w:rPr>
              <w:t>Cash provided by (used in) operating activities</w:t>
            </w:r>
          </w:p>
        </w:tc>
        <w:tc>
          <w:tcPr>
            <w:tcW w:w="30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23,914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(29,348)</w:t>
            </w:r>
          </w:p>
        </w:tc>
        <w:tc>
          <w:tcPr>
            <w:tcW w:w="0" w:type="dxa"/>
            <w:vAlign w:val="bottom"/>
          </w:tcPr>
          <w:p>
            <w:pPr>
              <w:spacing w:after="0"/>
              <w:rPr>
                <w:sz w:val="1"/>
                <w:szCs w:val="1"/>
                <w:color w:val="auto"/>
              </w:rPr>
            </w:pPr>
          </w:p>
        </w:tc>
      </w:tr>
      <w:tr>
        <w:trPr>
          <w:trHeight w:val="25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020" w:type="dxa"/>
            <w:vAlign w:val="bottom"/>
          </w:tcPr>
          <w:p>
            <w:pPr>
              <w:ind w:left="140"/>
              <w:spacing w:after="0"/>
              <w:rPr>
                <w:sz w:val="20"/>
                <w:szCs w:val="20"/>
                <w:color w:val="auto"/>
              </w:rPr>
            </w:pPr>
            <w:r>
              <w:rPr>
                <w:rFonts w:ascii="Arial" w:cs="Arial" w:eastAsia="Arial" w:hAnsi="Arial"/>
                <w:sz w:val="15"/>
                <w:szCs w:val="15"/>
                <w:color w:val="auto"/>
              </w:rPr>
              <w:t>Acquisitions, net of cash acquired</w:t>
            </w:r>
          </w:p>
        </w:tc>
        <w:tc>
          <w:tcPr>
            <w:tcW w:w="300" w:type="dxa"/>
            <w:vAlign w:val="bottom"/>
          </w:tcPr>
          <w:p>
            <w:pPr>
              <w:spacing w:after="0"/>
              <w:rPr>
                <w:sz w:val="17"/>
                <w:szCs w:val="17"/>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495</w:t>
            </w:r>
          </w:p>
        </w:tc>
        <w:tc>
          <w:tcPr>
            <w:tcW w:w="0" w:type="dxa"/>
            <w:vAlign w:val="bottom"/>
          </w:tcPr>
          <w:p>
            <w:pPr>
              <w:spacing w:after="0"/>
              <w:rPr>
                <w:sz w:val="1"/>
                <w:szCs w:val="1"/>
                <w:color w:val="auto"/>
              </w:rPr>
            </w:pPr>
          </w:p>
        </w:tc>
      </w:tr>
      <w:tr>
        <w:trPr>
          <w:trHeight w:val="67"/>
        </w:trPr>
        <w:tc>
          <w:tcPr>
            <w:tcW w:w="6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and equipment</w:t>
            </w: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(5,107)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(13,100)</w:t>
            </w:r>
          </w:p>
        </w:tc>
        <w:tc>
          <w:tcPr>
            <w:tcW w:w="0" w:type="dxa"/>
            <w:vAlign w:val="bottom"/>
          </w:tcPr>
          <w:p>
            <w:pPr>
              <w:spacing w:after="0"/>
              <w:rPr>
                <w:sz w:val="1"/>
                <w:szCs w:val="1"/>
                <w:color w:val="auto"/>
              </w:rPr>
            </w:pPr>
          </w:p>
        </w:tc>
      </w:tr>
      <w:tr>
        <w:trPr>
          <w:trHeight w:val="70"/>
        </w:trPr>
        <w:tc>
          <w:tcPr>
            <w:tcW w:w="60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6020" w:type="dxa"/>
            <w:vAlign w:val="bottom"/>
          </w:tcPr>
          <w:p>
            <w:pPr>
              <w:ind w:left="140"/>
              <w:spacing w:after="0"/>
              <w:rPr>
                <w:sz w:val="20"/>
                <w:szCs w:val="20"/>
                <w:color w:val="auto"/>
              </w:rPr>
            </w:pPr>
            <w:r>
              <w:rPr>
                <w:rFonts w:ascii="Arial" w:cs="Arial" w:eastAsia="Arial" w:hAnsi="Arial"/>
                <w:sz w:val="15"/>
                <w:szCs w:val="15"/>
                <w:color w:val="auto"/>
              </w:rPr>
              <w:t>Proceeds from sale of businesses</w:t>
            </w:r>
          </w:p>
        </w:tc>
        <w:tc>
          <w:tcPr>
            <w:tcW w:w="300" w:type="dxa"/>
            <w:vAlign w:val="bottom"/>
          </w:tcPr>
          <w:p>
            <w:pPr>
              <w:spacing w:after="0"/>
              <w:rPr>
                <w:sz w:val="17"/>
                <w:szCs w:val="17"/>
                <w:color w:val="auto"/>
              </w:rPr>
            </w:pPr>
          </w:p>
        </w:tc>
        <w:tc>
          <w:tcPr>
            <w:tcW w:w="1080" w:type="dxa"/>
            <w:vAlign w:val="bottom"/>
            <w:vMerge w:val="restart"/>
          </w:tcPr>
          <w:p>
            <w:pPr>
              <w:jc w:val="right"/>
              <w:ind w:right="24"/>
              <w:spacing w:after="0"/>
              <w:rPr>
                <w:sz w:val="20"/>
                <w:szCs w:val="20"/>
                <w:color w:val="auto"/>
              </w:rPr>
            </w:pPr>
            <w:r>
              <w:rPr>
                <w:rFonts w:ascii="Arial" w:cs="Arial" w:eastAsia="Arial" w:hAnsi="Arial"/>
                <w:sz w:val="15"/>
                <w:szCs w:val="15"/>
                <w:color w:val="auto"/>
              </w:rPr>
              <w:t>157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67"/>
        </w:trPr>
        <w:tc>
          <w:tcPr>
            <w:tcW w:w="6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investing activities</w:t>
            </w: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11,176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67"/>
        </w:trPr>
        <w:tc>
          <w:tcPr>
            <w:tcW w:w="602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6020" w:type="dxa"/>
            <w:vAlign w:val="bottom"/>
          </w:tcPr>
          <w:p>
            <w:pPr>
              <w:ind w:left="660"/>
              <w:spacing w:after="0"/>
              <w:rPr>
                <w:sz w:val="20"/>
                <w:szCs w:val="20"/>
                <w:color w:val="auto"/>
              </w:rPr>
            </w:pPr>
            <w:r>
              <w:rPr>
                <w:rFonts w:ascii="Arial" w:cs="Arial" w:eastAsia="Arial" w:hAnsi="Arial"/>
                <w:sz w:val="15"/>
                <w:szCs w:val="15"/>
                <w:color w:val="auto"/>
              </w:rPr>
              <w:t>Cash provided by (used in) investing activities</w:t>
            </w:r>
          </w:p>
        </w:tc>
        <w:tc>
          <w:tcPr>
            <w:tcW w:w="30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6,226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(12,922)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102235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79"/>
          </w:cols>
          <w:pgMar w:left="1380" w:top="1070" w:right="1440" w:bottom="1440" w:gutter="0" w:footer="0" w:header="0"/>
        </w:sectPr>
      </w:pPr>
    </w:p>
    <w:bookmarkStart w:id="11" w:name="page12"/>
    <w:bookmarkEnd w:id="11"/>
    <w:p>
      <w:pPr>
        <w:jc w:val="center"/>
        <w:ind w:right="-900"/>
        <w:spacing w:after="0"/>
        <w:rPr>
          <w:sz w:val="20"/>
          <w:szCs w:val="20"/>
          <w:color w:val="auto"/>
        </w:rPr>
      </w:pPr>
      <w:r>
        <w:rPr>
          <w:rFonts w:ascii="Arial" w:cs="Arial" w:eastAsia="Arial" w:hAnsi="Arial"/>
          <w:sz w:val="16"/>
          <w:szCs w:val="16"/>
          <w:b w:val="1"/>
          <w:bCs w:val="1"/>
          <w:color w:val="auto"/>
        </w:rPr>
        <w:t>COMPASS DIVERSIFIED HOLDINGS</w:t>
      </w:r>
    </w:p>
    <w:p>
      <w:pPr>
        <w:spacing w:after="0" w:line="73"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73"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(Unaudited)</w:t>
      </w:r>
    </w:p>
    <w:p>
      <w:pPr>
        <w:spacing w:after="0" w:line="337" w:lineRule="exact"/>
        <w:rPr>
          <w:sz w:val="20"/>
          <w:szCs w:val="20"/>
          <w:color w:val="auto"/>
        </w:rPr>
      </w:pPr>
    </w:p>
    <w:p>
      <w:pPr>
        <w:ind w:left="7400"/>
        <w:spacing w:after="0"/>
        <w:rPr>
          <w:sz w:val="20"/>
          <w:szCs w:val="20"/>
          <w:color w:val="auto"/>
        </w:rPr>
      </w:pPr>
      <w:r>
        <w:rPr>
          <w:rFonts w:ascii="Arial" w:cs="Arial" w:eastAsia="Arial" w:hAnsi="Arial"/>
          <w:sz w:val="15"/>
          <w:szCs w:val="15"/>
          <w:b w:val="1"/>
          <w:bCs w:val="1"/>
          <w:color w:val="auto"/>
        </w:rPr>
        <w:t>Three months ended March 31,</w:t>
      </w:r>
    </w:p>
    <w:p>
      <w:pPr>
        <w:spacing w:after="0" w:line="36" w:lineRule="exact"/>
        <w:rPr>
          <w:sz w:val="20"/>
          <w:szCs w:val="20"/>
          <w:color w:val="auto"/>
        </w:rPr>
      </w:pPr>
    </w:p>
    <w:tbl>
      <w:tblPr>
        <w:tblLayout w:type="fixed"/>
        <w:tblInd w:w="1060" w:type="dxa"/>
        <w:tblCellMar>
          <w:top w:w="0" w:type="dxa"/>
          <w:left w:w="0" w:type="dxa"/>
          <w:bottom w:w="0" w:type="dxa"/>
          <w:right w:w="0" w:type="dxa"/>
        </w:tblCellMar>
      </w:tblPr>
      <w:tr>
        <w:trPr>
          <w:trHeight w:val="19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2026</w:t>
            </w:r>
          </w:p>
        </w:tc>
        <w:tc>
          <w:tcPr>
            <w:tcW w:w="14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2025</w:t>
            </w: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Proceeds and expenses from issuance of Trust common shares, net</w:t>
            </w:r>
          </w:p>
        </w:tc>
        <w:tc>
          <w:tcPr>
            <w:tcW w:w="3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and expenses from issuance of Trust preferred shares, net</w:t>
            </w: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58,137</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Borrowings - revolving credit facility</w:t>
            </w:r>
          </w:p>
        </w:tc>
        <w:tc>
          <w:tcPr>
            <w:tcW w:w="30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24,000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50,000</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Repayments - revolving credit facility</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(160,000)</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Borrowings - term loan</w:t>
            </w:r>
          </w:p>
        </w:tc>
        <w:tc>
          <w:tcPr>
            <w:tcW w:w="3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200,000</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Principal payments - term loan</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(3,750)</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Subsidiary financing arrangements - borrowings</w:t>
            </w:r>
          </w:p>
        </w:tc>
        <w:tc>
          <w:tcPr>
            <w:tcW w:w="3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24,007</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Subsidiary financing arrangements - repayments</w:t>
            </w: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(8,361)</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Distributions paid - common shares</w:t>
            </w:r>
          </w:p>
        </w:tc>
        <w:tc>
          <w:tcPr>
            <w:tcW w:w="3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(18,809)</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preferred shares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(9,714)</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(8,434)</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Net proceeds provided by noncontrolling shareholders</w:t>
            </w:r>
          </w:p>
        </w:tc>
        <w:tc>
          <w:tcPr>
            <w:tcW w:w="30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4,875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1,362</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noncontrolling interest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(9,456)</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(4,665)</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Debt issuance costs</w:t>
            </w:r>
          </w:p>
        </w:tc>
        <w:tc>
          <w:tcPr>
            <w:tcW w:w="3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(1,199)</w:t>
            </w:r>
          </w:p>
        </w:tc>
      </w:tr>
      <w:tr>
        <w:trPr>
          <w:trHeight w:val="270"/>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50"/>
        </w:trPr>
        <w:tc>
          <w:tcPr>
            <w:tcW w:w="602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(32,809)</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128,240</w:t>
            </w:r>
          </w:p>
        </w:tc>
      </w:tr>
      <w:tr>
        <w:trPr>
          <w:trHeight w:val="25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impact on cash</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606</w:t>
            </w:r>
          </w:p>
        </w:tc>
      </w:tr>
      <w:tr>
        <w:trPr>
          <w:trHeight w:val="267"/>
        </w:trPr>
        <w:tc>
          <w:tcPr>
            <w:tcW w:w="6020" w:type="dxa"/>
            <w:vAlign w:val="bottom"/>
          </w:tcPr>
          <w:p>
            <w:pPr>
              <w:ind w:left="660"/>
              <w:spacing w:after="0"/>
              <w:rPr>
                <w:sz w:val="20"/>
                <w:szCs w:val="20"/>
                <w:color w:val="auto"/>
              </w:rPr>
            </w:pPr>
            <w:r>
              <w:rPr>
                <w:rFonts w:ascii="Arial" w:cs="Arial" w:eastAsia="Arial" w:hAnsi="Arial"/>
                <w:sz w:val="15"/>
                <w:szCs w:val="15"/>
                <w:color w:val="auto"/>
              </w:rPr>
              <w:t>Net (decrease) increase in cash and cash equivalents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(2,832)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86,576</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 —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68,015</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59,659</w:t>
            </w:r>
          </w:p>
        </w:tc>
      </w:tr>
      <w:tr>
        <w:trPr>
          <w:trHeight w:val="223"/>
        </w:trPr>
        <w:tc>
          <w:tcPr>
            <w:tcW w:w="6020" w:type="dxa"/>
            <w:vAlign w:val="bottom"/>
          </w:tcPr>
          <w:p>
            <w:pPr>
              <w:ind w:left="140"/>
              <w:spacing w:after="0" w:line="223" w:lineRule="exact"/>
              <w:rPr>
                <w:sz w:val="20"/>
                <w:szCs w:val="20"/>
                <w:color w:val="auto"/>
              </w:rPr>
            </w:pPr>
            <w:r>
              <w:rPr>
                <w:rFonts w:ascii="Arial" w:cs="Arial" w:eastAsia="Arial" w:hAnsi="Arial"/>
                <w:sz w:val="15"/>
                <w:szCs w:val="15"/>
                <w:color w:val="auto"/>
              </w:rPr>
              <w:t xml:space="preserve">Cash and cash equivalents — end of period </w:t>
            </w:r>
            <w:r>
              <w:rPr>
                <w:rFonts w:ascii="Arial" w:cs="Arial" w:eastAsia="Arial" w:hAnsi="Arial"/>
                <w:sz w:val="23"/>
                <w:szCs w:val="23"/>
                <w:b w:val="1"/>
                <w:bCs w:val="1"/>
                <w:color w:val="auto"/>
                <w:vertAlign w:val="superscript"/>
              </w:rPr>
              <w:t>(1)</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65,183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146,235</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7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Supplemental Cash Flow Disclosure:</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43"/>
        </w:trPr>
        <w:tc>
          <w:tcPr>
            <w:tcW w:w="6020" w:type="dxa"/>
            <w:vAlign w:val="bottom"/>
            <w:shd w:val="clear" w:color="auto" w:fill="CCEEFF"/>
          </w:tcPr>
          <w:p>
            <w:pPr>
              <w:ind w:left="140"/>
              <w:spacing w:after="0" w:line="223" w:lineRule="exact"/>
              <w:rPr>
                <w:sz w:val="20"/>
                <w:szCs w:val="20"/>
                <w:color w:val="auto"/>
              </w:rPr>
            </w:pPr>
            <w:r>
              <w:rPr>
                <w:rFonts w:ascii="Arial" w:cs="Arial" w:eastAsia="Arial" w:hAnsi="Arial"/>
                <w:sz w:val="15"/>
                <w:szCs w:val="15"/>
                <w:color w:val="auto"/>
              </w:rPr>
              <w:t xml:space="preserve">Non-cash financing activities </w:t>
            </w:r>
            <w:r>
              <w:rPr>
                <w:rFonts w:ascii="Arial" w:cs="Arial" w:eastAsia="Arial" w:hAnsi="Arial"/>
                <w:sz w:val="23"/>
                <w:szCs w:val="23"/>
                <w:b w:val="1"/>
                <w:bCs w:val="1"/>
                <w:color w:val="auto"/>
                <w:vertAlign w:val="superscript"/>
              </w:rPr>
              <w:t>(2)</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3,730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perscript"/>
        </w:rPr>
        <w:t>(1)</w:t>
      </w:r>
      <w:r>
        <w:rPr>
          <w:rFonts w:ascii="Arial" w:cs="Arial" w:eastAsia="Arial" w:hAnsi="Arial"/>
          <w:sz w:val="16"/>
          <w:szCs w:val="16"/>
          <w:color w:val="auto"/>
        </w:rPr>
        <w:t xml:space="preserve"> Includes cash from assets held for sale of $4.4 million at March 31, 2026.</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perscript"/>
        </w:rPr>
        <w:t>(2)</w:t>
      </w:r>
      <w:r>
        <w:rPr>
          <w:rFonts w:ascii="Arial" w:cs="Arial" w:eastAsia="Arial" w:hAnsi="Arial"/>
          <w:sz w:val="16"/>
          <w:szCs w:val="16"/>
          <w:color w:val="auto"/>
        </w:rPr>
        <w:t xml:space="preserve"> Represents the non-cash settlement of subsidiary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0139"/>
          </w:cols>
          <w:pgMar w:left="320" w:top="1070"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0" w:right="1440"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2026</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and Compass Group Diversified Holdings LLC, a Delaware limited liability company (the "LLC"), were formed to acquire and manage a group of small and middle-market businesses headquartered in North America. Collectively, Compass Diversified Holdings and Compass Group Diversified Holdings, LLC are referred to as the "Company". In accordance with the Third Amended and Restated Trust Agreement, dated as of August 3, 2021 (as further amended and restated, the "Trust Agreement"), the Trust is sole owner of 100% of the Trust Interests (as defined in the LLC’s Sixth Amended and Restated Operating Agreement, dated as of August 3, 2021 (as further amended and restated, the "LLC Agreement")) of the LLC and, pursuant to the LLC Agreement, the LLC has, outstanding, the identical number of Trust Interests as the number of outstanding common shares of the Trust. The LLC is the operating entity with a board of directors and other corporate governance responsibilities, similar to that of a Delaware corporation. The Trust does not have operations independent of acting as the parent company of the LLC.</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LLC is a controlling owner of eight businesses, or operating segments, at March 31, 2026. The segments are as follows: 5.11 Acquisition Corp. ("5.11"), Boa Holdings Inc. ("BOA"), Relentless Topco, Inc. ("PrimaLoft"), THP Topco, Inc. ("The Honey Pot Co." or "THP"), CBCP Products, LLC ("Velocity Outdoor" or "Velocity"), AMTAC Holdings LLC ("Arnold"), FFI Compass, Inc. ("Altor Solutions" or "Altor"), and SternoCandleLamp Holdings, Inc. ("Sterno"). The segments are referred to interchangeably as “businesses”, “operating segments” or “subsidiaries” throughout the financial statements. Refer to </w:t>
      </w:r>
      <w:r>
        <w:rPr>
          <w:rFonts w:ascii="Arial" w:cs="Arial" w:eastAsia="Arial" w:hAnsi="Arial"/>
          <w:sz w:val="18"/>
          <w:szCs w:val="18"/>
          <w:u w:val="single" w:color="auto"/>
          <w:color w:val="0000FF"/>
        </w:rPr>
        <w:t>Note O - "Operating Segment Data"</w:t>
      </w:r>
      <w:r>
        <w:rPr>
          <w:rFonts w:ascii="Arial" w:cs="Arial" w:eastAsia="Arial" w:hAnsi="Arial"/>
          <w:sz w:val="18"/>
          <w:szCs w:val="18"/>
          <w:color w:val="auto"/>
        </w:rPr>
        <w:t xml:space="preserve"> for further discussion of the operating segments. Lugano Holding, Inc. ("Lugano") was an operating segment of the Company until November 16, 2025 when Lugano was deconsolidated. Refer to "</w:t>
      </w:r>
      <w:r>
        <w:rPr>
          <w:rFonts w:ascii="Arial" w:cs="Arial" w:eastAsia="Arial" w:hAnsi="Arial"/>
          <w:sz w:val="18"/>
          <w:szCs w:val="18"/>
          <w:u w:val="single" w:color="auto"/>
          <w:color w:val="0000FF"/>
        </w:rPr>
        <w:t>Note B -</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white"/>
        </w:rPr>
        <w:t>Dispositions</w:t>
      </w:r>
      <w:r>
        <w:rPr>
          <w:rFonts w:ascii="Arial" w:cs="Arial" w:eastAsia="Arial" w:hAnsi="Arial"/>
          <w:sz w:val="18"/>
          <w:szCs w:val="18"/>
          <w:color w:val="auto"/>
          <w:highlight w:val="white"/>
        </w:rPr>
        <w:t>" for further discussion of the accounting for Lugano.</w:t>
      </w:r>
      <w:r>
        <w:rPr>
          <w:rFonts w:ascii="Arial" w:cs="Arial" w:eastAsia="Arial" w:hAnsi="Arial"/>
          <w:sz w:val="18"/>
          <w:szCs w:val="18"/>
          <w:color w:val="auto"/>
        </w:rPr>
        <w:t xml:space="preserve"> Compass Group Management LLC, a Delaware limited liability Company ("CGM" or the "Manager"), manages the day to day operations of the LLC and oversees the management and operations of our businesses pursuant to a management services agreement (the "Management Services Agreement" or "MSA").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condensed consolidated financial statements for the three month periods ended March 31, 2026 and March 31, 2025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assumes the Company will continue to realize its assets and satisfy its liabilities in the ordinary course of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as well as the businesses acquired as of their respective acquisition date. All significant intercompany accounts and transactions have been eliminated in consolidation. Discontinued operating entities are reflected as discontinued operations in the Company's results of operations and statements of financial position.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 however, due to various acquisitions in the last three years, there has generally been less seasonality in our net sales on a consolidated basis in recent years than there was historically.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(Topic 740): Improvements to Income Tax Disclosures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This guidance will require, among other things, the following for public business entities: (i) enhanced disclosures of specific categories of reconciling items included in the rate reconciliation, as well as additional information for any of these items meeting certain qualitative and quantitative thresholds; (ii) disclosure of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guidance is effective for annual periods beginning after December 15, 2024. The Company adopted ASU 2023-09 for the year ended December 31, 2025 and applied the new disclosure requirements prospectively to the 2025 annual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No. 2024-03, Income Statement - Reporting Comprehensive Income- Expense Disaggregation Disclosures (Subtopic 220-40). This guidance will require the disclosure of disaggregation of certain relevant expenses presented in the consolidated statements of operations, including inventory purchases, employee compensation, selling expense and depreciation expense. The guidance is effective for our annual period ending December 31, 2027 and interim periods thereafter. The Company is currently evaluating the impact this standard will have on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Dispositions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Lugano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Deconsolidation</w:t>
      </w:r>
    </w:p>
    <w:p>
      <w:pPr>
        <w:spacing w:after="0" w:line="11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On November 16, 2025, Lugano and certain of its subsidiaries filed a voluntary Chapter 11 petition under the United States Bankruptcy Code in the United States Bankruptcy Court for the District of Delaware (the “Lugano Bankruptcy”). The Lugano Bankruptcy resulted in the deconsolidation of Lugano as of the date of the bankruptcy filing. The Company retained its equity ownership of Lugano subsequent to the bankruptcy but has neither control nor significant influence over Lugano due to the bankruptcy filing. The Company elected the fair value option under Accounting Standards Codification ("ASC") 825 -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account for its retained financial interest. Accordingly, the investment is measured at fair value on a recurring basis, with changes in fair value, if any, recognized in earnings each reporting period. As a result of this accounting election, the carrying value of the investment, and the related impact on the Company’s results of operations, may fluctuate from period to period due to non</w:t>
      </w:r>
      <w:r>
        <w:rPr>
          <w:rFonts w:ascii="MS PGothic" w:cs="MS PGothic" w:eastAsia="MS PGothic" w:hAnsi="MS PGothic"/>
          <w:sz w:val="18"/>
          <w:szCs w:val="18"/>
          <w:color w:val="auto"/>
        </w:rPr>
        <w:t>‑</w:t>
      </w:r>
      <w:r>
        <w:rPr>
          <w:rFonts w:ascii="Arial" w:cs="Arial" w:eastAsia="Arial" w:hAnsi="Arial"/>
          <w:sz w:val="18"/>
          <w:szCs w:val="18"/>
          <w:color w:val="auto"/>
        </w:rPr>
        <w:t>cash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adjustments. These fair value adjustments do not impact the Company’s cash flows or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Separately, prior to the bankruptcy filing, the Company had outstanding intercompany indebtedness owed by Lugano (the "Lugano intercompany loan"), including amounts that were secured by certain Lugano assets. Because intercompany balances are eliminated in consolidation, the fair value of intercompany indebtedness owed by Lugano to the Company was recognized upon deconsolidation in accordance with ASC 810. Any expected recovery (or lack thereof) on the secured claim is reflected through the measurement of the receivable/claim due from affiliate (including any impairment or allowance), rather than through the fair value of any retained equity interest.</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a receivable based on management's estimate of recoveries expected from the Lugano bankruptcy proceedings with respect to the Company’s senior secured receivable/claim against Lugano as of the deconsolidation date, measured using the fair value option under ASC 825. The receivable is measured at fair value at each reporting date, and changes in fair value are recognized in earnings in the period in which they occur. The determination of fair value requires the use of significant judgment and estimates, and may be affected by developments related to the Lugano bankruptcy proceedings. As a result, the carrying amount of the receivable, and the related impact on the Company’s results of operations, may fluctuate from period to period. At March 31, 2026 and December 31, 2025, the receivable due from unconsolidated affiliate was estimated to have a value of $97.0 million, with $71.0 million classified as current and $26.0 million classified as noncurrent in the condensed consolidated balance sheet. The classification between current and noncurrent is based on management’s estimate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8"/>
          <w:szCs w:val="18"/>
          <w:color w:val="auto"/>
        </w:rPr>
        <w:t>of the timing of expected cash receipts from the Lugano bankruptcy proceedings. Refer to "</w:t>
      </w:r>
      <w:r>
        <w:rPr>
          <w:rFonts w:ascii="Arial" w:cs="Arial" w:eastAsia="Arial" w:hAnsi="Arial"/>
          <w:sz w:val="18"/>
          <w:szCs w:val="18"/>
          <w:u w:val="single" w:color="auto"/>
          <w:color w:val="0000FF"/>
        </w:rPr>
        <w:t>Note J - Fair Value Measurements</w:t>
      </w:r>
      <w:r>
        <w:rPr>
          <w:rFonts w:ascii="Arial" w:cs="Arial" w:eastAsia="Arial" w:hAnsi="Arial"/>
          <w:sz w:val="18"/>
          <w:szCs w:val="18"/>
          <w:color w:val="auto"/>
        </w:rPr>
        <w:t>" for additional information.</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Lugano's results of operations that are included in the Company's consolidated results of operations for the period from January 1, 2025 through March 31, 2025:</w:t>
      </w:r>
    </w:p>
    <w:p>
      <w:pPr>
        <w:spacing w:after="0" w:line="121" w:lineRule="exact"/>
        <w:rPr>
          <w:sz w:val="20"/>
          <w:szCs w:val="20"/>
          <w:color w:val="auto"/>
        </w:rPr>
      </w:pPr>
    </w:p>
    <w:tbl>
      <w:tblPr>
        <w:tblLayout w:type="fixed"/>
        <w:tblInd w:w="2240"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right"/>
              <w:ind w:right="60"/>
              <w:spacing w:after="0"/>
              <w:rPr>
                <w:sz w:val="20"/>
                <w:szCs w:val="20"/>
                <w:color w:val="auto"/>
              </w:rPr>
            </w:pPr>
            <w:r>
              <w:rPr>
                <w:rFonts w:ascii="Arial" w:cs="Arial" w:eastAsia="Arial" w:hAnsi="Arial"/>
                <w:sz w:val="15"/>
                <w:szCs w:val="15"/>
                <w:b w:val="1"/>
                <w:bCs w:val="1"/>
                <w:color w:val="auto"/>
              </w:rPr>
              <w:t>Three months ended March</w:t>
            </w:r>
          </w:p>
        </w:tc>
      </w:tr>
      <w:tr>
        <w:trPr>
          <w:trHeight w:val="213"/>
        </w:trPr>
        <w:tc>
          <w:tcPr>
            <w:tcW w:w="4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760"/>
              <w:spacing w:after="0"/>
              <w:rPr>
                <w:sz w:val="20"/>
                <w:szCs w:val="20"/>
                <w:color w:val="auto"/>
              </w:rPr>
            </w:pPr>
            <w:r>
              <w:rPr>
                <w:rFonts w:ascii="Arial" w:cs="Arial" w:eastAsia="Arial" w:hAnsi="Arial"/>
                <w:sz w:val="15"/>
                <w:szCs w:val="15"/>
                <w:b w:val="1"/>
                <w:bCs w:val="1"/>
                <w:color w:val="auto"/>
              </w:rPr>
              <w:t>31, 2025</w:t>
            </w:r>
          </w:p>
        </w:tc>
      </w:tr>
      <w:tr>
        <w:trPr>
          <w:trHeight w:val="212"/>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26,845</w:t>
            </w:r>
          </w:p>
        </w:tc>
      </w:tr>
      <w:tr>
        <w:trPr>
          <w:trHeight w:val="215"/>
        </w:trPr>
        <w:tc>
          <w:tcPr>
            <w:tcW w:w="4520" w:type="dxa"/>
            <w:vAlign w:val="bottom"/>
          </w:tcPr>
          <w:p>
            <w:pPr>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13,178</w:t>
            </w:r>
          </w:p>
        </w:tc>
      </w:tr>
      <w:tr>
        <w:trPr>
          <w:trHeight w:val="217"/>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(13,659)</w:t>
            </w:r>
          </w:p>
        </w:tc>
      </w:tr>
      <w:tr>
        <w:trPr>
          <w:trHeight w:val="216"/>
        </w:trPr>
        <w:tc>
          <w:tcPr>
            <w:tcW w:w="4520" w:type="dxa"/>
            <w:vAlign w:val="bottom"/>
          </w:tcPr>
          <w:p>
            <w:pPr>
              <w:spacing w:after="0" w:line="216" w:lineRule="exact"/>
              <w:rPr>
                <w:sz w:val="20"/>
                <w:szCs w:val="20"/>
                <w:color w:val="auto"/>
              </w:rPr>
            </w:pPr>
            <w:r>
              <w:rPr>
                <w:rFonts w:ascii="Arial" w:cs="Arial" w:eastAsia="Arial" w:hAnsi="Arial"/>
                <w:sz w:val="16"/>
                <w:szCs w:val="16"/>
                <w:color w:val="auto"/>
              </w:rPr>
              <w:t xml:space="preserve">Net loss from operations before income taxes </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(36,050)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15"/>
        </w:trPr>
        <w:tc>
          <w:tcPr>
            <w:tcW w:w="452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(35,794)</w:t>
            </w:r>
          </w:p>
        </w:tc>
      </w:tr>
    </w:tbl>
    <w:p>
      <w:pPr>
        <w:spacing w:after="0" w:line="239" w:lineRule="exact"/>
        <w:rPr>
          <w:sz w:val="20"/>
          <w:szCs w:val="20"/>
          <w:color w:val="auto"/>
        </w:rPr>
      </w:pPr>
    </w:p>
    <w:p>
      <w:pPr>
        <w:ind w:right="20" w:firstLine="8"/>
        <w:spacing w:after="0" w:line="247" w:lineRule="auto"/>
        <w:tabs>
          <w:tab w:leader="none" w:pos="189"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The results of operations for the three months ended March 31, 2025 exclude $15.8 million of intercompany interest expense which is eliminated in consolidation.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Sterno</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28, 2026, the LLC, in its capacity as the representative (the “Stockholder Representative”) of the holders (the “Sterno Stockholders”) of common stock of Sterno, a majority owned subsidiary of the LLC, and for the limited purposes of the Rimports Distribution (as defined below), entered into a definitive Agreement and Plan of Merger (the “Sterno Agreement”) with WCHG Buyer, Inc. (“Parent”), WCHG Heat Merger Sub, Inc. (“Merger Sub”) and Sterno, pursuant to which (i) Parent will acquire all of the issued and outstanding equity securities of Sterno (which is the parent company for both a food service business and home fragrance business) through the merger of Merger Sub with and into Sterno, with Sterno surviving the merger and becoming a wholly owned subsidiary of Parent (the “Merger”), and (ii) on the day immediately prior to the closing of the Merger, Sterno will cause the distribution of all the limited liability company interests of its indirect wholly owned subsidiary Rimports, LLC (“Rimports”), which is the holding company of Sterno’s home fragrance business, to the Sterno Stockholders (the “Rimports Distribution”), and Rimports will remain a majority owned subsidiary of the LLC. The sale price of Sterno will be based on an enterprise value of $292.5 million and will be subject to certain adjustments based on matters such as transaction expenses, change-of-control payments, and the net working capital, cash and debt balances of Sterno and its subsidiaries (excluding Rimports and its subsidiaries) (the “Target Companies”) at the time of the closing. The LLC owns approximately 92% of the outstanding stock of Sterno on a fully diluted basis. The proceeds received by the Company will be used to pay down outstanding debt under the Company’s senior credit facility.</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sale of Sterno met the criteria for Sterno to be presented as held for sale at March 31, 2026. The Rimports business, which will remain a majority owned subsidiary of the Company, is not included in the held for sale presentation in the condensed consolidated balance sheet. The following table presents summary balance sheet information of Sterno that is presented as held for sale as of March 31, 2026 (in thousands):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5" w:name="page16"/>
    <w:bookmarkEnd w:id="15"/>
    <w:tbl>
      <w:tblPr>
        <w:tblLayout w:type="fixed"/>
        <w:tblInd w:w="2320" w:type="dxa"/>
        <w:tblCellMar>
          <w:top w:w="0" w:type="dxa"/>
          <w:left w:w="0" w:type="dxa"/>
          <w:bottom w:w="0" w:type="dxa"/>
          <w:right w:w="0" w:type="dxa"/>
        </w:tblCellMar>
      </w:tblPr>
      <w:tr>
        <w:trPr>
          <w:trHeight w:val="217"/>
        </w:trPr>
        <w:tc>
          <w:tcPr>
            <w:tcW w:w="4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March 31, 2026</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4,436</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16,982</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20,876</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color w:val="auto"/>
              </w:rPr>
              <w:t>Current assets held for sale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43,721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10,686</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44,019</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30,893</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35"/>
        </w:trPr>
        <w:tc>
          <w:tcPr>
            <w:tcW w:w="432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Non-current assets held for sale </w:t>
            </w:r>
            <w:r>
              <w:rPr>
                <w:rFonts w:ascii="Arial" w:cs="Arial" w:eastAsia="Arial" w:hAnsi="Arial"/>
                <w:sz w:val="23"/>
                <w:szCs w:val="23"/>
                <w:b w:val="1"/>
                <w:bCs w:val="1"/>
                <w:color w:val="auto"/>
                <w:vertAlign w:val="superscript"/>
              </w:rPr>
              <w:t>(1)</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87,889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14,005</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10,614</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color w:val="auto"/>
              </w:rPr>
              <w:t>Current liabilities held for sale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35"/>
        </w:trPr>
        <w:tc>
          <w:tcPr>
            <w:tcW w:w="432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Non-current liabilities held for sale </w:t>
            </w:r>
            <w:r>
              <w:rPr>
                <w:rFonts w:ascii="Arial" w:cs="Arial" w:eastAsia="Arial" w:hAnsi="Arial"/>
                <w:sz w:val="23"/>
                <w:szCs w:val="23"/>
                <w:b w:val="1"/>
                <w:bCs w:val="1"/>
                <w:color w:val="auto"/>
                <w:vertAlign w:val="superscript"/>
              </w:rPr>
              <w:t>(1)</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Noncontrolling interest held for sale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2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8"/>
        <w:spacing w:after="0" w:line="231" w:lineRule="auto"/>
        <w:tabs>
          <w:tab w:leader="none" w:pos="202" w:val="left"/>
        </w:tabs>
        <w:numPr>
          <w:ilvl w:val="0"/>
          <w:numId w:val="7"/>
        </w:numPr>
        <w:rPr>
          <w:rFonts w:ascii="Arial" w:cs="Arial" w:eastAsia="Arial" w:hAnsi="Arial"/>
          <w:sz w:val="23"/>
          <w:szCs w:val="23"/>
          <w:b w:val="1"/>
          <w:bCs w:val="1"/>
          <w:color w:val="auto"/>
          <w:vertAlign w:val="superscript"/>
        </w:rPr>
      </w:pPr>
      <w:r>
        <w:rPr>
          <w:rFonts w:ascii="Arial" w:cs="Arial" w:eastAsia="Arial" w:hAnsi="Arial"/>
          <w:sz w:val="18"/>
          <w:szCs w:val="18"/>
          <w:color w:val="auto"/>
        </w:rPr>
        <w:t>The closing of the transaction is expected to occur in the second quarter of 2026, and therefore all assets and liabilities have been classified as current on the consolidated balance sheet as of March 31, 2026.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Revenue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recognizes revenue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operating segment and by geography for each strategic business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categories that depict how the nature, amount and uncertainty of revenue and cash flows are affected by economic factors. The disaggregation in the tables below reflects where revenue is earned based on the shipping address of our customers unless otherwise noted.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 The results of operations of Lugano are included in the Company's consolidated results of operations for the period from January 1, 2025 through November 16, 2025 and therefore in the disaggregation of revenue by reportable segment in the table below only for the three months ended March 31,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spacing w:after="0" w:line="287"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months ended March 31, 2026 and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160655</wp:posOffset>
            </wp:positionV>
            <wp:extent cx="6892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Three months ended March 31, 2026</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1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Europe</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39"/>
              <w:spacing w:after="0"/>
              <w:rPr>
                <w:sz w:val="20"/>
                <w:szCs w:val="20"/>
                <w:color w:val="auto"/>
              </w:rPr>
            </w:pPr>
            <w:r>
              <w:rPr>
                <w:rFonts w:ascii="Arial" w:cs="Arial" w:eastAsia="Arial" w:hAnsi="Arial"/>
                <w:sz w:val="15"/>
                <w:szCs w:val="15"/>
                <w:b w:val="1"/>
                <w:bCs w:val="1"/>
                <w:color w:val="auto"/>
              </w:rPr>
              <w:t>Total</w:t>
            </w:r>
          </w:p>
        </w:tc>
      </w:tr>
      <w:tr>
        <w:trPr>
          <w:trHeight w:val="210"/>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101,217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123,972</w:t>
            </w: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26,545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52,107</w:t>
            </w:r>
          </w:p>
        </w:tc>
      </w:tr>
      <w:tr>
        <w:trPr>
          <w:trHeight w:val="216"/>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PrimaLoft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21,916</w:t>
            </w:r>
          </w:p>
        </w:tc>
      </w:tr>
      <w:tr>
        <w:trPr>
          <w:trHeight w:val="215"/>
        </w:trPr>
        <w:tc>
          <w:tcPr>
            <w:tcW w:w="1980" w:type="dxa"/>
            <w:vAlign w:val="bottom"/>
          </w:tcPr>
          <w:p>
            <w:pPr>
              <w:ind w:left="20"/>
              <w:spacing w:after="0"/>
              <w:rPr>
                <w:sz w:val="20"/>
                <w:szCs w:val="20"/>
                <w:color w:val="auto"/>
              </w:rPr>
            </w:pPr>
            <w:r>
              <w:rPr>
                <w:rFonts w:ascii="Arial" w:cs="Arial" w:eastAsia="Arial" w:hAnsi="Arial"/>
                <w:sz w:val="16"/>
                <w:szCs w:val="16"/>
                <w:color w:val="auto"/>
              </w:rPr>
              <w:t>The Honey Pot Co.</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45,159</w:t>
            </w:r>
          </w:p>
        </w:tc>
      </w:tr>
      <w:tr>
        <w:trPr>
          <w:trHeight w:val="21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w:t>
            </w:r>
          </w:p>
        </w:tc>
      </w:tr>
      <w:tr>
        <w:trPr>
          <w:trHeight w:val="215"/>
        </w:trPr>
        <w:tc>
          <w:tcPr>
            <w:tcW w:w="1980" w:type="dxa"/>
            <w:vAlign w:val="bottom"/>
          </w:tcPr>
          <w:p>
            <w:pPr>
              <w:ind w:left="20"/>
              <w:spacing w:after="0"/>
              <w:rPr>
                <w:sz w:val="20"/>
                <w:szCs w:val="20"/>
                <w:color w:val="auto"/>
              </w:rPr>
            </w:pPr>
            <w:r>
              <w:rPr>
                <w:rFonts w:ascii="Arial" w:cs="Arial" w:eastAsia="Arial" w:hAnsi="Arial"/>
                <w:sz w:val="16"/>
                <w:szCs w:val="16"/>
                <w:color w:val="auto"/>
              </w:rPr>
              <w:t>Altor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62,094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64,642</w:t>
            </w:r>
          </w:p>
        </w:tc>
      </w:tr>
      <w:tr>
        <w:trPr>
          <w:trHeight w:val="21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40,183</w:t>
            </w:r>
          </w:p>
        </w:tc>
      </w:tr>
      <w:tr>
        <w:trPr>
          <w:trHeight w:val="215"/>
        </w:trPr>
        <w:tc>
          <w:tcPr>
            <w:tcW w:w="1980" w:type="dxa"/>
            <w:vAlign w:val="bottom"/>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62,320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65,050</w:t>
            </w:r>
          </w:p>
        </w:tc>
      </w:tr>
      <w:tr>
        <w:trPr>
          <w:trHeight w:val="235"/>
        </w:trPr>
        <w:tc>
          <w:tcPr>
            <w:tcW w:w="1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426,855</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66"/>
        </w:trPr>
        <w:tc>
          <w:tcPr>
            <w:tcW w:w="1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8"/>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8"/>
          </w:tcPr>
          <w:p>
            <w:pPr>
              <w:ind w:left="360"/>
              <w:spacing w:after="0"/>
              <w:rPr>
                <w:sz w:val="20"/>
                <w:szCs w:val="20"/>
                <w:color w:val="auto"/>
              </w:rPr>
            </w:pPr>
            <w:r>
              <w:rPr>
                <w:rFonts w:ascii="Arial" w:cs="Arial" w:eastAsia="Arial" w:hAnsi="Arial"/>
                <w:sz w:val="15"/>
                <w:szCs w:val="15"/>
                <w:b w:val="1"/>
                <w:bCs w:val="1"/>
                <w:color w:val="auto"/>
              </w:rPr>
              <w:t>Three months ended March 31, 2025</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6"/>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5"/>
                <w:szCs w:val="15"/>
                <w:b w:val="1"/>
                <w:bCs w:val="1"/>
                <w:color w:val="auto"/>
              </w:rPr>
              <w:t>Europe</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320" w:type="dxa"/>
            <w:vAlign w:val="bottom"/>
          </w:tcPr>
          <w:p>
            <w:pPr>
              <w:spacing w:after="0"/>
              <w:rPr>
                <w:sz w:val="17"/>
                <w:szCs w:val="17"/>
                <w:color w:val="auto"/>
              </w:rPr>
            </w:pPr>
          </w:p>
        </w:tc>
        <w:tc>
          <w:tcPr>
            <w:tcW w:w="1080" w:type="dxa"/>
            <w:vAlign w:val="bottom"/>
          </w:tcPr>
          <w:p>
            <w:pPr>
              <w:jc w:val="right"/>
              <w:ind w:right="439"/>
              <w:spacing w:after="0"/>
              <w:rPr>
                <w:sz w:val="20"/>
                <w:szCs w:val="20"/>
                <w:color w:val="auto"/>
              </w:rPr>
            </w:pPr>
            <w:r>
              <w:rPr>
                <w:rFonts w:ascii="Arial" w:cs="Arial" w:eastAsia="Arial" w:hAnsi="Arial"/>
                <w:sz w:val="15"/>
                <w:szCs w:val="15"/>
                <w:b w:val="1"/>
                <w:bCs w:val="1"/>
                <w:color w:val="auto"/>
              </w:rPr>
              <w:t>Total</w:t>
            </w:r>
          </w:p>
        </w:tc>
      </w:tr>
      <w:tr>
        <w:trPr>
          <w:trHeight w:val="210"/>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104,841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129,370</w:t>
            </w: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48,877</w:t>
            </w:r>
          </w:p>
        </w:tc>
      </w:tr>
      <w:tr>
        <w:trPr>
          <w:trHeight w:val="216"/>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26,845</w:t>
            </w:r>
          </w:p>
        </w:tc>
      </w:tr>
      <w:tr>
        <w:trPr>
          <w:trHeight w:val="215"/>
        </w:trPr>
        <w:tc>
          <w:tcPr>
            <w:tcW w:w="1980" w:type="dxa"/>
            <w:vAlign w:val="bottom"/>
          </w:tcPr>
          <w:p>
            <w:pPr>
              <w:ind w:left="20"/>
              <w:spacing w:after="0"/>
              <w:rPr>
                <w:sz w:val="20"/>
                <w:szCs w:val="20"/>
                <w:color w:val="auto"/>
              </w:rPr>
            </w:pPr>
            <w:r>
              <w:rPr>
                <w:rFonts w:ascii="Arial" w:cs="Arial" w:eastAsia="Arial" w:hAnsi="Arial"/>
                <w:sz w:val="16"/>
                <w:szCs w:val="16"/>
                <w:color w:val="auto"/>
              </w:rPr>
              <w:t>PrimaLoft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23,645</w:t>
            </w:r>
          </w:p>
        </w:tc>
      </w:tr>
      <w:tr>
        <w:trPr>
          <w:trHeight w:val="21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36,191</w:t>
            </w:r>
          </w:p>
        </w:tc>
      </w:tr>
      <w:tr>
        <w:trPr>
          <w:trHeight w:val="215"/>
        </w:trPr>
        <w:tc>
          <w:tcPr>
            <w:tcW w:w="19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13,201</w:t>
            </w:r>
          </w:p>
        </w:tc>
      </w:tr>
      <w:tr>
        <w:trPr>
          <w:trHeight w:val="21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76,257</w:t>
            </w:r>
          </w:p>
        </w:tc>
      </w:tr>
      <w:tr>
        <w:trPr>
          <w:trHeight w:val="215"/>
        </w:trPr>
        <w:tc>
          <w:tcPr>
            <w:tcW w:w="1980" w:type="dxa"/>
            <w:vAlign w:val="bottom"/>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34,008</w:t>
            </w:r>
          </w:p>
        </w:tc>
      </w:tr>
      <w:tr>
        <w:trPr>
          <w:trHeight w:val="216"/>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65,381</w:t>
            </w:r>
          </w:p>
        </w:tc>
      </w:tr>
      <w:tr>
        <w:trPr>
          <w:trHeight w:val="210"/>
        </w:trPr>
        <w:tc>
          <w:tcPr>
            <w:tcW w:w="198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346,359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43,953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38,542</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14,197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453,775</w:t>
            </w:r>
          </w:p>
        </w:tc>
      </w:tr>
      <w:tr>
        <w:trPr>
          <w:trHeight w:val="20"/>
        </w:trPr>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1"/>
          <w:szCs w:val="11"/>
          <w:b w:val="1"/>
          <w:bCs w:val="1"/>
          <w:color w:val="auto"/>
        </w:rPr>
      </w:pPr>
      <w:r>
        <w:rPr>
          <w:rFonts w:ascii="Arial" w:cs="Arial" w:eastAsia="Arial" w:hAnsi="Arial"/>
          <w:sz w:val="18"/>
          <w:szCs w:val="18"/>
          <w:color w:val="auto"/>
        </w:rPr>
        <w:t>For BOA, revenue reflects the location of the Brand Partners of the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Property, Plant and Equipment and Inventory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plant and equipment is comprised of the following at March 31, 2026 and December 31, 2025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4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March 31, 2026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December 31, 2025</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288,698</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69,055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70,452</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99,449</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11,805</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22,474</w:t>
            </w: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452,936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492,878</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(283,136)</w:t>
            </w:r>
          </w:p>
        </w:tc>
      </w:tr>
      <w:tr>
        <w:trPr>
          <w:trHeight w:val="210"/>
        </w:trPr>
        <w:tc>
          <w:tcPr>
            <w:tcW w:w="4740" w:type="dxa"/>
            <w:vAlign w:val="bottom"/>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190,799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209,742</w:t>
            </w: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$11.9 million and $12.3 million for the three months ended March 31, 2026 and March 31, 2025,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Inventory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March 31, 2026 and December 31, 2025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4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March 31, 2026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December 31, 2025</w:t>
            </w: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71,641</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19,079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16,667</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347,196</w:t>
            </w: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(31,402)</w:t>
            </w:r>
          </w:p>
        </w:tc>
      </w:tr>
      <w:tr>
        <w:trPr>
          <w:trHeight w:val="235"/>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375,337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404,102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Goodwill and Other Intangible Assets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an indefinite-lived intangible.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Testing</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uses a qualitative approach to test goodwill and indefinite lived intangible assets for impairment by first assessing qualitative factors to determine whether it is more-likely-than-not that the fair value of a reporting unit is less than its carrying amount as a basis for determining whether it is necessary to perform quantitative goodwill impairment testing.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Annual Impairment Testing</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Company’s annual goodwill impairment test as of March 31, 2026, the Company performed a qualitative assessment of its reporting units with goodwill balances to determine whether it was more-likely-than-not that the fair value of each reporting unit was less than its carrying amount. Based on this assessment, the Company concluded that it was more-likely-than-not that the fair value of each reporting unit exceeded its carrying amount, except the PrimaLoft reporting unit. As a result, the Company performed a quantitative goodwill impairment test for the PrimaLoft reporting unit.</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estimated the fair value of the PrimaLoft reporting unit using a combination of the income approach (discounted cash flow method) and the market approach (guideline company multiples). Significant assumptions used in the quantitative test included, among others, projected revenue growth, operating margins, the terminal growth rate and the discount rate, each of which reflects management’s best estimates based on historical performance, current market conditions and expectations of future operating performance. The discount rate used in the income approach was 13.4%. The quantitative test indicated that the fair value of the PrimaLoft reporting unit was less than its carrying amount; accordingly, the Company recorded a goodwill impairment charge of $20.5 million during the three months ended March 31, 2026, which is included in operating income/(loss) in the consolidated statements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Annual Impairment Testing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Company's annual impairment testing at March 31, 2025, the Company performed a qualitative assessment of our reporting units with goodwill balances. The results of the qualitative analysis indicated that it was more-likely-than-not that the fair value of each of the reporting units tested except the PrimaLoft reporting unit exceeded their carrying value. Based on the Company's analysis, the Company determined that the PrimaLoft reporting unit required quantitative testing because we could not conclude that the fair value of this reporting unit significantly exceeded the carrying value based on qualitative factors alone. The Company 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2025 Interim Impairment Testing</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performed an interim impairment test of goodwill at Arnold as of October 31, 2025. During 2025, Arnold was negatively impacted by both production delays related to facility transitions, and supply chain constraints caused by export controls and disruption in the market for rare earth minerals, a key component in certain of Arnold's products. As a result, the operating results of Arnold were below our forecast and prior year results for the business. While Arnold's backlog continued to grow, the production delays and supply chain disruption caused by the export controls led us to determine that a triggering event had occurred. The Company used an income approach for the impairment test, whereby we estimated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discount rate of 14.2% in the income approach. The results of the testing indicated that the fair value of Arnold exceeded the carrying value by 77%.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the net carrying amount of goodwill at March 31, 2026 and December 31, 2025,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5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March 31, 2026</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December 31, 2025</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shd w:val="clear" w:color="auto" w:fill="CCEEFF"/>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1,006,729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shd w:val="clear" w:color="auto" w:fill="CCEEFF"/>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1,050,748</w:t>
            </w:r>
          </w:p>
        </w:tc>
      </w:tr>
      <w:tr>
        <w:trPr>
          <w:trHeight w:val="216"/>
        </w:trPr>
        <w:tc>
          <w:tcPr>
            <w:tcW w:w="45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Accumulated impairment losses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(175,827)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(155,327)</w:t>
            </w:r>
          </w:p>
        </w:tc>
      </w:tr>
      <w:tr>
        <w:trPr>
          <w:trHeight w:val="23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830,902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895,421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b w:val="1"/>
          <w:bCs w:val="1"/>
          <w:color w:val="auto"/>
          <w:vertAlign w:val="superscript"/>
        </w:rPr>
      </w:pPr>
      <w:r>
        <w:rPr>
          <w:rFonts w:ascii="Arial" w:cs="Arial" w:eastAsia="Arial" w:hAnsi="Arial"/>
          <w:sz w:val="18"/>
          <w:szCs w:val="18"/>
          <w:color w:val="auto"/>
        </w:rPr>
        <w:t>Comprised of accumulated goodwill impairment expense of $72.7 million at Velocity, $24.9 million at Arnold and $78.3 million at PrimaLoft.</w:t>
      </w:r>
    </w:p>
    <w:p>
      <w:pPr>
        <w:spacing w:after="0" w:line="19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three months ended March 31, 2026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740" w:type="dxa"/>
            <w:vAlign w:val="bottom"/>
            <w:tcBorders>
              <w:top w:val="single" w:sz="8" w:color="auto"/>
            </w:tcBorders>
            <w:gridSpan w:val="2"/>
          </w:tcPr>
          <w:p>
            <w:pPr>
              <w:jc w:val="right"/>
              <w:ind w:right="19"/>
              <w:spacing w:after="0" w:line="169" w:lineRule="exact"/>
              <w:rPr>
                <w:sz w:val="20"/>
                <w:szCs w:val="20"/>
                <w:color w:val="auto"/>
              </w:rPr>
            </w:pPr>
            <w:r>
              <w:rPr>
                <w:rFonts w:ascii="Arial" w:cs="Arial" w:eastAsia="Arial" w:hAnsi="Arial"/>
                <w:sz w:val="15"/>
                <w:szCs w:val="15"/>
                <w:b w:val="1"/>
                <w:bCs w:val="1"/>
                <w:color w:val="auto"/>
              </w:rPr>
              <w:t>Balance at January 1,</w:t>
            </w: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160"/>
              <w:spacing w:after="0" w:line="169" w:lineRule="exact"/>
              <w:rPr>
                <w:sz w:val="20"/>
                <w:szCs w:val="20"/>
                <w:color w:val="auto"/>
              </w:rPr>
            </w:pPr>
            <w:r>
              <w:rPr>
                <w:rFonts w:ascii="Arial" w:cs="Arial" w:eastAsia="Arial" w:hAnsi="Arial"/>
                <w:sz w:val="15"/>
                <w:szCs w:val="15"/>
                <w:b w:val="1"/>
                <w:bCs w:val="1"/>
                <w:color w:val="auto"/>
              </w:rPr>
              <w:t>Goodwill</w:t>
            </w:r>
          </w:p>
        </w:tc>
        <w:tc>
          <w:tcPr>
            <w:tcW w:w="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ind w:left="140"/>
              <w:spacing w:after="0"/>
              <w:rPr>
                <w:sz w:val="20"/>
                <w:szCs w:val="20"/>
                <w:color w:val="auto"/>
              </w:rPr>
            </w:pPr>
            <w:r>
              <w:rPr>
                <w:rFonts w:ascii="Arial" w:cs="Arial" w:eastAsia="Arial" w:hAnsi="Arial"/>
                <w:sz w:val="15"/>
                <w:szCs w:val="15"/>
                <w:b w:val="1"/>
                <w:bCs w:val="1"/>
                <w:color w:val="auto"/>
              </w:rPr>
              <w:t>Other</w:t>
            </w:r>
          </w:p>
        </w:tc>
        <w:tc>
          <w:tcPr>
            <w:tcW w:w="160" w:type="dxa"/>
            <w:vAlign w:val="bottom"/>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0"/>
              <w:spacing w:after="0" w:line="169" w:lineRule="exact"/>
              <w:rPr>
                <w:sz w:val="20"/>
                <w:szCs w:val="20"/>
                <w:color w:val="auto"/>
              </w:rPr>
            </w:pPr>
            <w:r>
              <w:rPr>
                <w:rFonts w:ascii="Arial" w:cs="Arial" w:eastAsia="Arial" w:hAnsi="Arial"/>
                <w:sz w:val="15"/>
                <w:szCs w:val="15"/>
                <w:b w:val="1"/>
                <w:bCs w:val="1"/>
                <w:color w:val="auto"/>
              </w:rPr>
              <w:t>Balance at March</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Arial" w:cs="Arial" w:eastAsia="Arial" w:hAnsi="Arial"/>
                <w:sz w:val="15"/>
                <w:szCs w:val="15"/>
                <w:b w:val="1"/>
                <w:bCs w:val="1"/>
                <w:color w:val="auto"/>
              </w:rPr>
              <w:t>2026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5"/>
                <w:szCs w:val="15"/>
                <w:b w:val="1"/>
                <w:bCs w:val="1"/>
                <w:color w:val="auto"/>
              </w:rPr>
              <w:t>Impairment</w:t>
            </w: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00"/>
              <w:spacing w:after="0"/>
              <w:rPr>
                <w:sz w:val="20"/>
                <w:szCs w:val="20"/>
                <w:color w:val="auto"/>
              </w:rPr>
            </w:pPr>
            <w:r>
              <w:rPr>
                <w:rFonts w:ascii="Arial" w:cs="Arial" w:eastAsia="Arial" w:hAnsi="Arial"/>
                <w:sz w:val="15"/>
                <w:szCs w:val="15"/>
                <w:b w:val="1"/>
                <w:bCs w:val="1"/>
                <w:color w:val="auto"/>
              </w:rPr>
              <w:t>31, 2026</w:t>
            </w:r>
          </w:p>
        </w:tc>
        <w:tc>
          <w:tcPr>
            <w:tcW w:w="0" w:type="dxa"/>
            <w:vAlign w:val="bottom"/>
          </w:tcPr>
          <w:p>
            <w:pPr>
              <w:spacing w:after="0"/>
              <w:rPr>
                <w:sz w:val="1"/>
                <w:szCs w:val="1"/>
                <w:color w:val="auto"/>
              </w:rPr>
            </w:pPr>
          </w:p>
        </w:tc>
      </w:tr>
      <w:tr>
        <w:trPr>
          <w:trHeight w:val="209"/>
        </w:trPr>
        <w:tc>
          <w:tcPr>
            <w:tcW w:w="4560" w:type="dxa"/>
            <w:vAlign w:val="bottom"/>
          </w:tcPr>
          <w:p>
            <w:pPr>
              <w:ind w:left="20"/>
              <w:spacing w:after="0"/>
              <w:rPr>
                <w:sz w:val="20"/>
                <w:szCs w:val="20"/>
                <w:color w:val="auto"/>
              </w:rPr>
            </w:pPr>
            <w:r>
              <w:rPr>
                <w:rFonts w:ascii="Arial" w:cs="Arial" w:eastAsia="Arial" w:hAnsi="Arial"/>
                <w:sz w:val="16"/>
                <w:szCs w:val="16"/>
                <w:color w:val="auto"/>
              </w:rPr>
              <w:t>5.11</w:t>
            </w:r>
          </w:p>
        </w:tc>
        <w:tc>
          <w:tcPr>
            <w:tcW w:w="40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92,966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92,966</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PrimaLoft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232,536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ind w:left="540"/>
              <w:spacing w:after="0"/>
              <w:rPr>
                <w:sz w:val="20"/>
                <w:szCs w:val="20"/>
                <w:color w:val="auto"/>
              </w:rPr>
            </w:pPr>
            <w:r>
              <w:rPr>
                <w:rFonts w:ascii="Arial" w:cs="Arial" w:eastAsia="Arial" w:hAnsi="Arial"/>
                <w:sz w:val="16"/>
                <w:szCs w:val="16"/>
                <w:color w:val="auto"/>
              </w:rPr>
              <w:t>(20,500)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212,036</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107,039</w:t>
            </w: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4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114,124</w:t>
            </w: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Arnold</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39,267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39,267</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Sterno </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(44,019)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11,317</w:t>
            </w:r>
          </w:p>
        </w:tc>
        <w:tc>
          <w:tcPr>
            <w:tcW w:w="0" w:type="dxa"/>
            <w:vAlign w:val="bottom"/>
          </w:tcPr>
          <w:p>
            <w:pPr>
              <w:spacing w:after="0"/>
              <w:rPr>
                <w:sz w:val="1"/>
                <w:szCs w:val="1"/>
                <w:color w:val="auto"/>
              </w:rPr>
            </w:pPr>
          </w:p>
        </w:tc>
      </w:tr>
      <w:tr>
        <w:trPr>
          <w:trHeight w:val="210"/>
        </w:trPr>
        <w:tc>
          <w:tcPr>
            <w:tcW w:w="4560" w:type="dxa"/>
            <w:vAlign w:val="bottom"/>
          </w:tcPr>
          <w:p>
            <w:pPr>
              <w:ind w:left="220"/>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895,421</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(20,500)</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rPr>
              <w:t>(44,019)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830,902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right="20" w:hanging="332"/>
        <w:spacing w:after="0" w:line="231" w:lineRule="auto"/>
        <w:tabs>
          <w:tab w:leader="none" w:pos="209" w:val="left"/>
        </w:tabs>
        <w:numPr>
          <w:ilvl w:val="0"/>
          <w:numId w:val="10"/>
        </w:numPr>
        <w:rPr>
          <w:rFonts w:ascii="Arial" w:cs="Arial" w:eastAsia="Arial" w:hAnsi="Arial"/>
          <w:sz w:val="24"/>
          <w:szCs w:val="24"/>
          <w:b w:val="1"/>
          <w:bCs w:val="1"/>
          <w:color w:val="auto"/>
          <w:vertAlign w:val="superscript"/>
        </w:rPr>
      </w:pPr>
      <w:r>
        <w:rPr>
          <w:rFonts w:ascii="Arial" w:cs="Arial" w:eastAsia="Arial" w:hAnsi="Arial"/>
          <w:sz w:val="17"/>
          <w:szCs w:val="17"/>
          <w:color w:val="auto"/>
        </w:rPr>
        <w:t>The goodwill balance allocated to the Sterno food service product division is classified as held for sale at March 31, 2026. The balance at March 31, 2026 represents the goodwill balance of the Rimports product division.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Company's indefinite lived intangible asset consists of a trade name at the Sterno reporting unit that is classified as held for sale at March 31, 2026. The Company evaluated the qualitative factors of the indefinite lived intangible asset in connection with the annual impairment testing for 2026 and 2025. Results of the qualitative analysis indicate that it is more likely than not that the fair value of the reporting unit that maintains an indefinite lived intangible asset exceeded the carrying value.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 xml:space="preserve">Other intangible assets are comprised of the following at March 31, 2026 and December 31, 2025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1"/>
                <w:szCs w:val="11"/>
                <w:color w:val="auto"/>
              </w:rPr>
            </w:pPr>
          </w:p>
        </w:tc>
        <w:tc>
          <w:tcPr>
            <w:tcW w:w="128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center"/>
              <w:ind w:right="47"/>
              <w:spacing w:after="0" w:line="130" w:lineRule="exact"/>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147"/>
              <w:spacing w:after="0" w:line="130"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right"/>
              <w:ind w:right="127"/>
              <w:spacing w:after="0" w:line="130"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300" w:type="dxa"/>
            <w:vAlign w:val="bottom"/>
          </w:tcPr>
          <w:p>
            <w:pPr>
              <w:jc w:val="right"/>
              <w:ind w:right="40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100" w:type="dxa"/>
            <w:vAlign w:val="bottom"/>
          </w:tcPr>
          <w:p>
            <w:pPr>
              <w:jc w:val="right"/>
              <w:ind w:right="28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1"/>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710,654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(314,786)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395,868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772,137</w:t>
            </w:r>
          </w:p>
        </w:tc>
        <w:tc>
          <w:tcPr>
            <w:tcW w:w="2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(362,737)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409,400</w:t>
            </w: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201,435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(96,495)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104,940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201,049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(92,853)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108,196</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454,203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338,255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453,512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343,847</w:t>
            </w: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5"/>
                <w:szCs w:val="15"/>
                <w:color w:val="auto"/>
              </w:rPr>
              <w:t>Non-compete agreements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contractual intangible 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2660" w:type="dxa"/>
            <w:vAlign w:val="bottom"/>
          </w:tcPr>
          <w:p>
            <w:pPr>
              <w:ind w:left="36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1,367,970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(528,892)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839,078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1,428,496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(566,995)</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861,501</w:t>
            </w:r>
          </w:p>
        </w:tc>
        <w:tc>
          <w:tcPr>
            <w:tcW w:w="0" w:type="dxa"/>
            <w:vAlign w:val="bottom"/>
          </w:tcPr>
          <w:p>
            <w:pPr>
              <w:spacing w:after="0"/>
              <w:rPr>
                <w:sz w:val="1"/>
                <w:szCs w:val="1"/>
                <w:color w:val="auto"/>
              </w:rPr>
            </w:pPr>
          </w:p>
        </w:tc>
      </w:tr>
      <w:tr>
        <w:trPr>
          <w:trHeight w:val="151"/>
        </w:trPr>
        <w:tc>
          <w:tcPr>
            <w:tcW w:w="26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Trade names, not subject to</w:t>
            </w:r>
          </w:p>
        </w:tc>
        <w:tc>
          <w:tcPr>
            <w:tcW w:w="16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30,810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 xml:space="preserve">amortization </w:t>
            </w:r>
            <w:r>
              <w:rPr>
                <w:rFonts w:ascii="Arial" w:cs="Arial" w:eastAsia="Arial" w:hAnsi="Arial"/>
                <w:sz w:val="19"/>
                <w:szCs w:val="19"/>
                <w:b w:val="1"/>
                <w:bCs w:val="1"/>
                <w:color w:val="auto"/>
                <w:vertAlign w:val="superscript"/>
              </w:rPr>
              <w:t>(1)</w:t>
            </w:r>
          </w:p>
        </w:tc>
        <w:tc>
          <w:tcPr>
            <w:tcW w:w="16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5"/>
                <w:szCs w:val="15"/>
                <w:color w:val="auto"/>
              </w:rPr>
              <w:t>In-process research and development</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66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(2)</w:t>
            </w:r>
          </w:p>
        </w:tc>
        <w:tc>
          <w:tcPr>
            <w:tcW w:w="160" w:type="dxa"/>
            <w:vAlign w:val="bottom"/>
          </w:tcPr>
          <w:p>
            <w:pPr>
              <w:spacing w:after="0"/>
              <w:rPr>
                <w:sz w:val="8"/>
                <w:szCs w:val="8"/>
                <w:color w:val="auto"/>
              </w:rPr>
            </w:pPr>
          </w:p>
        </w:tc>
        <w:tc>
          <w:tcPr>
            <w:tcW w:w="128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restart"/>
          </w:tcPr>
          <w:p>
            <w:pPr>
              <w:jc w:val="right"/>
              <w:ind w:right="7"/>
              <w:spacing w:after="0" w:line="149"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restart"/>
          </w:tcPr>
          <w:p>
            <w:pPr>
              <w:ind w:left="980"/>
              <w:spacing w:after="0" w:line="149" w:lineRule="exact"/>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54"/>
        </w:trPr>
        <w:tc>
          <w:tcPr>
            <w:tcW w:w="26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intangibles,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1,368,470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(528,892)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839,578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1,459,806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(566,995)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892,811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indefinite lived trade name is classified as held for sale at March 31, 2026.</w:t>
      </w:r>
    </w:p>
    <w:p>
      <w:pPr>
        <w:spacing w:after="0" w:line="193" w:lineRule="exact"/>
        <w:rPr>
          <w:rFonts w:ascii="Arial" w:cs="Arial" w:eastAsia="Arial" w:hAnsi="Arial"/>
          <w:sz w:val="21"/>
          <w:szCs w:val="21"/>
          <w:b w:val="1"/>
          <w:bCs w:val="1"/>
          <w:color w:val="auto"/>
          <w:vertAlign w:val="superscript"/>
        </w:rPr>
      </w:pPr>
    </w:p>
    <w:p>
      <w:pPr>
        <w:ind w:firstLine="8"/>
        <w:spacing w:after="0" w:line="247" w:lineRule="auto"/>
        <w:tabs>
          <w:tab w:leader="none" w:pos="189" w:val="left"/>
        </w:tabs>
        <w:numPr>
          <w:ilvl w:val="0"/>
          <w:numId w:val="11"/>
        </w:numPr>
        <w:rPr>
          <w:rFonts w:ascii="Arial" w:cs="Arial" w:eastAsia="Arial" w:hAnsi="Arial"/>
          <w:sz w:val="22"/>
          <w:szCs w:val="22"/>
          <w:b w:val="1"/>
          <w:bCs w:val="1"/>
          <w:color w:val="auto"/>
          <w:vertAlign w:val="superscript"/>
        </w:rPr>
      </w:pPr>
      <w:r>
        <w:rPr>
          <w:rFonts w:ascii="Arial" w:cs="Arial" w:eastAsia="Arial" w:hAnsi="Arial"/>
          <w:sz w:val="17"/>
          <w:szCs w:val="17"/>
          <w:color w:val="auto"/>
        </w:rPr>
        <w:t>In-process research and development is considered indefinite lived until the underlying technology becomes viable, at which point the intangible asset will be amortized over the expected useful life.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related to intangible assets was $22.8 million and $23.4 million for the three months ended March 31, 2026 and March 31, 2025, respectively.</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2026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2800" w:type="dxa"/>
        <w:tblCellMar>
          <w:top w:w="0" w:type="dxa"/>
          <w:left w:w="0" w:type="dxa"/>
          <w:bottom w:w="0" w:type="dxa"/>
          <w:right w:w="0" w:type="dxa"/>
        </w:tblCellMar>
      </w:tblPr>
      <w:tr>
        <w:trPr>
          <w:trHeight w:val="217"/>
        </w:trPr>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2030</w:t>
            </w:r>
          </w:p>
        </w:tc>
      </w:tr>
      <w:tr>
        <w:trPr>
          <w:trHeight w:val="34"/>
        </w:trPr>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79,217</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long-lived asset impairment testing</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Lugano - As a result of the preliminary findings of the Lugano Investigation, the Company determined that a triggering event had occurred in the second quarter of 2025 and tested the long-lived assets of Lugano for impairment. The long-lived assets at Lugano were comprised of a tradename intangible asset, property, plant and equipment and right-of-use lease assets. The long-lived assets were assessed as definite lived assets to be held and used as of the impairment testing in the second quarter. The assessment of the recoverability of the carrying value of the Lugano assets resulted in an impairment loss of $29.5 million related to property, plant and equipment and $1.9 million related to right-of-use assets as of June 30, 2025. The impairment of the property, plant and equipment reflects the amount by which the carrying value of these assets exceed their estimated fair value, with fair value determined primarily through a market comparison method. The right-of-use asset related to a retail salon in Toronto, Canada. At the time of the triggering event, the Toronto retail salon had not yet opened and the Company's assessment determined that given the findings of the Lugano Investigation, it was unlikely that the Toronto salon would open in the near term. The impairment test for right-of-use assets involves comparing the right-of-use asset's carrying value to the undiscounted cash flows expected from its future use. Given the expectation that the Toronto retail salon would not open, no cash flows were expected from its future use and an impairment loss was recognized for the entire balance of the right-of-use asset associated with the Toronto salon lease.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Warranties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BOA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8"/>
          <w:szCs w:val="18"/>
          <w:color w:val="auto"/>
        </w:rPr>
        <w:t>the carrying value of the Company’s warranty liability for the three months ended March 31, 2026 and the year ended December 31, 2025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7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Warranty liability</w:t>
            </w:r>
          </w:p>
        </w:tc>
        <w:tc>
          <w:tcPr>
            <w:tcW w:w="1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center"/>
              <w:ind w:right="101"/>
              <w:spacing w:after="0" w:line="162" w:lineRule="exact"/>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41"/>
              <w:spacing w:after="0" w:line="162" w:lineRule="exact"/>
              <w:rPr>
                <w:sz w:val="20"/>
                <w:szCs w:val="20"/>
                <w:color w:val="auto"/>
              </w:rPr>
            </w:pPr>
            <w:r>
              <w:rPr>
                <w:rFonts w:ascii="Arial" w:cs="Arial" w:eastAsia="Arial" w:hAnsi="Arial"/>
                <w:sz w:val="15"/>
                <w:szCs w:val="15"/>
                <w:b w:val="1"/>
                <w:bCs w:val="1"/>
                <w:color w:val="auto"/>
              </w:rPr>
              <w:t>Year ended December</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rPr>
              <w:t>March 31, 2026</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61"/>
              <w:spacing w:after="0"/>
              <w:rPr>
                <w:sz w:val="20"/>
                <w:szCs w:val="20"/>
                <w:color w:val="auto"/>
              </w:rPr>
            </w:pPr>
            <w:r>
              <w:rPr>
                <w:rFonts w:ascii="Arial" w:cs="Arial" w:eastAsia="Arial" w:hAnsi="Arial"/>
                <w:sz w:val="15"/>
                <w:szCs w:val="15"/>
                <w:b w:val="1"/>
                <w:bCs w:val="1"/>
                <w:color w:val="auto"/>
              </w:rPr>
              <w:t>31, 2025</w:t>
            </w:r>
          </w:p>
        </w:tc>
        <w:tc>
          <w:tcPr>
            <w:tcW w:w="0" w:type="dxa"/>
            <w:vAlign w:val="bottom"/>
          </w:tcPr>
          <w:p>
            <w:pPr>
              <w:spacing w:after="0"/>
              <w:rPr>
                <w:sz w:val="1"/>
                <w:szCs w:val="1"/>
                <w:color w:val="auto"/>
              </w:rPr>
            </w:pPr>
          </w:p>
        </w:tc>
      </w:tr>
      <w:tr>
        <w:trPr>
          <w:trHeight w:val="88"/>
        </w:trPr>
        <w:tc>
          <w:tcPr>
            <w:tcW w:w="4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center"/>
              <w:ind w:left="1121"/>
              <w:spacing w:after="0"/>
              <w:rPr>
                <w:sz w:val="20"/>
                <w:szCs w:val="20"/>
                <w:color w:val="auto"/>
              </w:rPr>
            </w:pPr>
            <w:r>
              <w:rPr>
                <w:rFonts w:ascii="Arial" w:cs="Arial" w:eastAsia="Arial" w:hAnsi="Arial"/>
                <w:sz w:val="16"/>
                <w:szCs w:val="16"/>
                <w:color w:val="auto"/>
                <w:w w:val="99"/>
              </w:rPr>
              <w:t>1,121</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Provision for warranties issued during the period</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121"/>
              <w:spacing w:after="0"/>
              <w:rPr>
                <w:sz w:val="20"/>
                <w:szCs w:val="20"/>
                <w:color w:val="auto"/>
              </w:rPr>
            </w:pPr>
            <w:r>
              <w:rPr>
                <w:rFonts w:ascii="Arial" w:cs="Arial" w:eastAsia="Arial" w:hAnsi="Arial"/>
                <w:sz w:val="16"/>
                <w:szCs w:val="16"/>
                <w:color w:val="auto"/>
                <w:w w:val="99"/>
              </w:rPr>
              <w:t>2,399</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Fulfillment of warranty obligations</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101"/>
              <w:spacing w:after="0"/>
              <w:rPr>
                <w:sz w:val="20"/>
                <w:szCs w:val="20"/>
                <w:color w:val="auto"/>
              </w:rPr>
            </w:pPr>
            <w:r>
              <w:rPr>
                <w:rFonts w:ascii="Arial" w:cs="Arial" w:eastAsia="Arial" w:hAnsi="Arial"/>
                <w:sz w:val="16"/>
                <w:szCs w:val="16"/>
                <w:color w:val="auto"/>
                <w:w w:val="98"/>
              </w:rPr>
              <w:t>(2,227)</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center"/>
              <w:ind w:left="1121"/>
              <w:spacing w:after="0"/>
              <w:rPr>
                <w:sz w:val="20"/>
                <w:szCs w:val="20"/>
                <w:color w:val="auto"/>
              </w:rPr>
            </w:pPr>
            <w:r>
              <w:rPr>
                <w:rFonts w:ascii="Arial" w:cs="Arial" w:eastAsia="Arial" w:hAnsi="Arial"/>
                <w:sz w:val="16"/>
                <w:szCs w:val="16"/>
                <w:color w:val="auto"/>
                <w:w w:val="99"/>
              </w:rPr>
              <w:t>1,293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G —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Credit Facility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LLC is party to a Third Amended and Restated Credit Agreement, dated July 12, 2022, as amended from time to time, which we refer to as the “2022 Credit Facility.” As of March 31, 2026, the 2022 Credit Facility provided for revolving loans, swing line loans and letters of credit in an aggregate amount of up to $100.0 million, and term loans with an aggregate principal amount of $534.0 million outstanding. At March 31, 2026, there were no revolving borrowings outstanding under the 2022 Credit Facility, and net availability for revolving loans and letters of credit under the 2022 Credit Facility was approximately $99.1 million, after giving effect to approximately $0.9 million of outstanding letters of credit. Amounts outstanding under the 2022 Credit Facility mature on July 12, 2027.</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Borrowings bear interest at either a base rate or Term SOFR, plus an applicable margin based on the Company’s Consolidated Total Leverage Ratio, which applicable margin ranges from 0.50% to 2.25% for borrowings bearing interest based on the base rate and from 1.50% to 3.25% for borrowings bearing interest based on Term SOFR. The 2022 Credit Facility is secured by substantially all assets of the Company, including equity interests in, and loans to, its consolidated subsidiaries, and contains customary affirmative and negative covenants, financial covenants, restrictions on certain restricted payments and management fee payments, enhanced reporting requirements, and requirements to use net cash proceeds from certain dispositions and deleveraging transactions to repay indebtedness. In addition, on December 19, 2025, the LLC entered into a Fifth Amendment to the 2022 Credit Facility (the “Fifth Amendment”) and a related transaction letter (the “Transaction Letter”) and, pursuant to the Transaction Letter, if (i) the Consolidated Total Leverage Ratio is not less than 4.50:1.00 and (ii) the Consolidated Senior Secured Leverage Ratio is not less than 1:00 to 1:00, as of the last day of the fiscal quarters ending June 30, 2026, September 30, 2026, December 31, 2026 and March 31, 2027, respectively, the Company is required to pay to the Administrative Agent, for the ratable benefit of the Lenders, the milestone fees in the amount of $5,000,000, $6,500,000, $8,000,000 and $9,500,000, respectively, subject to certain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outstanding $1,029.4 million aggregate principal amount of 5.250% Senior Notes due April 15, 2029 (the “2029 Senior Notes”) and $308.8 million aggregate principal amount of 5.000% Senior Notes due January 15, 2032 (the “2032 Senior Notes”), which we refer to collectively as the “Senior Notes.” Interest on the 2029 Senior Notes is payable in cash semi-annually on April 15 and October 15 of each year, and interest on the 2032 Senior Notes is payable in cash semi-annually on January 15 and July 15 of each year. The outstanding principal amounts of the Senior Notes reflect paid-in-kind payments made in 2025 in connection with an indenture forbearance arrangement which was described in detail in the 2025 Form 10-K.</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Notes rank equal in right of payment with all of the Company’s existing and future senior unsecured indebtedness and senior in right of payment to all of the Company’s future subordinated indebtedness, if any. The Senior Notes are effectively subordinated to the Company’s existing and future secured indebtedness, including indebtedness under the 2022 Credit Facility, to the extent of the value of the assets securing such indebtedness. The indentures governing the Senior Notes contain customary restrictive covenants, subject to certain exceptions, including limitations on the incurrence of additional indebtedness, restricted payments, transactions with affiliates, asset sales, mergers and consolidations, subsidiary guarantees, liens, sale-leaseback transactions and certain investments.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Lugano Financing Arrangements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Lugano entered into various financing arrangements with third parties that were not recorded in the financial statements of Lugano as debt. In connection with the Lugano Investigation, the Company determined that the inventory and sales transactions recorded in connection with these financing agreements were invalid because they were inconsistent with the underlying substance of the agreements. These financing arrangements represented debt and the financing arrangements and related interest expense were recorded in the consolidated financial statements. Interest expense was determined based on documentation related to the underlying arrangement or, when no documentation existed related to the financing arrangement, imputed based on various factors associated with the arrangement. Lugano recorded $8.9 million in interest expense in the first quarter of 2025 related to these financing arrangements which is included in interest expense in the consolidated statement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subject to customary affirmative and restrictive covenants under the 2022 Credit Facility, including financial maintenance covenants. The following table reflects the financial covenant requirements and actual ratios as of March 31, 2026 under the 2022 Credit Facility, as amended by the Fifth Amendment:</w:t>
      </w:r>
    </w:p>
    <w:p>
      <w:pPr>
        <w:spacing w:after="0" w:line="157"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394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420" w:type="dxa"/>
            <w:vAlign w:val="bottom"/>
            <w:gridSpan w:val="2"/>
          </w:tcPr>
          <w:p>
            <w:pPr>
              <w:spacing w:after="0"/>
              <w:rPr>
                <w:sz w:val="20"/>
                <w:szCs w:val="20"/>
                <w:color w:val="auto"/>
              </w:rPr>
            </w:pPr>
            <w:r>
              <w:rPr>
                <w:rFonts w:ascii="Arial" w:cs="Arial" w:eastAsia="Arial" w:hAnsi="Arial"/>
                <w:sz w:val="15"/>
                <w:szCs w:val="15"/>
                <w:b w:val="1"/>
                <w:bCs w:val="1"/>
                <w:color w:val="auto"/>
              </w:rPr>
              <w:t>Covenant Ratio Requirement</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rPr>
              <w:t>Actual Ratio</w:t>
            </w:r>
          </w:p>
        </w:tc>
      </w:tr>
      <w:tr>
        <w:trPr>
          <w:trHeight w:val="75"/>
        </w:trPr>
        <w:tc>
          <w:tcPr>
            <w:tcW w:w="37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1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r>
      <w:tr>
        <w:trPr>
          <w:trHeight w:val="20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Fixed Charge Coverage Ratio</w:t>
            </w: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Greater than or equal to 1.00:1.00</w:t>
            </w:r>
          </w:p>
        </w:tc>
        <w:tc>
          <w:tcPr>
            <w:tcW w:w="15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1.53:1:00</w:t>
            </w:r>
          </w:p>
        </w:tc>
      </w:tr>
      <w:tr>
        <w:trPr>
          <w:trHeight w:val="201"/>
        </w:trPr>
        <w:tc>
          <w:tcPr>
            <w:tcW w:w="3940" w:type="dxa"/>
            <w:vAlign w:val="bottom"/>
            <w:gridSpan w:val="2"/>
          </w:tcPr>
          <w:p>
            <w:pPr>
              <w:ind w:left="20"/>
              <w:spacing w:after="0"/>
              <w:rPr>
                <w:sz w:val="20"/>
                <w:szCs w:val="20"/>
                <w:color w:val="auto"/>
              </w:rPr>
            </w:pPr>
            <w:r>
              <w:rPr>
                <w:rFonts w:ascii="Arial" w:cs="Arial" w:eastAsia="Arial" w:hAnsi="Arial"/>
                <w:sz w:val="15"/>
                <w:szCs w:val="15"/>
                <w:color w:val="auto"/>
              </w:rPr>
              <w:t>Total Secured Debt to EBITDA Ratio</w:t>
            </w:r>
          </w:p>
        </w:tc>
        <w:tc>
          <w:tcPr>
            <w:tcW w:w="3420" w:type="dxa"/>
            <w:vAlign w:val="bottom"/>
            <w:gridSpan w:val="2"/>
          </w:tcPr>
          <w:p>
            <w:pPr>
              <w:spacing w:after="0"/>
              <w:rPr>
                <w:sz w:val="20"/>
                <w:szCs w:val="20"/>
                <w:color w:val="auto"/>
              </w:rPr>
            </w:pPr>
            <w:r>
              <w:rPr>
                <w:rFonts w:ascii="Arial" w:cs="Arial" w:eastAsia="Arial" w:hAnsi="Arial"/>
                <w:sz w:val="15"/>
                <w:szCs w:val="15"/>
                <w:color w:val="auto"/>
              </w:rPr>
              <w:t>Less than or equal to 2.50: 1.00</w:t>
            </w:r>
          </w:p>
        </w:tc>
        <w:tc>
          <w:tcPr>
            <w:tcW w:w="1500" w:type="dxa"/>
            <w:vAlign w:val="bottom"/>
          </w:tcPr>
          <w:p>
            <w:pPr>
              <w:jc w:val="center"/>
              <w:spacing w:after="0"/>
              <w:rPr>
                <w:sz w:val="20"/>
                <w:szCs w:val="20"/>
                <w:color w:val="auto"/>
              </w:rPr>
            </w:pPr>
            <w:r>
              <w:rPr>
                <w:rFonts w:ascii="Arial" w:cs="Arial" w:eastAsia="Arial" w:hAnsi="Arial"/>
                <w:sz w:val="15"/>
                <w:szCs w:val="15"/>
                <w:color w:val="auto"/>
              </w:rPr>
              <w:t>1.44:1:00</w:t>
            </w:r>
          </w:p>
        </w:tc>
      </w:tr>
      <w:tr>
        <w:trPr>
          <w:trHeight w:val="204"/>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 to EBITDA Ratio</w:t>
            </w: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than or equal to 5.75: 1.00</w:t>
            </w:r>
          </w:p>
        </w:tc>
        <w:tc>
          <w:tcPr>
            <w:tcW w:w="15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5.32:1:00</w:t>
            </w:r>
          </w:p>
        </w:tc>
      </w:tr>
    </w:tbl>
    <w:p>
      <w:pPr>
        <w:spacing w:after="0" w:line="23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The following table provides the Company’s outstanding long-term debt and effective interest rates at March 31, 2026 and December 31, 2025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60" w:type="dxa"/>
            <w:vAlign w:val="bottom"/>
            <w:tcBorders>
              <w:top w:val="single" w:sz="8" w:color="auto"/>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March 31, 2026</w:t>
            </w:r>
          </w:p>
        </w:tc>
        <w:tc>
          <w:tcPr>
            <w:tcW w:w="180" w:type="dxa"/>
            <w:vAlign w:val="bottom"/>
          </w:tcPr>
          <w:p>
            <w:pPr>
              <w:spacing w:after="0"/>
              <w:rPr>
                <w:sz w:val="18"/>
                <w:szCs w:val="18"/>
                <w:color w:val="auto"/>
              </w:rPr>
            </w:pPr>
          </w:p>
        </w:tc>
        <w:tc>
          <w:tcPr>
            <w:tcW w:w="274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Effective Interest</w:t>
            </w:r>
          </w:p>
        </w:tc>
        <w:tc>
          <w:tcPr>
            <w:tcW w:w="260" w:type="dxa"/>
            <w:vAlign w:val="bottom"/>
          </w:tcPr>
          <w:p>
            <w:pPr>
              <w:spacing w:after="0"/>
              <w:rPr>
                <w:sz w:val="12"/>
                <w:szCs w:val="12"/>
                <w:color w:val="auto"/>
              </w:rPr>
            </w:pPr>
          </w:p>
        </w:tc>
        <w:tc>
          <w:tcPr>
            <w:tcW w:w="114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32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rPr>
              <w:t>Effective Interest</w:t>
            </w:r>
          </w:p>
        </w:tc>
        <w:tc>
          <w:tcPr>
            <w:tcW w:w="280" w:type="dxa"/>
            <w:vAlign w:val="bottom"/>
          </w:tcPr>
          <w:p>
            <w:pPr>
              <w:spacing w:after="0"/>
              <w:rPr>
                <w:sz w:val="12"/>
                <w:szCs w:val="12"/>
                <w:color w:val="auto"/>
              </w:rPr>
            </w:pPr>
          </w:p>
        </w:tc>
        <w:tc>
          <w:tcPr>
            <w:tcW w:w="114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380" w:type="dxa"/>
            <w:vAlign w:val="bottom"/>
            <w:vMerge w:val="restart"/>
          </w:tcPr>
          <w:p>
            <w:pPr>
              <w:ind w:left="20"/>
              <w:spacing w:after="0"/>
              <w:rPr>
                <w:sz w:val="20"/>
                <w:szCs w:val="20"/>
                <w:color w:val="auto"/>
              </w:rPr>
            </w:pPr>
            <w:r>
              <w:rPr>
                <w:rFonts w:ascii="Arial" w:cs="Arial" w:eastAsia="Arial" w:hAnsi="Arial"/>
                <w:sz w:val="15"/>
                <w:szCs w:val="15"/>
                <w:color w:val="auto"/>
              </w:rPr>
              <w:t>2029</w:t>
            </w:r>
          </w:p>
        </w:tc>
        <w:tc>
          <w:tcPr>
            <w:tcW w:w="2980" w:type="dxa"/>
            <w:vAlign w:val="bottom"/>
            <w:vMerge w:val="restart"/>
          </w:tcPr>
          <w:p>
            <w:pPr>
              <w:ind w:left="20"/>
              <w:spacing w:after="0"/>
              <w:rPr>
                <w:sz w:val="20"/>
                <w:szCs w:val="20"/>
                <w:color w:val="auto"/>
              </w:rPr>
            </w:pPr>
            <w:r>
              <w:rPr>
                <w:rFonts w:ascii="Arial" w:cs="Arial" w:eastAsia="Arial" w:hAnsi="Arial"/>
                <w:sz w:val="15"/>
                <w:szCs w:val="15"/>
                <w:color w:val="auto"/>
              </w:rPr>
              <w:t>Senior Notes</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5.25%</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1,029,371</w:t>
            </w:r>
          </w:p>
        </w:tc>
        <w:tc>
          <w:tcPr>
            <w:tcW w:w="180" w:type="dxa"/>
            <w:vAlign w:val="bottom"/>
          </w:tcPr>
          <w:p>
            <w:pPr>
              <w:spacing w:after="0"/>
              <w:rPr>
                <w:sz w:val="16"/>
                <w:szCs w:val="16"/>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8.15%</w:t>
            </w:r>
          </w:p>
        </w:tc>
        <w:tc>
          <w:tcPr>
            <w:tcW w:w="80" w:type="dxa"/>
            <w:vAlign w:val="bottom"/>
          </w:tcPr>
          <w:p>
            <w:pPr>
              <w:spacing w:after="0"/>
              <w:rPr>
                <w:sz w:val="16"/>
                <w:szCs w:val="16"/>
                <w:color w:val="auto"/>
              </w:rPr>
            </w:pPr>
          </w:p>
        </w:tc>
        <w:tc>
          <w:tcPr>
            <w:tcW w:w="280" w:type="dxa"/>
            <w:vAlign w:val="bottom"/>
            <w:tcBorders>
              <w:top w:val="single" w:sz="8" w:color="auto"/>
            </w:tcBorders>
          </w:tcPr>
          <w:p>
            <w:pPr>
              <w:jc w:val="center"/>
              <w:ind w:right="64"/>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1,029,371</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2032</w:t>
            </w:r>
          </w:p>
        </w:tc>
        <w:tc>
          <w:tcPr>
            <w:tcW w:w="2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1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5.00%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308,811</w:t>
            </w:r>
          </w:p>
        </w:tc>
        <w:tc>
          <w:tcPr>
            <w:tcW w:w="1420" w:type="dxa"/>
            <w:vAlign w:val="bottom"/>
            <w:gridSpan w:val="2"/>
            <w:shd w:val="clear" w:color="auto" w:fill="CCEEFF"/>
          </w:tcPr>
          <w:p>
            <w:pPr>
              <w:jc w:val="center"/>
              <w:ind w:left="104"/>
              <w:spacing w:after="0"/>
              <w:rPr>
                <w:sz w:val="20"/>
                <w:szCs w:val="20"/>
                <w:color w:val="auto"/>
              </w:rPr>
            </w:pPr>
            <w:r>
              <w:rPr>
                <w:rFonts w:ascii="Arial" w:cs="Arial" w:eastAsia="Arial" w:hAnsi="Arial"/>
                <w:sz w:val="15"/>
                <w:szCs w:val="15"/>
                <w:color w:val="auto"/>
              </w:rPr>
              <w:t>7.93%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308,811</w:t>
            </w:r>
          </w:p>
        </w:tc>
        <w:tc>
          <w:tcPr>
            <w:tcW w:w="0" w:type="dxa"/>
            <w:vAlign w:val="bottom"/>
          </w:tcPr>
          <w:p>
            <w:pPr>
              <w:spacing w:after="0"/>
              <w:rPr>
                <w:sz w:val="1"/>
                <w:szCs w:val="1"/>
                <w:color w:val="auto"/>
              </w:rPr>
            </w:pPr>
          </w:p>
        </w:tc>
      </w:tr>
      <w:tr>
        <w:trPr>
          <w:trHeight w:val="201"/>
        </w:trPr>
        <w:tc>
          <w:tcPr>
            <w:tcW w:w="380" w:type="dxa"/>
            <w:vAlign w:val="bottom"/>
          </w:tcPr>
          <w:p>
            <w:pPr>
              <w:ind w:left="20"/>
              <w:spacing w:after="0"/>
              <w:rPr>
                <w:sz w:val="20"/>
                <w:szCs w:val="20"/>
                <w:color w:val="auto"/>
              </w:rPr>
            </w:pPr>
            <w:r>
              <w:rPr>
                <w:rFonts w:ascii="Arial" w:cs="Arial" w:eastAsia="Arial" w:hAnsi="Arial"/>
                <w:sz w:val="15"/>
                <w:szCs w:val="15"/>
                <w:color w:val="auto"/>
              </w:rPr>
              <w:t>2022</w:t>
            </w:r>
          </w:p>
        </w:tc>
        <w:tc>
          <w:tcPr>
            <w:tcW w:w="2980" w:type="dxa"/>
            <w:vAlign w:val="bottom"/>
          </w:tcPr>
          <w:p>
            <w:pPr>
              <w:ind w:left="20"/>
              <w:spacing w:after="0"/>
              <w:rPr>
                <w:sz w:val="20"/>
                <w:szCs w:val="20"/>
                <w:color w:val="auto"/>
              </w:rPr>
            </w:pPr>
            <w:r>
              <w:rPr>
                <w:rFonts w:ascii="Arial" w:cs="Arial" w:eastAsia="Arial" w:hAnsi="Arial"/>
                <w:sz w:val="15"/>
                <w:szCs w:val="15"/>
                <w:color w:val="auto"/>
              </w:rPr>
              <w:t>Credit Facility - Term Loan</w:t>
            </w:r>
          </w:p>
        </w:tc>
        <w:tc>
          <w:tcPr>
            <w:tcW w:w="1240" w:type="dxa"/>
            <w:vAlign w:val="bottom"/>
          </w:tcPr>
          <w:p>
            <w:pPr>
              <w:jc w:val="center"/>
              <w:spacing w:after="0"/>
              <w:rPr>
                <w:sz w:val="20"/>
                <w:szCs w:val="20"/>
                <w:color w:val="auto"/>
              </w:rPr>
            </w:pPr>
            <w:r>
              <w:rPr>
                <w:rFonts w:ascii="Arial" w:cs="Arial" w:eastAsia="Arial" w:hAnsi="Arial"/>
                <w:sz w:val="15"/>
                <w:szCs w:val="15"/>
                <w:color w:val="auto"/>
              </w:rPr>
              <w:t>7.04%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534,000</w:t>
            </w:r>
          </w:p>
        </w:tc>
        <w:tc>
          <w:tcPr>
            <w:tcW w:w="1420" w:type="dxa"/>
            <w:vAlign w:val="bottom"/>
            <w:gridSpan w:val="2"/>
          </w:tcPr>
          <w:p>
            <w:pPr>
              <w:jc w:val="center"/>
              <w:ind w:left="104"/>
              <w:spacing w:after="0"/>
              <w:rPr>
                <w:sz w:val="20"/>
                <w:szCs w:val="20"/>
                <w:color w:val="auto"/>
              </w:rPr>
            </w:pPr>
            <w:r>
              <w:rPr>
                <w:rFonts w:ascii="Arial" w:cs="Arial" w:eastAsia="Arial" w:hAnsi="Arial"/>
                <w:sz w:val="15"/>
                <w:szCs w:val="15"/>
                <w:color w:val="auto"/>
              </w:rPr>
              <w:t>10.14%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552,500</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2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Credit Facility - Revolving Loans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8"/>
              </w:rPr>
              <w:t>—%</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Unamortized premiums and debt issuance costs</w:t>
            </w:r>
          </w:p>
        </w:tc>
        <w:tc>
          <w:tcPr>
            <w:tcW w:w="1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(11,934)</w:t>
            </w:r>
          </w:p>
        </w:tc>
        <w:tc>
          <w:tcPr>
            <w:tcW w:w="1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(13,365)</w:t>
            </w:r>
          </w:p>
        </w:tc>
        <w:tc>
          <w:tcPr>
            <w:tcW w:w="0" w:type="dxa"/>
            <w:vAlign w:val="bottom"/>
          </w:tcPr>
          <w:p>
            <w:pPr>
              <w:spacing w:after="0"/>
              <w:rPr>
                <w:sz w:val="1"/>
                <w:szCs w:val="1"/>
                <w:color w:val="auto"/>
              </w:rPr>
            </w:pPr>
          </w:p>
        </w:tc>
      </w:tr>
      <w:tr>
        <w:trPr>
          <w:trHeight w:val="197"/>
        </w:trPr>
        <w:tc>
          <w:tcPr>
            <w:tcW w:w="33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debt</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1,860,248</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center"/>
              <w:ind w:right="6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1,877,317</w:t>
            </w:r>
          </w:p>
        </w:tc>
        <w:tc>
          <w:tcPr>
            <w:tcW w:w="0" w:type="dxa"/>
            <w:vAlign w:val="bottom"/>
          </w:tcPr>
          <w:p>
            <w:pPr>
              <w:spacing w:after="0"/>
              <w:rPr>
                <w:sz w:val="1"/>
                <w:szCs w:val="1"/>
                <w:color w:val="auto"/>
              </w:rPr>
            </w:pPr>
          </w:p>
        </w:tc>
      </w:tr>
      <w:tr>
        <w:trPr>
          <w:trHeight w:val="201"/>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Less: Current portion of long-term debt</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(41,250)</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(37,500)</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Long-term debt</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1,818,998</w:t>
            </w: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6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1,839,817</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annual maturities of the Company's debt obligations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3400" w:type="dxa"/>
        <w:tblCellMar>
          <w:top w:w="0" w:type="dxa"/>
          <w:left w:w="0" w:type="dxa"/>
          <w:bottom w:w="0" w:type="dxa"/>
          <w:right w:w="0" w:type="dxa"/>
        </w:tblCellMar>
      </w:tblPr>
      <w:tr>
        <w:trPr>
          <w:trHeight w:val="203"/>
        </w:trPr>
        <w:tc>
          <w:tcPr>
            <w:tcW w:w="2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Remainder of 2026</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30,000</w:t>
            </w:r>
          </w:p>
        </w:tc>
      </w:tr>
      <w:tr>
        <w:trPr>
          <w:trHeight w:val="201"/>
        </w:trPr>
        <w:tc>
          <w:tcPr>
            <w:tcW w:w="2180" w:type="dxa"/>
            <w:vAlign w:val="bottom"/>
          </w:tcPr>
          <w:p>
            <w:pPr>
              <w:jc w:val="right"/>
              <w:spacing w:after="0"/>
              <w:rPr>
                <w:sz w:val="20"/>
                <w:szCs w:val="20"/>
                <w:color w:val="auto"/>
              </w:rPr>
            </w:pPr>
            <w:r>
              <w:rPr>
                <w:rFonts w:ascii="Arial" w:cs="Arial" w:eastAsia="Arial" w:hAnsi="Arial"/>
                <w:sz w:val="15"/>
                <w:szCs w:val="15"/>
                <w:color w:val="auto"/>
              </w:rPr>
              <w:t>2027</w:t>
            </w:r>
          </w:p>
        </w:tc>
        <w:tc>
          <w:tcPr>
            <w:tcW w:w="82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504,000</w:t>
            </w:r>
          </w:p>
        </w:tc>
      </w:tr>
      <w:tr>
        <w:trPr>
          <w:trHeight w:val="204"/>
        </w:trPr>
        <w:tc>
          <w:tcPr>
            <w:tcW w:w="2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2028</w:t>
            </w:r>
          </w:p>
        </w:tc>
        <w:tc>
          <w:tcPr>
            <w:tcW w:w="8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01"/>
        </w:trPr>
        <w:tc>
          <w:tcPr>
            <w:tcW w:w="2180" w:type="dxa"/>
            <w:vAlign w:val="bottom"/>
          </w:tcPr>
          <w:p>
            <w:pPr>
              <w:jc w:val="right"/>
              <w:spacing w:after="0"/>
              <w:rPr>
                <w:sz w:val="20"/>
                <w:szCs w:val="20"/>
                <w:color w:val="auto"/>
              </w:rPr>
            </w:pPr>
            <w:r>
              <w:rPr>
                <w:rFonts w:ascii="Arial" w:cs="Arial" w:eastAsia="Arial" w:hAnsi="Arial"/>
                <w:sz w:val="15"/>
                <w:szCs w:val="15"/>
                <w:color w:val="auto"/>
              </w:rPr>
              <w:t>2029</w:t>
            </w:r>
          </w:p>
        </w:tc>
        <w:tc>
          <w:tcPr>
            <w:tcW w:w="82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1,029,371</w:t>
            </w:r>
          </w:p>
        </w:tc>
      </w:tr>
      <w:tr>
        <w:trPr>
          <w:trHeight w:val="204"/>
        </w:trPr>
        <w:tc>
          <w:tcPr>
            <w:tcW w:w="2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2030</w:t>
            </w:r>
          </w:p>
        </w:tc>
        <w:tc>
          <w:tcPr>
            <w:tcW w:w="8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01"/>
        </w:trPr>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2031 and thereafter</w:t>
            </w:r>
          </w:p>
        </w:tc>
        <w:tc>
          <w:tcPr>
            <w:tcW w:w="8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308,811</w:t>
            </w:r>
          </w:p>
        </w:tc>
      </w:tr>
      <w:tr>
        <w:trPr>
          <w:trHeight w:val="221"/>
        </w:trPr>
        <w:tc>
          <w:tcPr>
            <w:tcW w:w="2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1,872,182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Senior Notes consisted of the following carrying value and estimated fair value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4"/>
          </w:tcPr>
          <w:p>
            <w:pPr>
              <w:jc w:val="right"/>
              <w:ind w:right="902"/>
              <w:spacing w:after="0"/>
              <w:rPr>
                <w:sz w:val="20"/>
                <w:szCs w:val="20"/>
                <w:color w:val="auto"/>
              </w:rPr>
            </w:pPr>
            <w:r>
              <w:rPr>
                <w:rFonts w:ascii="Arial" w:cs="Arial" w:eastAsia="Arial" w:hAnsi="Arial"/>
                <w:sz w:val="16"/>
                <w:szCs w:val="16"/>
                <w:b w:val="1"/>
                <w:bCs w:val="1"/>
                <w:color w:val="auto"/>
              </w:rPr>
              <w:t>March 31, 2026</w:t>
            </w: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122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rPr>
              <w:t>Hierarchy</w:t>
            </w: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1740" w:type="dxa"/>
            <w:vAlign w:val="bottom"/>
            <w:gridSpan w:val="3"/>
            <w:vMerge w:val="restart"/>
          </w:tcPr>
          <w:p>
            <w:pPr>
              <w:ind w:left="300"/>
              <w:spacing w:after="0"/>
              <w:rPr>
                <w:sz w:val="20"/>
                <w:szCs w:val="20"/>
                <w:color w:val="auto"/>
              </w:rPr>
            </w:pPr>
            <w:r>
              <w:rPr>
                <w:rFonts w:ascii="Arial" w:cs="Arial" w:eastAsia="Arial" w:hAnsi="Arial"/>
                <w:sz w:val="16"/>
                <w:szCs w:val="16"/>
                <w:b w:val="1"/>
                <w:bCs w:val="1"/>
                <w:color w:val="auto"/>
              </w:rPr>
              <w:t>Maturity Date</w:t>
            </w:r>
          </w:p>
        </w:tc>
        <w:tc>
          <w:tcPr>
            <w:tcW w:w="120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Rate</w:t>
            </w:r>
          </w:p>
        </w:tc>
        <w:tc>
          <w:tcPr>
            <w:tcW w:w="10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Carrying Value</w:t>
            </w:r>
          </w:p>
        </w:tc>
        <w:tc>
          <w:tcPr>
            <w:tcW w:w="220" w:type="dxa"/>
            <w:vAlign w:val="bottom"/>
          </w:tcPr>
          <w:p>
            <w:pPr>
              <w:spacing w:after="0"/>
              <w:rPr>
                <w:sz w:val="2"/>
                <w:szCs w:val="2"/>
                <w:color w:val="auto"/>
              </w:rPr>
            </w:pPr>
          </w:p>
        </w:tc>
        <w:tc>
          <w:tcPr>
            <w:tcW w:w="128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6"/>
        </w:trPr>
        <w:tc>
          <w:tcPr>
            <w:tcW w:w="1960" w:type="dxa"/>
            <w:vAlign w:val="bottom"/>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Level</w:t>
            </w: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2032 Senior Notes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January 15,</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2032</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5.000 %</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308,811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268,666</w:t>
            </w:r>
          </w:p>
        </w:tc>
        <w:tc>
          <w:tcPr>
            <w:tcW w:w="0" w:type="dxa"/>
            <w:vAlign w:val="bottom"/>
          </w:tcPr>
          <w:p>
            <w:pPr>
              <w:spacing w:after="0"/>
              <w:rPr>
                <w:sz w:val="1"/>
                <w:szCs w:val="1"/>
                <w:color w:val="auto"/>
              </w:rPr>
            </w:pPr>
          </w:p>
        </w:tc>
      </w:tr>
      <w:tr>
        <w:trPr>
          <w:trHeight w:val="200"/>
        </w:trPr>
        <w:tc>
          <w:tcPr>
            <w:tcW w:w="1960" w:type="dxa"/>
            <w:vAlign w:val="bottom"/>
          </w:tcPr>
          <w:p>
            <w:pPr>
              <w:spacing w:after="0"/>
              <w:rPr>
                <w:sz w:val="20"/>
                <w:szCs w:val="20"/>
                <w:color w:val="auto"/>
              </w:rPr>
            </w:pPr>
            <w:r>
              <w:rPr>
                <w:rFonts w:ascii="Arial" w:cs="Arial" w:eastAsia="Arial" w:hAnsi="Arial"/>
                <w:sz w:val="15"/>
                <w:szCs w:val="15"/>
                <w:color w:val="auto"/>
              </w:rPr>
              <w:t>2029 Senior Notes</w:t>
            </w:r>
          </w:p>
        </w:tc>
        <w:tc>
          <w:tcPr>
            <w:tcW w:w="1240" w:type="dxa"/>
            <w:vAlign w:val="bottom"/>
          </w:tcPr>
          <w:p>
            <w:pPr>
              <w:jc w:val="right"/>
              <w:spacing w:after="0"/>
              <w:rPr>
                <w:sz w:val="20"/>
                <w:szCs w:val="20"/>
                <w:color w:val="auto"/>
              </w:rPr>
            </w:pPr>
            <w:r>
              <w:rPr>
                <w:rFonts w:ascii="Arial" w:cs="Arial" w:eastAsia="Arial" w:hAnsi="Arial"/>
                <w:sz w:val="15"/>
                <w:szCs w:val="15"/>
                <w:color w:val="auto"/>
              </w:rPr>
              <w:t>April 15,</w:t>
            </w:r>
          </w:p>
        </w:tc>
        <w:tc>
          <w:tcPr>
            <w:tcW w:w="380" w:type="dxa"/>
            <w:vAlign w:val="bottom"/>
          </w:tcPr>
          <w:p>
            <w:pPr>
              <w:jc w:val="right"/>
              <w:spacing w:after="0"/>
              <w:rPr>
                <w:sz w:val="20"/>
                <w:szCs w:val="20"/>
                <w:color w:val="auto"/>
              </w:rPr>
            </w:pPr>
            <w:r>
              <w:rPr>
                <w:rFonts w:ascii="Arial" w:cs="Arial" w:eastAsia="Arial" w:hAnsi="Arial"/>
                <w:sz w:val="15"/>
                <w:szCs w:val="15"/>
                <w:color w:val="auto"/>
              </w:rPr>
              <w:t>2029</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5.250 %</w:t>
            </w:r>
          </w:p>
        </w:tc>
        <w:tc>
          <w:tcPr>
            <w:tcW w:w="1200" w:type="dxa"/>
            <w:vAlign w:val="bottom"/>
            <w:gridSpan w:val="2"/>
          </w:tcPr>
          <w:p>
            <w:pPr>
              <w:jc w:val="center"/>
              <w:ind w:left="24"/>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1,029,371</w:t>
            </w:r>
          </w:p>
        </w:tc>
        <w:tc>
          <w:tcPr>
            <w:tcW w:w="12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941,874</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debt issuance costs represent the costs incurred in connection with the Company's financing arrangements. Debt issuance costs associated with the revolving loan commitments under the 2022 Credit Facility are recorded in other non-current assets because the commitments are available under a revolving credit arrangement. Debt issuance costs associated with term loans under the 2022 Credit Facility and the Senior Notes are recorded as a reduction of the related debt balances. Deferred debt issuance costs at March 31, 2026 included approximately $5.0 million of costs incurred in connection with the Fifth Amendment to the 2022 Credit Facility.</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debt issuance costs at March 31, 2026 and December 31, 2025, and the balance sheet classification in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5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March 31, 2026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debt issuance costs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38,906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38,906</w:t>
            </w:r>
          </w:p>
        </w:tc>
        <w:tc>
          <w:tcPr>
            <w:tcW w:w="0" w:type="dxa"/>
            <w:vAlign w:val="bottom"/>
          </w:tcPr>
          <w:p>
            <w:pPr>
              <w:spacing w:after="0"/>
              <w:rPr>
                <w:sz w:val="1"/>
                <w:szCs w:val="1"/>
                <w:color w:val="auto"/>
              </w:rPr>
            </w:pPr>
          </w:p>
        </w:tc>
      </w:tr>
      <w:tr>
        <w:trPr>
          <w:trHeight w:val="201"/>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amortization</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(23,896)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(21,849)</w:t>
            </w:r>
          </w:p>
        </w:tc>
        <w:tc>
          <w:tcPr>
            <w:tcW w:w="0" w:type="dxa"/>
            <w:vAlign w:val="bottom"/>
          </w:tcPr>
          <w:p>
            <w:pPr>
              <w:spacing w:after="0"/>
              <w:rPr>
                <w:sz w:val="1"/>
                <w:szCs w:val="1"/>
                <w:color w:val="auto"/>
              </w:rPr>
            </w:pPr>
          </w:p>
        </w:tc>
      </w:tr>
      <w:tr>
        <w:trPr>
          <w:trHeight w:val="22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debt issuance costs, net</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17,057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Balance sheet classification: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3,692</w:t>
            </w:r>
          </w:p>
        </w:tc>
        <w:tc>
          <w:tcPr>
            <w:tcW w:w="0" w:type="dxa"/>
            <w:vAlign w:val="bottom"/>
          </w:tcPr>
          <w:p>
            <w:pPr>
              <w:spacing w:after="0"/>
              <w:rPr>
                <w:sz w:val="1"/>
                <w:szCs w:val="1"/>
                <w:color w:val="auto"/>
              </w:rPr>
            </w:pPr>
          </w:p>
        </w:tc>
      </w:tr>
      <w:tr>
        <w:trPr>
          <w:trHeight w:val="201"/>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Long-term debt</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11,934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13,365</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17,057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Trust is authorized to issue 500,000,000 Trust common shares and the LLC is authorized to issue a corresponding number of Trust common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LLC are entitled to vote. At March 31, 2026, the Trust had 76,135,000 common shares issued and 75,236,000 common shares outstanding. The Company did not issue any common shares under its at-the-market equity programs during the three months ended March 31, 2026, and, as a result of the commencement of the Lugano Investigation and related events, the Company determined during the quarter ended June 30, 2025 that it was unable to continue offering and selling common shares under this program. The Company did not declare or pay any distributions on its common shares during the three months ended March 31, 2026, following the suspension of common share distributions in 2025.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Trust has outstanding 7.250% Series A Preferred Shares, 7.875% Series B Preferred Shares and 7.875% Series C Preferred Shares, each representing beneficial interests in the Trust (collectively, the “Preferred Shares”). Each series of Preferred Shares has a liquidation preference of $25.00 per share. Distributions on the Series A Preferred Shares are discretionary and non-cumulative. When, and if declared by the Company's board of directors, distribution on the Series A Preferred Shares will be payable quarterly on January 30, April 30, July 30, and October 30 of each year, at a rate per annum of 7.250%. Distributions on the Series B Preferred Shares and Series C</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Preferred Shares are cumulative and, when and as declared by the Company’s board of directors, are also payable quarterly in arrears on January 30, April 30, July 30 and October 30 of each year. The Series B Preferred Shares bear distributions at a fixed rate of 7.875% per annum until April 30, 2028, after which the distribution rate will reset quarterly at a floating rate equal to the applicable successor to three-month LIBOR plus a spread of 4.985% per annum. Distributions on the Series C Preferred Shares are payable at a rate per annum of 7.875%.</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2026, accumulated and unpaid distributions were $2.5 million on the Series B Preferred Shares and $2.6 million on the Series C Preferred Shares. The Series A Preferred Shares and Series C Preferred Shares were redeemable at the Company’s option, in whole or in part, as of March 31, 2026 and the Series B Preferred Shares are redeemable at the Company’s option, in whole or in part, on or after April 30, 2028, in each case at a redemption price of $ 25.00 per share plus any applicable declared or accumulated and unpaid distributions to, but excluding, the redemption date. The Preferred Shares are not convertible into Trust common shares and have no voting rights, except in limited circumstances as provided in the applicable share designations.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Unless full cumulative distributions on the Series B Preferred Shares and Series C Preferred Shares have been declared and paid or set apart for payment for all past distribution periods, the Company may not declare or pay distributions on the Trust common shares. In addition, if the Company’s board of directors does not declare a distribution on the Series A Preferred Shares for a quarterly distribution period, the Company may not declare or pay distributions on the Trust common shares during the remainder of that quarterly distribution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2024, the Company established at-the-market equity offering program for the Preferred Shares. As a result of the commencement of the Lugano Investigation and related events, the Company determined during the quarter ended June 30, 2025 that it was unable to continue offering and selling its preferred shares under the Amended Preferred Sales Agreement. No preferred shares were sold during the three months ended March 31, 2026.</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reflects the activity in the preferred share ATM program during the three months ended March 31, 2025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share data)</w:t>
      </w:r>
      <w:r>
        <w:rPr>
          <w:rFonts w:ascii="Arial" w:cs="Arial" w:eastAsia="Arial" w:hAnsi="Arial"/>
          <w:sz w:val="18"/>
          <w:szCs w:val="18"/>
          <w:color w:val="auto"/>
        </w:rPr>
        <w:t>:</w:t>
      </w:r>
    </w:p>
    <w:p>
      <w:pPr>
        <w:spacing w:after="0" w:line="139" w:lineRule="exact"/>
        <w:rPr>
          <w:sz w:val="20"/>
          <w:szCs w:val="20"/>
          <w:color w:val="auto"/>
        </w:rPr>
      </w:pPr>
    </w:p>
    <w:tbl>
      <w:tblPr>
        <w:tblLayout w:type="fixed"/>
        <w:tblInd w:w="2180" w:type="dxa"/>
        <w:tblCellMar>
          <w:top w:w="0" w:type="dxa"/>
          <w:left w:w="0" w:type="dxa"/>
          <w:bottom w:w="0" w:type="dxa"/>
          <w:right w:w="0" w:type="dxa"/>
        </w:tblCellMar>
      </w:tblPr>
      <w:tr>
        <w:trPr>
          <w:trHeight w:val="208"/>
        </w:trPr>
        <w:tc>
          <w:tcPr>
            <w:tcW w:w="2400" w:type="dxa"/>
            <w:vAlign w:val="bottom"/>
          </w:tcPr>
          <w:p>
            <w:pPr>
              <w:spacing w:after="0"/>
              <w:rPr>
                <w:sz w:val="18"/>
                <w:szCs w:val="18"/>
                <w:color w:val="auto"/>
              </w:rPr>
            </w:pPr>
          </w:p>
        </w:tc>
        <w:tc>
          <w:tcPr>
            <w:tcW w:w="3800" w:type="dxa"/>
            <w:vAlign w:val="bottom"/>
            <w:tcBorders>
              <w:bottom w:val="single" w:sz="8" w:color="auto"/>
            </w:tcBorders>
            <w:gridSpan w:val="6"/>
          </w:tcPr>
          <w:p>
            <w:pPr>
              <w:jc w:val="center"/>
              <w:ind w:left="604"/>
              <w:spacing w:after="0"/>
              <w:rPr>
                <w:sz w:val="20"/>
                <w:szCs w:val="20"/>
                <w:color w:val="auto"/>
              </w:rPr>
            </w:pPr>
            <w:r>
              <w:rPr>
                <w:rFonts w:ascii="Arial" w:cs="Arial" w:eastAsia="Arial" w:hAnsi="Arial"/>
                <w:sz w:val="15"/>
                <w:szCs w:val="15"/>
                <w:b w:val="1"/>
                <w:bCs w:val="1"/>
                <w:color w:val="auto"/>
              </w:rPr>
              <w:t>Three Months Ended March 31, 2025</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Arial" w:cs="Arial" w:eastAsia="Arial" w:hAnsi="Arial"/>
                <w:sz w:val="15"/>
                <w:szCs w:val="15"/>
                <w:b w:val="1"/>
                <w:bCs w:val="1"/>
                <w:color w:val="auto"/>
              </w:rPr>
              <w:t>Number of Shares</w:t>
            </w:r>
          </w:p>
        </w:tc>
        <w:tc>
          <w:tcPr>
            <w:tcW w:w="18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rPr>
              <w:t>Net Proceeds</w:t>
            </w:r>
          </w:p>
        </w:tc>
        <w:tc>
          <w:tcPr>
            <w:tcW w:w="14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Commissions Paid</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8"/>
              </w:rPr>
              <w:t>Sold</w:t>
            </w:r>
          </w:p>
        </w:tc>
        <w:tc>
          <w:tcPr>
            <w:tcW w:w="1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 Preferred Shares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122,330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2,751</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1"/>
        </w:trPr>
        <w:tc>
          <w:tcPr>
            <w:tcW w:w="2400" w:type="dxa"/>
            <w:vAlign w:val="bottom"/>
          </w:tcPr>
          <w:p>
            <w:pPr>
              <w:ind w:left="20"/>
              <w:spacing w:after="0"/>
              <w:rPr>
                <w:sz w:val="20"/>
                <w:szCs w:val="20"/>
                <w:color w:val="auto"/>
              </w:rPr>
            </w:pPr>
            <w:r>
              <w:rPr>
                <w:rFonts w:ascii="Arial" w:cs="Arial" w:eastAsia="Arial" w:hAnsi="Arial"/>
                <w:sz w:val="15"/>
                <w:szCs w:val="15"/>
                <w:color w:val="auto"/>
              </w:rPr>
              <w:t>Series B Preferred Shares</w:t>
            </w:r>
          </w:p>
        </w:tc>
        <w:tc>
          <w:tcPr>
            <w:tcW w:w="1400" w:type="dxa"/>
            <w:vAlign w:val="bottom"/>
          </w:tcPr>
          <w:p>
            <w:pPr>
              <w:jc w:val="right"/>
              <w:spacing w:after="0"/>
              <w:rPr>
                <w:sz w:val="20"/>
                <w:szCs w:val="20"/>
                <w:color w:val="auto"/>
              </w:rPr>
            </w:pPr>
            <w:r>
              <w:rPr>
                <w:rFonts w:ascii="Arial" w:cs="Arial" w:eastAsia="Arial" w:hAnsi="Arial"/>
                <w:sz w:val="15"/>
                <w:szCs w:val="15"/>
                <w:color w:val="auto"/>
              </w:rPr>
              <w:t>1,301,683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29,210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204"/>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Shares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1,148,158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26,187</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195"/>
        </w:trPr>
        <w:tc>
          <w:tcPr>
            <w:tcW w:w="2400" w:type="dxa"/>
            <w:vAlign w:val="bottom"/>
          </w:tcPr>
          <w:p>
            <w:pPr>
              <w:ind w:left="220"/>
              <w:spacing w:after="0"/>
              <w:rPr>
                <w:sz w:val="20"/>
                <w:szCs w:val="20"/>
                <w:color w:val="auto"/>
              </w:rPr>
            </w:pPr>
            <w:r>
              <w:rPr>
                <w:rFonts w:ascii="Arial" w:cs="Arial" w:eastAsia="Arial" w:hAnsi="Arial"/>
                <w:sz w:val="15"/>
                <w:szCs w:val="15"/>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2,572,171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58,148</w:t>
            </w:r>
          </w:p>
        </w:tc>
        <w:tc>
          <w:tcPr>
            <w:tcW w:w="10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incurred less than $0.1 million in total costs related to the preferred share ATM program during the three months ended March 31,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Interests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the Allocation Interests ("Holder"), Sostratus LLC, is entitled to receive distributions pursuant to a profit allocation formula upon the occurrence of certain events. The profit allocation is payable upon the sale of a business (a "Sale Event") and, at the election of the Holder, during the 30-day period following the fifth anniversary of the date upon which the Company acquired a controlling interest in a business (a "Holding Event"). The Company records distributions of the profit allocation upon occurrence of a Sale Event or Holding Event as dividends declared on Allocation Interests within stockholders’ equity when approved by the Company’s board of directors.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deconsolidation of Lugano in November 2025 represented a Sale Event; however the calculation of the profit allocation payment resulted in a negative amount. Therefore no profit allocation payment was due to the Holders. The negative amount will offset future profit allocation payments due to the Holder.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net income (loss) attributable to Holdings to net income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57785</wp:posOffset>
            </wp:positionV>
            <wp:extent cx="17659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70" w:lineRule="exact"/>
        <w:rPr>
          <w:sz w:val="20"/>
          <w:szCs w:val="20"/>
          <w:color w:val="auto"/>
        </w:rPr>
      </w:pPr>
    </w:p>
    <w:p>
      <w:pPr>
        <w:ind w:left="8460"/>
        <w:spacing w:after="0"/>
        <w:rPr>
          <w:sz w:val="20"/>
          <w:szCs w:val="20"/>
          <w:color w:val="auto"/>
        </w:rPr>
      </w:pPr>
      <w:r>
        <w:rPr>
          <w:rFonts w:ascii="Arial" w:cs="Arial" w:eastAsia="Arial" w:hAnsi="Arial"/>
          <w:sz w:val="15"/>
          <w:szCs w:val="15"/>
          <w:b w:val="1"/>
          <w:bCs w:val="1"/>
          <w:color w:val="auto"/>
        </w:rPr>
        <w:t>Three months ended</w:t>
      </w:r>
    </w:p>
    <w:tbl>
      <w:tblPr>
        <w:tblLayout w:type="fixed"/>
        <w:tblInd w:w="620" w:type="dxa"/>
        <w:tblCellMar>
          <w:top w:w="0" w:type="dxa"/>
          <w:left w:w="0" w:type="dxa"/>
          <w:bottom w:w="0" w:type="dxa"/>
          <w:right w:w="0" w:type="dxa"/>
        </w:tblCellMar>
      </w:tblPr>
      <w:tr>
        <w:trPr>
          <w:trHeight w:val="206"/>
        </w:trPr>
        <w:tc>
          <w:tcPr>
            <w:tcW w:w="7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96"/>
        </w:trPr>
        <w:tc>
          <w:tcPr>
            <w:tcW w:w="7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2025</w:t>
            </w:r>
          </w:p>
        </w:tc>
      </w:tr>
      <w:tr>
        <w:trPr>
          <w:trHeight w:val="19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attributable to Holdings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(30,916)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(30,037)</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Less: Distributions paid - Preferred Shares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9,714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8,434</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Accrued distributions - Preferred Shares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5,148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5,148</w:t>
            </w:r>
          </w:p>
        </w:tc>
      </w:tr>
      <w:tr>
        <w:trPr>
          <w:trHeight w:val="197"/>
        </w:trPr>
        <w:tc>
          <w:tcPr>
            <w:tcW w:w="7240" w:type="dxa"/>
            <w:vAlign w:val="bottom"/>
          </w:tcPr>
          <w:p>
            <w:pPr>
              <w:ind w:left="20"/>
              <w:spacing w:after="0"/>
              <w:rPr>
                <w:sz w:val="20"/>
                <w:szCs w:val="20"/>
                <w:color w:val="auto"/>
              </w:rPr>
            </w:pPr>
            <w:r>
              <w:rPr>
                <w:rFonts w:ascii="Arial" w:cs="Arial" w:eastAsia="Arial" w:hAnsi="Arial"/>
                <w:sz w:val="16"/>
                <w:szCs w:val="16"/>
                <w:color w:val="auto"/>
              </w:rPr>
              <w:t>Net loss from continuing operations attributable to common shares of Holdings</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(45,778)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(43,619)</w:t>
            </w:r>
          </w:p>
        </w:tc>
      </w:tr>
      <w:tr>
        <w:trPr>
          <w:trHeight w:val="21"/>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months ended March 31, 2026 and 2025 reflects the incremental increase during the period in the profit allocation distribution to Holder related to Holding Events.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Basic and diluted earnings per share for the three months ended March 31, 2026 and 2025 attributable to the common shares of 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109220</wp:posOffset>
            </wp:positionV>
            <wp:extent cx="1748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59" w:lineRule="exact"/>
        <w:rPr>
          <w:sz w:val="20"/>
          <w:szCs w:val="20"/>
          <w:color w:val="auto"/>
        </w:rPr>
      </w:pPr>
    </w:p>
    <w:p>
      <w:pPr>
        <w:ind w:left="8460"/>
        <w:spacing w:after="0"/>
        <w:rPr>
          <w:sz w:val="20"/>
          <w:szCs w:val="20"/>
          <w:color w:val="auto"/>
        </w:rPr>
      </w:pPr>
      <w:r>
        <w:rPr>
          <w:rFonts w:ascii="Arial" w:cs="Arial" w:eastAsia="Arial" w:hAnsi="Arial"/>
          <w:sz w:val="15"/>
          <w:szCs w:val="15"/>
          <w:b w:val="1"/>
          <w:bCs w:val="1"/>
          <w:color w:val="auto"/>
        </w:rPr>
        <w:t>Three months ended</w:t>
      </w:r>
    </w:p>
    <w:p>
      <w:pPr>
        <w:spacing w:after="0" w:line="6"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96"/>
        </w:trPr>
        <w:tc>
          <w:tcPr>
            <w:tcW w:w="7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r>
      <w:tr>
        <w:trPr>
          <w:trHeight w:val="19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attributable to common shares of Holdings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(45,778)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(43,619)</w:t>
            </w:r>
          </w:p>
        </w:tc>
      </w:tr>
      <w:tr>
        <w:trPr>
          <w:trHeight w:val="21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Effect of contribution based profit - Holding Event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396</w:t>
            </w:r>
          </w:p>
        </w:tc>
      </w:tr>
      <w:tr>
        <w:trPr>
          <w:trHeight w:val="19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attributable to common shares of Holdings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(44,015)</w:t>
            </w:r>
          </w:p>
        </w:tc>
      </w:tr>
      <w:tr>
        <w:trPr>
          <w:trHeight w:val="216"/>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 attributable to Holdings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Less: Effect of contribution based profit - Holding Event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7"/>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 attributable to common shares of Holdings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w:t>
            </w:r>
          </w:p>
        </w:tc>
      </w:tr>
      <w:tr>
        <w:trPr>
          <w:trHeight w:val="216"/>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weighted average common shares outstanding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75,236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75,236</w:t>
            </w:r>
          </w:p>
        </w:tc>
      </w:tr>
      <w:tr>
        <w:trPr>
          <w:trHeight w:val="216"/>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fully diluted income (loss) per common share attributable to Holdings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(0.62)</w:t>
            </w:r>
          </w:p>
        </w:tc>
        <w:tc>
          <w:tcPr>
            <w:tcW w:w="100" w:type="dxa"/>
            <w:vAlign w:val="bottom"/>
          </w:tcPr>
          <w:p>
            <w:pPr>
              <w:spacing w:after="0"/>
              <w:rPr>
                <w:sz w:val="18"/>
                <w:szCs w:val="18"/>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(0.59)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6"/>
        </w:trPr>
        <w:tc>
          <w:tcPr>
            <w:tcW w:w="7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(0.62)</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(0.59)</w:t>
            </w:r>
          </w:p>
        </w:tc>
      </w:tr>
      <w:tr>
        <w:trPr>
          <w:trHeight w:val="22"/>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27, 2025, the Company announced that it suspended the quarterly cash distribution historically paid to common shareholders. No common distributions were paid subsequent to April 24, 2025. The following table summarizes information related to our quarterly cash distributions on our Trust common and preferred shares (</w:t>
      </w:r>
      <w:r>
        <w:rPr>
          <w:rFonts w:ascii="Arial" w:cs="Arial" w:eastAsia="Arial" w:hAnsi="Arial"/>
          <w:sz w:val="18"/>
          <w:szCs w:val="18"/>
          <w:i w:val="1"/>
          <w:iCs w:val="1"/>
          <w:color w:val="auto"/>
        </w:rPr>
        <w:t>in thousands, except per share data</w:t>
      </w:r>
      <w:r>
        <w:rPr>
          <w:rFonts w:ascii="Arial" w:cs="Arial" w:eastAsia="Arial" w:hAnsi="Arial"/>
          <w:sz w:val="14"/>
          <w:szCs w:val="14"/>
          <w:i w:val="1"/>
          <w:iCs w:val="1"/>
          <w:color w:val="auto"/>
        </w:rPr>
        <w:t>):</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vMerge w:val="restart"/>
          </w:tcPr>
          <w:p>
            <w:pPr>
              <w:ind w:left="15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6"/>
                <w:szCs w:val="16"/>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Cash Distribution per</w:t>
            </w:r>
          </w:p>
        </w:tc>
        <w:tc>
          <w:tcPr>
            <w:tcW w:w="280" w:type="dxa"/>
            <w:vAlign w:val="bottom"/>
          </w:tcPr>
          <w:p>
            <w:pPr>
              <w:spacing w:after="0"/>
              <w:rPr>
                <w:sz w:val="16"/>
                <w:szCs w:val="16"/>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Total Cash</w:t>
            </w:r>
          </w:p>
        </w:tc>
        <w:tc>
          <w:tcPr>
            <w:tcW w:w="178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Record Date</w:t>
            </w:r>
          </w:p>
        </w:tc>
        <w:tc>
          <w:tcPr>
            <w:tcW w:w="100" w:type="dxa"/>
            <w:vAlign w:val="bottom"/>
            <w:vMerge w:val="restart"/>
          </w:tcPr>
          <w:p>
            <w:pPr>
              <w:spacing w:after="0"/>
              <w:rPr>
                <w:sz w:val="16"/>
                <w:szCs w:val="16"/>
                <w:color w:val="auto"/>
              </w:rPr>
            </w:pPr>
          </w:p>
        </w:tc>
        <w:tc>
          <w:tcPr>
            <w:tcW w:w="178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21"/>
              <w:spacing w:after="0"/>
              <w:rPr>
                <w:sz w:val="20"/>
                <w:szCs w:val="20"/>
                <w:color w:val="auto"/>
              </w:rPr>
            </w:pPr>
            <w:r>
              <w:rPr>
                <w:rFonts w:ascii="Arial" w:cs="Arial" w:eastAsia="Arial" w:hAnsi="Arial"/>
                <w:sz w:val="16"/>
                <w:szCs w:val="16"/>
                <w:b w:val="1"/>
                <w:bCs w:val="1"/>
                <w:color w:val="auto"/>
                <w:w w:val="98"/>
              </w:rPr>
              <w:t>Share</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b w:val="1"/>
                <w:bCs w:val="1"/>
                <w:color w:val="auto"/>
                <w:w w:val="97"/>
              </w:rPr>
              <w:t>Distributions</w:t>
            </w:r>
          </w:p>
        </w:tc>
        <w:tc>
          <w:tcPr>
            <w:tcW w:w="100" w:type="dxa"/>
            <w:vAlign w:val="bottom"/>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1, 2025 - March 31, 2025</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18,809</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April 17, 2025</w:t>
            </w:r>
          </w:p>
        </w:tc>
        <w:tc>
          <w:tcPr>
            <w:tcW w:w="1780" w:type="dxa"/>
            <w:vAlign w:val="bottom"/>
            <w:shd w:val="clear" w:color="auto" w:fill="CCEEFF"/>
          </w:tcPr>
          <w:p>
            <w:pPr>
              <w:ind w:left="780"/>
              <w:spacing w:after="0"/>
              <w:rPr>
                <w:sz w:val="20"/>
                <w:szCs w:val="20"/>
                <w:color w:val="auto"/>
              </w:rPr>
            </w:pPr>
            <w:r>
              <w:rPr>
                <w:rFonts w:ascii="Arial" w:cs="Arial" w:eastAsia="Arial" w:hAnsi="Arial"/>
                <w:sz w:val="16"/>
                <w:szCs w:val="16"/>
                <w:color w:val="auto"/>
                <w:w w:val="99"/>
              </w:rPr>
              <w:t>April 24,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5" w:name="page26"/>
    <w:bookmarkEnd w:id="25"/>
    <w:tbl>
      <w:tblPr>
        <w:tblLayout w:type="fixed"/>
        <w:tblInd w:w="40" w:type="dxa"/>
        <w:tblCellMar>
          <w:top w:w="0" w:type="dxa"/>
          <w:left w:w="0" w:type="dxa"/>
          <w:bottom w:w="0" w:type="dxa"/>
          <w:right w:w="0" w:type="dxa"/>
        </w:tblCellMar>
      </w:tblP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January 30, 2026 - April 29, 2026 </w:t>
            </w:r>
            <w:r>
              <w:rPr>
                <w:rFonts w:ascii="Arial" w:cs="Arial" w:eastAsia="Arial" w:hAnsi="Arial"/>
                <w:sz w:val="20"/>
                <w:szCs w:val="20"/>
                <w:b w:val="1"/>
                <w:bCs w:val="1"/>
                <w:color w:val="auto"/>
                <w:vertAlign w:val="superscript"/>
              </w:rPr>
              <w:t>(1)</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2,120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2026</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2026</w:t>
            </w: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2025 - January 29, 2026</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2,120</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2026</w:t>
            </w:r>
          </w:p>
        </w:tc>
      </w:tr>
      <w:tr>
        <w:trPr>
          <w:trHeight w:val="214"/>
        </w:trPr>
        <w:tc>
          <w:tcPr>
            <w:tcW w:w="3160" w:type="dxa"/>
            <w:vAlign w:val="bottom"/>
          </w:tcPr>
          <w:p>
            <w:pPr>
              <w:ind w:left="20"/>
              <w:spacing w:after="0"/>
              <w:rPr>
                <w:sz w:val="20"/>
                <w:szCs w:val="20"/>
                <w:color w:val="auto"/>
              </w:rPr>
            </w:pPr>
            <w:r>
              <w:rPr>
                <w:rFonts w:ascii="Arial" w:cs="Arial" w:eastAsia="Arial" w:hAnsi="Arial"/>
                <w:sz w:val="16"/>
                <w:szCs w:val="16"/>
                <w:color w:val="auto"/>
              </w:rPr>
              <w:t>July 30, 2025 - October 29, 2025</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2,120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October 15, 2025</w:t>
            </w:r>
          </w:p>
        </w:tc>
        <w:tc>
          <w:tcPr>
            <w:tcW w:w="1580" w:type="dxa"/>
            <w:vAlign w:val="bottom"/>
          </w:tcPr>
          <w:p>
            <w:pPr>
              <w:jc w:val="right"/>
              <w:spacing w:after="0"/>
              <w:rPr>
                <w:sz w:val="20"/>
                <w:szCs w:val="20"/>
                <w:color w:val="auto"/>
              </w:rPr>
            </w:pPr>
            <w:r>
              <w:rPr>
                <w:rFonts w:ascii="Arial" w:cs="Arial" w:eastAsia="Arial" w:hAnsi="Arial"/>
                <w:sz w:val="16"/>
                <w:szCs w:val="16"/>
                <w:color w:val="auto"/>
              </w:rPr>
              <w:t>October 30, 2025</w:t>
            </w: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2025 - July 29, 2025</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2,120</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2025</w:t>
            </w:r>
          </w:p>
        </w:tc>
      </w:tr>
      <w:tr>
        <w:trPr>
          <w:trHeight w:val="214"/>
        </w:trPr>
        <w:tc>
          <w:tcPr>
            <w:tcW w:w="3160" w:type="dxa"/>
            <w:vAlign w:val="bottom"/>
          </w:tcPr>
          <w:p>
            <w:pPr>
              <w:ind w:left="20"/>
              <w:spacing w:after="0"/>
              <w:rPr>
                <w:sz w:val="20"/>
                <w:szCs w:val="20"/>
                <w:color w:val="auto"/>
              </w:rPr>
            </w:pPr>
            <w:r>
              <w:rPr>
                <w:rFonts w:ascii="Arial" w:cs="Arial" w:eastAsia="Arial" w:hAnsi="Arial"/>
                <w:sz w:val="16"/>
                <w:szCs w:val="16"/>
                <w:color w:val="auto"/>
              </w:rPr>
              <w:t>January 30, 2025 - April 29, 2025</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2,120</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2025</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2025</w:t>
            </w: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2024 - January 29, 2025</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2,062</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2025</w:t>
            </w:r>
          </w:p>
        </w:tc>
      </w:tr>
      <w:tr>
        <w:trPr>
          <w:trHeight w:val="162"/>
        </w:trPr>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January 30, 2026 - April 29, 2026 </w:t>
            </w:r>
            <w:r>
              <w:rPr>
                <w:rFonts w:ascii="Arial" w:cs="Arial" w:eastAsia="Arial" w:hAnsi="Arial"/>
                <w:sz w:val="20"/>
                <w:szCs w:val="20"/>
                <w:b w:val="1"/>
                <w:bCs w:val="1"/>
                <w:color w:val="auto"/>
                <w:vertAlign w:val="superscript"/>
              </w:rPr>
              <w:t>(1)</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3,703</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2026</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2026</w:t>
            </w: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2025 - January 29, 2026</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3,703</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2026</w:t>
            </w:r>
          </w:p>
        </w:tc>
      </w:tr>
      <w:tr>
        <w:trPr>
          <w:trHeight w:val="214"/>
        </w:trPr>
        <w:tc>
          <w:tcPr>
            <w:tcW w:w="3160" w:type="dxa"/>
            <w:vAlign w:val="bottom"/>
          </w:tcPr>
          <w:p>
            <w:pPr>
              <w:ind w:left="20"/>
              <w:spacing w:after="0"/>
              <w:rPr>
                <w:sz w:val="20"/>
                <w:szCs w:val="20"/>
                <w:color w:val="auto"/>
              </w:rPr>
            </w:pPr>
            <w:r>
              <w:rPr>
                <w:rFonts w:ascii="Arial" w:cs="Arial" w:eastAsia="Arial" w:hAnsi="Arial"/>
                <w:sz w:val="16"/>
                <w:szCs w:val="16"/>
                <w:color w:val="auto"/>
              </w:rPr>
              <w:t>July 30, 2025 - October 29, 2025</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3,703</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October 15, 2025</w:t>
            </w:r>
          </w:p>
        </w:tc>
        <w:tc>
          <w:tcPr>
            <w:tcW w:w="1580" w:type="dxa"/>
            <w:vAlign w:val="bottom"/>
          </w:tcPr>
          <w:p>
            <w:pPr>
              <w:jc w:val="right"/>
              <w:spacing w:after="0"/>
              <w:rPr>
                <w:sz w:val="20"/>
                <w:szCs w:val="20"/>
                <w:color w:val="auto"/>
              </w:rPr>
            </w:pPr>
            <w:r>
              <w:rPr>
                <w:rFonts w:ascii="Arial" w:cs="Arial" w:eastAsia="Arial" w:hAnsi="Arial"/>
                <w:sz w:val="16"/>
                <w:szCs w:val="16"/>
                <w:color w:val="auto"/>
              </w:rPr>
              <w:t>October 30, 2025</w:t>
            </w: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2025 - July 29, 2025</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3,703</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2025</w:t>
            </w:r>
          </w:p>
        </w:tc>
      </w:tr>
      <w:tr>
        <w:trPr>
          <w:trHeight w:val="214"/>
        </w:trPr>
        <w:tc>
          <w:tcPr>
            <w:tcW w:w="3160" w:type="dxa"/>
            <w:vAlign w:val="bottom"/>
          </w:tcPr>
          <w:p>
            <w:pPr>
              <w:ind w:left="20"/>
              <w:spacing w:after="0"/>
              <w:rPr>
                <w:sz w:val="20"/>
                <w:szCs w:val="20"/>
                <w:color w:val="auto"/>
              </w:rPr>
            </w:pPr>
            <w:r>
              <w:rPr>
                <w:rFonts w:ascii="Arial" w:cs="Arial" w:eastAsia="Arial" w:hAnsi="Arial"/>
                <w:sz w:val="16"/>
                <w:szCs w:val="16"/>
                <w:color w:val="auto"/>
              </w:rPr>
              <w:t>January 30, 2025 - April 29, 2025</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3,703</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2025</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2025</w:t>
            </w: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2024 - January 29, 2025</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3,048</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2025</w:t>
            </w:r>
          </w:p>
        </w:tc>
      </w:tr>
      <w:tr>
        <w:trPr>
          <w:trHeight w:val="270"/>
        </w:trPr>
        <w:tc>
          <w:tcPr>
            <w:tcW w:w="3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January 30, 2026 - April 29, 2026 </w:t>
            </w:r>
            <w:r>
              <w:rPr>
                <w:rFonts w:ascii="Arial" w:cs="Arial" w:eastAsia="Arial" w:hAnsi="Arial"/>
                <w:sz w:val="20"/>
                <w:szCs w:val="20"/>
                <w:b w:val="1"/>
                <w:bCs w:val="1"/>
                <w:color w:val="auto"/>
                <w:vertAlign w:val="superscript"/>
              </w:rPr>
              <w:t>(1)</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3,892</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2026</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2026</w:t>
            </w: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2025 - January 29, 2026</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3,892</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2026</w:t>
            </w:r>
          </w:p>
        </w:tc>
      </w:tr>
      <w:tr>
        <w:trPr>
          <w:trHeight w:val="214"/>
        </w:trPr>
        <w:tc>
          <w:tcPr>
            <w:tcW w:w="3160" w:type="dxa"/>
            <w:vAlign w:val="bottom"/>
          </w:tcPr>
          <w:p>
            <w:pPr>
              <w:ind w:left="20"/>
              <w:spacing w:after="0"/>
              <w:rPr>
                <w:sz w:val="20"/>
                <w:szCs w:val="20"/>
                <w:color w:val="auto"/>
              </w:rPr>
            </w:pPr>
            <w:r>
              <w:rPr>
                <w:rFonts w:ascii="Arial" w:cs="Arial" w:eastAsia="Arial" w:hAnsi="Arial"/>
                <w:sz w:val="16"/>
                <w:szCs w:val="16"/>
                <w:color w:val="auto"/>
              </w:rPr>
              <w:t>July 30, 2025 - October 29, 2025</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3,892</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October 15, 2025</w:t>
            </w:r>
          </w:p>
        </w:tc>
        <w:tc>
          <w:tcPr>
            <w:tcW w:w="1580" w:type="dxa"/>
            <w:vAlign w:val="bottom"/>
          </w:tcPr>
          <w:p>
            <w:pPr>
              <w:jc w:val="right"/>
              <w:spacing w:after="0"/>
              <w:rPr>
                <w:sz w:val="20"/>
                <w:szCs w:val="20"/>
                <w:color w:val="auto"/>
              </w:rPr>
            </w:pPr>
            <w:r>
              <w:rPr>
                <w:rFonts w:ascii="Arial" w:cs="Arial" w:eastAsia="Arial" w:hAnsi="Arial"/>
                <w:sz w:val="16"/>
                <w:szCs w:val="16"/>
                <w:color w:val="auto"/>
              </w:rPr>
              <w:t>October 30, 2025</w:t>
            </w: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2025 - July 29, 2025</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3,892</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2025</w:t>
            </w:r>
          </w:p>
        </w:tc>
      </w:tr>
      <w:tr>
        <w:trPr>
          <w:trHeight w:val="214"/>
        </w:trPr>
        <w:tc>
          <w:tcPr>
            <w:tcW w:w="3160" w:type="dxa"/>
            <w:vAlign w:val="bottom"/>
          </w:tcPr>
          <w:p>
            <w:pPr>
              <w:ind w:left="20"/>
              <w:spacing w:after="0"/>
              <w:rPr>
                <w:sz w:val="20"/>
                <w:szCs w:val="20"/>
                <w:color w:val="auto"/>
              </w:rPr>
            </w:pPr>
            <w:r>
              <w:rPr>
                <w:rFonts w:ascii="Arial" w:cs="Arial" w:eastAsia="Arial" w:hAnsi="Arial"/>
                <w:sz w:val="16"/>
                <w:szCs w:val="16"/>
                <w:color w:val="auto"/>
              </w:rPr>
              <w:t>January 30, 2025 - April 29, 2025</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3,892</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2025</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2025</w:t>
            </w: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2024 - January 29, 2025</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3,324</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2025</w:t>
            </w:r>
          </w:p>
        </w:tc>
      </w:tr>
    </w:tbl>
    <w:p>
      <w:pPr>
        <w:spacing w:after="0" w:line="110"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6"/>
          <w:szCs w:val="26"/>
          <w:b w:val="1"/>
          <w:bCs w:val="1"/>
          <w:color w:val="auto"/>
          <w:vertAlign w:val="superscript"/>
        </w:rPr>
      </w:pPr>
      <w:r>
        <w:rPr>
          <w:rFonts w:ascii="Arial" w:cs="Arial" w:eastAsia="Arial" w:hAnsi="Arial"/>
          <w:sz w:val="17"/>
          <w:szCs w:val="17"/>
          <w:color w:val="auto"/>
        </w:rPr>
        <w:t>This distribution was declared on April 1, 2026.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Noncontrolling Interest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Noncontrolling interest represents the portion of the Company’s majority owned subsidiaries' net income (loss) and equity that is owned by noncontrolling shareholders. The following tables reflect the LLC’s ownership percentage of its majority owned operating segments and related noncontrolling interest balances as of March 31, 2026 and December 31, 2025:</w:t>
      </w:r>
    </w:p>
    <w:p>
      <w:pPr>
        <w:spacing w:after="0" w:line="25"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4400" w:type="dxa"/>
            <w:vAlign w:val="bottom"/>
          </w:tcPr>
          <w:p>
            <w:pPr>
              <w:spacing w:after="0"/>
              <w:rPr>
                <w:sz w:val="19"/>
                <w:szCs w:val="19"/>
                <w:color w:val="auto"/>
              </w:rPr>
            </w:pPr>
          </w:p>
        </w:tc>
        <w:tc>
          <w:tcPr>
            <w:tcW w:w="2440" w:type="dxa"/>
            <w:vAlign w:val="bottom"/>
            <w:gridSpan w:val="3"/>
          </w:tcPr>
          <w:p>
            <w:pPr>
              <w:ind w:left="86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440" w:type="dxa"/>
            <w:vAlign w:val="bottom"/>
            <w:tcBorders>
              <w:bottom w:val="single" w:sz="8" w:color="auto"/>
            </w:tcBorders>
            <w:gridSpan w:val="3"/>
          </w:tcPr>
          <w:p>
            <w:pPr>
              <w:ind w:left="880"/>
              <w:spacing w:after="0"/>
              <w:rPr>
                <w:sz w:val="20"/>
                <w:szCs w:val="20"/>
                <w:color w:val="auto"/>
              </w:rPr>
            </w:pPr>
            <w:r>
              <w:rPr>
                <w:rFonts w:ascii="Arial" w:cs="Arial" w:eastAsia="Arial" w:hAnsi="Arial"/>
                <w:sz w:val="15"/>
                <w:szCs w:val="15"/>
                <w:b w:val="1"/>
                <w:bCs w:val="1"/>
                <w:color w:val="auto"/>
              </w:rPr>
              <w:t>March 31, 2026</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145"/>
        </w:trPr>
        <w:tc>
          <w:tcPr>
            <w:tcW w:w="4400" w:type="dxa"/>
            <w:vAlign w:val="bottom"/>
          </w:tcPr>
          <w:p>
            <w:pPr>
              <w:spacing w:after="0"/>
              <w:rPr>
                <w:sz w:val="12"/>
                <w:szCs w:val="12"/>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980" w:type="dxa"/>
            <w:vAlign w:val="bottom"/>
          </w:tcPr>
          <w:p>
            <w:pPr>
              <w:jc w:val="center"/>
              <w:ind w:left="344"/>
              <w:spacing w:after="0" w:line="145" w:lineRule="exact"/>
              <w:rPr>
                <w:sz w:val="20"/>
                <w:szCs w:val="20"/>
                <w:color w:val="auto"/>
              </w:rPr>
            </w:pPr>
            <w:r>
              <w:rPr>
                <w:rFonts w:ascii="Arial" w:cs="Arial" w:eastAsia="Arial" w:hAnsi="Arial"/>
                <w:sz w:val="15"/>
                <w:szCs w:val="15"/>
                <w:b w:val="1"/>
                <w:bCs w:val="1"/>
                <w:color w:val="auto"/>
              </w:rPr>
              <w:t>Fully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1440" w:type="dxa"/>
            <w:vAlign w:val="bottom"/>
          </w:tcPr>
          <w:p>
            <w:pPr>
              <w:jc w:val="right"/>
              <w:ind w:right="460"/>
              <w:spacing w:after="0" w:line="145" w:lineRule="exact"/>
              <w:rPr>
                <w:sz w:val="20"/>
                <w:szCs w:val="20"/>
                <w:color w:val="auto"/>
              </w:rPr>
            </w:pPr>
            <w:r>
              <w:rPr>
                <w:rFonts w:ascii="Arial" w:cs="Arial" w:eastAsia="Arial" w:hAnsi="Arial"/>
                <w:sz w:val="15"/>
                <w:szCs w:val="15"/>
                <w:b w:val="1"/>
                <w:bCs w:val="1"/>
                <w:color w:val="auto"/>
              </w:rPr>
              <w:t>Fully</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980" w:type="dxa"/>
            <w:vAlign w:val="bottom"/>
          </w:tcPr>
          <w:p>
            <w:pPr>
              <w:jc w:val="center"/>
              <w:ind w:left="344"/>
              <w:spacing w:after="0"/>
              <w:rPr>
                <w:sz w:val="20"/>
                <w:szCs w:val="20"/>
                <w:color w:val="auto"/>
              </w:rPr>
            </w:pPr>
            <w:r>
              <w:rPr>
                <w:rFonts w:ascii="Arial" w:cs="Arial" w:eastAsia="Arial" w:hAnsi="Arial"/>
                <w:sz w:val="15"/>
                <w:szCs w:val="15"/>
                <w:b w:val="1"/>
                <w:bCs w:val="1"/>
                <w:color w:val="auto"/>
              </w:rPr>
              <w:t>Diluted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BOA</w:t>
            </w:r>
          </w:p>
        </w:tc>
        <w:tc>
          <w:tcPr>
            <w:tcW w:w="1340" w:type="dxa"/>
            <w:vAlign w:val="bottom"/>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PrimaLoft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The Honey Pot Co.</w:t>
            </w:r>
          </w:p>
        </w:tc>
        <w:tc>
          <w:tcPr>
            <w:tcW w:w="134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Altor</w:t>
            </w:r>
          </w:p>
        </w:tc>
        <w:tc>
          <w:tcPr>
            <w:tcW w:w="1340" w:type="dxa"/>
            <w:vAlign w:val="bottom"/>
          </w:tcPr>
          <w:p>
            <w:pPr>
              <w:jc w:val="right"/>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tcPr>
          <w:p>
            <w:pPr>
              <w:jc w:val="right"/>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hanging="332"/>
        <w:spacing w:after="0" w:line="228" w:lineRule="auto"/>
        <w:tabs>
          <w:tab w:leader="none" w:pos="477" w:val="left"/>
        </w:tabs>
        <w:numPr>
          <w:ilvl w:val="0"/>
          <w:numId w:val="13"/>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6" w:name="page27"/>
    <w:bookmarkEnd w:id="26"/>
    <w:tbl>
      <w:tblPr>
        <w:tblLayout w:type="fixed"/>
        <w:tblInd w:w="8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660" w:type="dxa"/>
            <w:vAlign w:val="bottom"/>
            <w:tcBorders>
              <w:top w:val="single" w:sz="8" w:color="auto"/>
              <w:bottom w:val="single" w:sz="8" w:color="auto"/>
            </w:tcBorders>
            <w:gridSpan w:val="4"/>
          </w:tcPr>
          <w:p>
            <w:pPr>
              <w:jc w:val="right"/>
              <w:ind w:right="679"/>
              <w:spacing w:after="0"/>
              <w:rPr>
                <w:sz w:val="20"/>
                <w:szCs w:val="20"/>
                <w:color w:val="auto"/>
              </w:rPr>
            </w:pPr>
            <w:r>
              <w:rPr>
                <w:rFonts w:ascii="Arial" w:cs="Arial" w:eastAsia="Arial" w:hAnsi="Arial"/>
                <w:sz w:val="15"/>
                <w:szCs w:val="15"/>
                <w:b w:val="1"/>
                <w:bCs w:val="1"/>
                <w:color w:val="auto"/>
              </w:rPr>
              <w:t>Noncontrolling Interest Balances</w:t>
            </w:r>
          </w:p>
        </w:tc>
      </w:tr>
      <w:tr>
        <w:trPr>
          <w:trHeight w:val="196"/>
        </w:trPr>
        <w:tc>
          <w:tcPr>
            <w:tcW w:w="5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18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Arial" w:cs="Arial" w:eastAsia="Arial" w:hAnsi="Arial"/>
                <w:sz w:val="15"/>
                <w:szCs w:val="15"/>
                <w:b w:val="1"/>
                <w:bCs w:val="1"/>
                <w:color w:val="auto"/>
              </w:rPr>
              <w:t>December 31, 2025</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14,605</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BOA</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25,388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23,330</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PrimaLoft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33,599</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The Honey Pot Co.</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44,572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43,417</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Velocity Outdoor</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6,917</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Altor</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7,067</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r>
      <w:tr>
        <w:trPr>
          <w:trHeight w:val="216"/>
        </w:trPr>
        <w:tc>
          <w:tcPr>
            <w:tcW w:w="5620" w:type="dxa"/>
            <w:vAlign w:val="bottom"/>
          </w:tcPr>
          <w:p>
            <w:pPr>
              <w:spacing w:after="0" w:line="216" w:lineRule="exact"/>
              <w:rPr>
                <w:sz w:val="20"/>
                <w:szCs w:val="20"/>
                <w:color w:val="auto"/>
              </w:rPr>
            </w:pPr>
            <w:r>
              <w:rPr>
                <w:rFonts w:ascii="Arial" w:cs="Arial" w:eastAsia="Arial" w:hAnsi="Arial"/>
                <w:sz w:val="16"/>
                <w:szCs w:val="16"/>
                <w:color w:val="auto"/>
              </w:rPr>
              <w:t xml:space="preserve">Sterno </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1,012</w:t>
            </w:r>
          </w:p>
        </w:tc>
      </w:tr>
      <w:tr>
        <w:trPr>
          <w:trHeight w:val="215"/>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Allocation Interests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56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128,396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131,639</w:t>
            </w:r>
          </w:p>
        </w:tc>
      </w:tr>
      <w:tr>
        <w:trPr>
          <w:trHeight w:val="21"/>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Sterno noncontrolling interest balance has been classified as held for sale at March 31, 2026.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Fair Value Measurement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tables present, by level within the fair value hierarchy, the Company's financial assets and liabilities that are measured at fair value on a recurring basis as of March 31, 2026 or December 31, 2025 according to the valuation technique utilized to determine their fair values.</w:t>
      </w:r>
    </w:p>
    <w:p>
      <w:pPr>
        <w:spacing w:after="0" w:line="200" w:lineRule="exact"/>
        <w:rPr>
          <w:sz w:val="20"/>
          <w:szCs w:val="20"/>
          <w:color w:val="auto"/>
        </w:rPr>
      </w:pP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40" w:type="dxa"/>
            <w:vAlign w:val="bottom"/>
            <w:tcBorders>
              <w:top w:val="single" w:sz="8" w:color="auto"/>
              <w:bottom w:val="single" w:sz="8" w:color="auto"/>
            </w:tcBorders>
            <w:gridSpan w:val="9"/>
          </w:tcPr>
          <w:p>
            <w:pPr>
              <w:jc w:val="right"/>
              <w:ind w:right="44"/>
              <w:spacing w:after="0"/>
              <w:rPr>
                <w:sz w:val="20"/>
                <w:szCs w:val="20"/>
                <w:color w:val="auto"/>
              </w:rPr>
            </w:pPr>
            <w:r>
              <w:rPr>
                <w:rFonts w:ascii="Arial" w:cs="Arial" w:eastAsia="Arial" w:hAnsi="Arial"/>
                <w:sz w:val="15"/>
                <w:szCs w:val="15"/>
                <w:b w:val="1"/>
                <w:bCs w:val="1"/>
                <w:color w:val="auto"/>
              </w:rPr>
              <w:t>Fair Value Measurements at March 31, 2026</w:t>
            </w:r>
          </w:p>
        </w:tc>
        <w:tc>
          <w:tcPr>
            <w:tcW w:w="980" w:type="dxa"/>
            <w:vAlign w:val="bottom"/>
            <w:tcBorders>
              <w:top w:val="single" w:sz="8" w:color="auto"/>
              <w:bottom w:val="single" w:sz="8" w:color="auto"/>
            </w:tcBorders>
          </w:tcPr>
          <w:p>
            <w:pPr>
              <w:spacing w:after="0"/>
              <w:rPr>
                <w:sz w:val="18"/>
                <w:szCs w:val="18"/>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Carrying Value</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5"/>
                <w:szCs w:val="15"/>
                <w:b w:val="1"/>
                <w:bCs w:val="1"/>
                <w:color w:val="auto"/>
              </w:rPr>
              <w:t>Level 2</w:t>
            </w:r>
          </w:p>
        </w:tc>
        <w:tc>
          <w:tcPr>
            <w:tcW w:w="220" w:type="dxa"/>
            <w:vAlign w:val="bottom"/>
          </w:tcPr>
          <w:p>
            <w:pPr>
              <w:spacing w:after="0"/>
              <w:rPr>
                <w:sz w:val="17"/>
                <w:szCs w:val="17"/>
                <w:color w:val="auto"/>
              </w:rPr>
            </w:pPr>
          </w:p>
        </w:tc>
        <w:tc>
          <w:tcPr>
            <w:tcW w:w="980" w:type="dxa"/>
            <w:vAlign w:val="bottom"/>
          </w:tcPr>
          <w:p>
            <w:pPr>
              <w:jc w:val="right"/>
              <w:ind w:right="264"/>
              <w:spacing w:after="0"/>
              <w:rPr>
                <w:sz w:val="20"/>
                <w:szCs w:val="20"/>
                <w:color w:val="auto"/>
              </w:rPr>
            </w:pPr>
            <w:r>
              <w:rPr>
                <w:rFonts w:ascii="Arial" w:cs="Arial" w:eastAsia="Arial" w:hAnsi="Arial"/>
                <w:sz w:val="15"/>
                <w:szCs w:val="15"/>
                <w:b w:val="1"/>
                <w:bCs w:val="1"/>
                <w:color w:val="auto"/>
              </w:rPr>
              <w:t>Level 3</w:t>
            </w:r>
          </w:p>
        </w:tc>
      </w:tr>
      <w:tr>
        <w:trPr>
          <w:trHeight w:val="181"/>
        </w:trPr>
        <w:tc>
          <w:tcPr>
            <w:tcW w:w="4000" w:type="dxa"/>
            <w:vAlign w:val="bottom"/>
          </w:tcPr>
          <w:p>
            <w:pPr>
              <w:ind w:left="20"/>
              <w:spacing w:after="0"/>
              <w:rPr>
                <w:sz w:val="20"/>
                <w:szCs w:val="20"/>
                <w:color w:val="auto"/>
              </w:rPr>
            </w:pPr>
            <w:r>
              <w:rPr>
                <w:rFonts w:ascii="Arial" w:cs="Arial" w:eastAsia="Arial" w:hAnsi="Arial"/>
                <w:sz w:val="15"/>
                <w:szCs w:val="15"/>
                <w:color w:val="auto"/>
              </w:rPr>
              <w:t>Assets:</w:t>
            </w: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04"/>
        </w:trPr>
        <w:tc>
          <w:tcPr>
            <w:tcW w:w="4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Receivable due from unconsolidated affiliate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97,000</w:t>
            </w:r>
          </w:p>
        </w:tc>
      </w:tr>
      <w:tr>
        <w:trPr>
          <w:trHeight w:val="201"/>
        </w:trPr>
        <w:tc>
          <w:tcPr>
            <w:tcW w:w="4000" w:type="dxa"/>
            <w:vAlign w:val="bottom"/>
          </w:tcPr>
          <w:p>
            <w:pPr>
              <w:ind w:left="120"/>
              <w:spacing w:after="0"/>
              <w:rPr>
                <w:sz w:val="20"/>
                <w:szCs w:val="20"/>
                <w:color w:val="auto"/>
              </w:rPr>
            </w:pPr>
            <w:r>
              <w:rPr>
                <w:rFonts w:ascii="Arial" w:cs="Arial" w:eastAsia="Arial" w:hAnsi="Arial"/>
                <w:sz w:val="15"/>
                <w:szCs w:val="15"/>
                <w:color w:val="auto"/>
              </w:rPr>
              <w:t>Equity investment in Lugano</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gridSpan w:val="2"/>
          </w:tcPr>
          <w:p>
            <w:pPr>
              <w:ind w:left="7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22"/>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recorded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97,000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320" w:type="dxa"/>
            <w:vAlign w:val="bottom"/>
            <w:tcBorders>
              <w:top w:val="single" w:sz="8" w:color="auto"/>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Fair Value Measurements at December 31, 2025</w:t>
            </w:r>
          </w:p>
        </w:tc>
        <w:tc>
          <w:tcPr>
            <w:tcW w:w="900" w:type="dxa"/>
            <w:vAlign w:val="bottom"/>
            <w:tcBorders>
              <w:top w:val="single" w:sz="8" w:color="auto"/>
              <w:bottom w:val="single" w:sz="8" w:color="auto"/>
            </w:tcBorders>
          </w:tcPr>
          <w:p>
            <w:pPr>
              <w:spacing w:after="0"/>
              <w:rPr>
                <w:sz w:val="18"/>
                <w:szCs w:val="18"/>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Carrying Value</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7"/>
                <w:szCs w:val="17"/>
                <w:color w:val="auto"/>
              </w:rPr>
            </w:pPr>
          </w:p>
        </w:tc>
        <w:tc>
          <w:tcPr>
            <w:tcW w:w="900" w:type="dxa"/>
            <w:vAlign w:val="bottom"/>
          </w:tcPr>
          <w:p>
            <w:pPr>
              <w:jc w:val="right"/>
              <w:ind w:right="264"/>
              <w:spacing w:after="0"/>
              <w:rPr>
                <w:sz w:val="20"/>
                <w:szCs w:val="20"/>
                <w:color w:val="auto"/>
              </w:rPr>
            </w:pPr>
            <w:r>
              <w:rPr>
                <w:rFonts w:ascii="Arial" w:cs="Arial" w:eastAsia="Arial" w:hAnsi="Arial"/>
                <w:sz w:val="15"/>
                <w:szCs w:val="15"/>
                <w:b w:val="1"/>
                <w:bCs w:val="1"/>
                <w:color w:val="auto"/>
              </w:rPr>
              <w:t>Level 3</w:t>
            </w:r>
          </w:p>
        </w:tc>
      </w:tr>
      <w:tr>
        <w:trPr>
          <w:trHeight w:val="181"/>
        </w:trPr>
        <w:tc>
          <w:tcPr>
            <w:tcW w:w="4000" w:type="dxa"/>
            <w:vAlign w:val="bottom"/>
          </w:tcPr>
          <w:p>
            <w:pPr>
              <w:ind w:left="20"/>
              <w:spacing w:after="0"/>
              <w:rPr>
                <w:sz w:val="20"/>
                <w:szCs w:val="20"/>
                <w:color w:val="auto"/>
              </w:rPr>
            </w:pPr>
            <w:r>
              <w:rPr>
                <w:rFonts w:ascii="Arial" w:cs="Arial" w:eastAsia="Arial" w:hAnsi="Arial"/>
                <w:sz w:val="15"/>
                <w:szCs w:val="15"/>
                <w:color w:val="auto"/>
              </w:rPr>
              <w:t>Assets:</w:t>
            </w: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204"/>
        </w:trPr>
        <w:tc>
          <w:tcPr>
            <w:tcW w:w="4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Receivable due from unconsolidated affiliate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97,000</w:t>
            </w:r>
          </w:p>
        </w:tc>
      </w:tr>
      <w:tr>
        <w:trPr>
          <w:trHeight w:val="201"/>
        </w:trPr>
        <w:tc>
          <w:tcPr>
            <w:tcW w:w="4000" w:type="dxa"/>
            <w:vAlign w:val="bottom"/>
          </w:tcPr>
          <w:p>
            <w:pPr>
              <w:ind w:left="120"/>
              <w:spacing w:after="0"/>
              <w:rPr>
                <w:sz w:val="20"/>
                <w:szCs w:val="20"/>
                <w:color w:val="auto"/>
              </w:rPr>
            </w:pPr>
            <w:r>
              <w:rPr>
                <w:rFonts w:ascii="Arial" w:cs="Arial" w:eastAsia="Arial" w:hAnsi="Arial"/>
                <w:sz w:val="15"/>
                <w:szCs w:val="15"/>
                <w:color w:val="auto"/>
              </w:rPr>
              <w:t>Equity investment in Lugano</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gridSpan w:val="2"/>
          </w:tcPr>
          <w:p>
            <w:pPr>
              <w:ind w:left="7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22"/>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recorded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97,000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had no assets or liabilities Level 3 fair value measurements during the quarter ended March 31, 2025. A reconciliation of the change in the carrying value of the Company's Level 3 fair value measurement during quarter ended March 31, 2026 is as follows:</w:t>
      </w:r>
    </w:p>
    <w:p>
      <w:pPr>
        <w:spacing w:after="0" w:line="121" w:lineRule="exact"/>
        <w:rPr>
          <w:sz w:val="20"/>
          <w:szCs w:val="20"/>
          <w:color w:val="auto"/>
        </w:rPr>
      </w:pPr>
    </w:p>
    <w:tbl>
      <w:tblPr>
        <w:tblLayout w:type="fixed"/>
        <w:tblInd w:w="2440" w:type="dxa"/>
        <w:tblCellMar>
          <w:top w:w="0" w:type="dxa"/>
          <w:left w:w="0" w:type="dxa"/>
          <w:bottom w:w="0" w:type="dxa"/>
          <w:right w:w="0" w:type="dxa"/>
        </w:tblCellMar>
      </w:tblPr>
      <w:tr>
        <w:trPr>
          <w:trHeight w:val="172"/>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Arial" w:cs="Arial" w:eastAsia="Arial" w:hAnsi="Arial"/>
                <w:sz w:val="15"/>
                <w:szCs w:val="15"/>
                <w:b w:val="1"/>
                <w:bCs w:val="1"/>
                <w:color w:val="auto"/>
              </w:rPr>
              <w:t>Three months ended March</w:t>
            </w:r>
          </w:p>
        </w:tc>
      </w:tr>
      <w:tr>
        <w:trPr>
          <w:trHeight w:val="213"/>
        </w:trPr>
        <w:tc>
          <w:tcPr>
            <w:tcW w:w="4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764"/>
              <w:spacing w:after="0"/>
              <w:rPr>
                <w:sz w:val="20"/>
                <w:szCs w:val="20"/>
                <w:color w:val="auto"/>
              </w:rPr>
            </w:pPr>
            <w:r>
              <w:rPr>
                <w:rFonts w:ascii="Arial" w:cs="Arial" w:eastAsia="Arial" w:hAnsi="Arial"/>
                <w:sz w:val="15"/>
                <w:szCs w:val="15"/>
                <w:b w:val="1"/>
                <w:bCs w:val="1"/>
                <w:color w:val="auto"/>
              </w:rPr>
              <w:t>31, 2026</w:t>
            </w:r>
          </w:p>
        </w:tc>
      </w:tr>
      <w:tr>
        <w:trPr>
          <w:trHeight w:val="199"/>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Balance at January 1st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97,000</w:t>
            </w:r>
          </w:p>
        </w:tc>
      </w:tr>
      <w:tr>
        <w:trPr>
          <w:trHeight w:val="201"/>
        </w:trPr>
        <w:tc>
          <w:tcPr>
            <w:tcW w:w="4120" w:type="dxa"/>
            <w:vAlign w:val="bottom"/>
          </w:tcPr>
          <w:p>
            <w:pPr>
              <w:spacing w:after="0"/>
              <w:rPr>
                <w:sz w:val="20"/>
                <w:szCs w:val="20"/>
                <w:color w:val="auto"/>
              </w:rPr>
            </w:pPr>
            <w:r>
              <w:rPr>
                <w:rFonts w:ascii="Arial" w:cs="Arial" w:eastAsia="Arial" w:hAnsi="Arial"/>
                <w:sz w:val="15"/>
                <w:szCs w:val="15"/>
                <w:color w:val="auto"/>
              </w:rPr>
              <w:t>Receivable due from unconsolidated affiliate</w:t>
            </w:r>
          </w:p>
        </w:tc>
        <w:tc>
          <w:tcPr>
            <w:tcW w:w="120" w:type="dxa"/>
            <w:vAlign w:val="bottom"/>
          </w:tcPr>
          <w:p>
            <w:pPr>
              <w:spacing w:after="0"/>
              <w:rPr>
                <w:sz w:val="17"/>
                <w:szCs w:val="17"/>
                <w:color w:val="auto"/>
              </w:rPr>
            </w:pPr>
          </w:p>
        </w:tc>
        <w:tc>
          <w:tcPr>
            <w:tcW w:w="214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Equity investment - Lugano</w:t>
            </w:r>
          </w:p>
        </w:tc>
        <w:tc>
          <w:tcPr>
            <w:tcW w:w="12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7"/>
        </w:trPr>
        <w:tc>
          <w:tcPr>
            <w:tcW w:w="4120" w:type="dxa"/>
            <w:vAlign w:val="bottom"/>
          </w:tcPr>
          <w:p>
            <w:pPr>
              <w:spacing w:after="0"/>
              <w:rPr>
                <w:sz w:val="20"/>
                <w:szCs w:val="20"/>
                <w:color w:val="auto"/>
              </w:rPr>
            </w:pPr>
            <w:r>
              <w:rPr>
                <w:rFonts w:ascii="Arial" w:cs="Arial" w:eastAsia="Arial" w:hAnsi="Arial"/>
                <w:sz w:val="15"/>
                <w:szCs w:val="15"/>
                <w:color w:val="auto"/>
              </w:rPr>
              <w:t>Balance at March 31st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2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97,000</w:t>
            </w: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Valuation Techniques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2025 Form 10-K.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following table provides the assets and liabilities carried at fair value measured on a non-recurring basis as of March 31, 2026 and December 31, 2025. Refer to </w:t>
      </w:r>
      <w:r>
        <w:rPr>
          <w:rFonts w:ascii="Arial" w:cs="Arial" w:eastAsia="Arial" w:hAnsi="Arial"/>
          <w:sz w:val="18"/>
          <w:szCs w:val="18"/>
          <w:u w:val="single" w:color="auto"/>
          <w:color w:val="0000FF"/>
        </w:rPr>
        <w:t>"Note E - Goodwill and Intangible Assets"</w:t>
      </w:r>
      <w:r>
        <w:rPr>
          <w:rFonts w:ascii="Arial" w:cs="Arial" w:eastAsia="Arial" w:hAnsi="Arial"/>
          <w:sz w:val="18"/>
          <w:szCs w:val="18"/>
          <w:color w:val="auto"/>
        </w:rPr>
        <w:t>, for a description of the valuation techniques used to determine fair value of the assets measured on a non-recurring basis in the tables below.</w:t>
      </w:r>
    </w:p>
    <w:p>
      <w:pPr>
        <w:spacing w:after="0" w:line="103" w:lineRule="exact"/>
        <w:rPr>
          <w:sz w:val="20"/>
          <w:szCs w:val="20"/>
          <w:color w:val="auto"/>
        </w:rPr>
      </w:pPr>
    </w:p>
    <w:tbl>
      <w:tblPr>
        <w:tblLayout w:type="fixed"/>
        <w:tblInd w:w="30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10"/>
          </w:tcPr>
          <w:p>
            <w:pPr>
              <w:ind w:left="620"/>
              <w:spacing w:after="0"/>
              <w:rPr>
                <w:sz w:val="20"/>
                <w:szCs w:val="20"/>
                <w:color w:val="auto"/>
              </w:rPr>
            </w:pPr>
            <w:r>
              <w:rPr>
                <w:rFonts w:ascii="Arial" w:cs="Arial" w:eastAsia="Arial" w:hAnsi="Arial"/>
                <w:sz w:val="15"/>
                <w:szCs w:val="15"/>
                <w:b w:val="1"/>
                <w:bCs w:val="1"/>
                <w:color w:val="auto"/>
              </w:rPr>
              <w:t>Fair Value Measurements at March 31, 2026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5"/>
                <w:szCs w:val="15"/>
                <w:b w:val="1"/>
                <w:bCs w:val="1"/>
                <w:color w:val="auto"/>
              </w:rPr>
              <w:t>Carrying</w:t>
            </w:r>
          </w:p>
        </w:tc>
        <w:tc>
          <w:tcPr>
            <w:tcW w:w="8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2"/>
                <w:szCs w:val="12"/>
                <w:color w:val="auto"/>
              </w:rPr>
            </w:pPr>
          </w:p>
        </w:tc>
        <w:tc>
          <w:tcPr>
            <w:tcW w:w="2020" w:type="dxa"/>
            <w:vAlign w:val="bottom"/>
            <w:vMerge w:val="restart"/>
          </w:tcPr>
          <w:p>
            <w:pPr>
              <w:jc w:val="center"/>
              <w:ind w:right="184"/>
              <w:spacing w:after="0"/>
              <w:rPr>
                <w:sz w:val="20"/>
                <w:szCs w:val="20"/>
                <w:color w:val="auto"/>
              </w:rPr>
            </w:pPr>
            <w:r>
              <w:rPr>
                <w:rFonts w:ascii="Arial" w:cs="Arial" w:eastAsia="Arial" w:hAnsi="Arial"/>
                <w:sz w:val="15"/>
                <w:szCs w:val="15"/>
                <w:b w:val="1"/>
                <w:bCs w:val="1"/>
                <w:color w:val="auto"/>
              </w:rPr>
              <w:t>March 31, 2026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9"/>
              </w:rPr>
              <w:t>Value</w:t>
            </w:r>
          </w:p>
        </w:tc>
        <w:tc>
          <w:tcPr>
            <w:tcW w:w="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Goodwill - PrimaLoft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212,036</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212,036</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2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20,500</w:t>
            </w: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9"/>
          </w:tcPr>
          <w:p>
            <w:pPr>
              <w:jc w:val="right"/>
              <w:ind w:right="564"/>
              <w:spacing w:after="0"/>
              <w:rPr>
                <w:sz w:val="20"/>
                <w:szCs w:val="20"/>
                <w:color w:val="auto"/>
              </w:rPr>
            </w:pPr>
            <w:r>
              <w:rPr>
                <w:rFonts w:ascii="Arial" w:cs="Arial" w:eastAsia="Arial" w:hAnsi="Arial"/>
                <w:sz w:val="15"/>
                <w:szCs w:val="15"/>
                <w:b w:val="1"/>
                <w:bCs w:val="1"/>
                <w:color w:val="auto"/>
              </w:rPr>
              <w:t>Fair Value Measurements at December 31, 2025</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204"/>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5"/>
                <w:szCs w:val="15"/>
                <w:b w:val="1"/>
                <w:bCs w:val="1"/>
                <w:color w:val="auto"/>
              </w:rPr>
              <w:t>Carrying</w:t>
            </w:r>
          </w:p>
        </w:tc>
        <w:tc>
          <w:tcPr>
            <w:tcW w:w="8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2"/>
                <w:szCs w:val="12"/>
                <w:color w:val="auto"/>
              </w:rPr>
            </w:pPr>
          </w:p>
        </w:tc>
        <w:tc>
          <w:tcPr>
            <w:tcW w:w="2020" w:type="dxa"/>
            <w:vAlign w:val="bottom"/>
            <w:vMerge w:val="restart"/>
          </w:tcPr>
          <w:p>
            <w:pPr>
              <w:jc w:val="center"/>
              <w:ind w:right="204"/>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line="216" w:lineRule="exact"/>
              <w:rPr>
                <w:sz w:val="20"/>
                <w:szCs w:val="20"/>
                <w:color w:val="auto"/>
              </w:rPr>
            </w:pPr>
            <w:r>
              <w:rPr>
                <w:rFonts w:ascii="Arial" w:cs="Arial" w:eastAsia="Arial" w:hAnsi="Arial"/>
                <w:sz w:val="15"/>
                <w:szCs w:val="15"/>
                <w:b w:val="1"/>
                <w:bCs w:val="1"/>
                <w:color w:val="auto"/>
                <w:w w:val="90"/>
              </w:rPr>
              <w:t xml:space="preserve">Value </w:t>
            </w:r>
            <w:r>
              <w:rPr>
                <w:rFonts w:ascii="Arial" w:cs="Arial" w:eastAsia="Arial" w:hAnsi="Arial"/>
                <w:sz w:val="19"/>
                <w:szCs w:val="19"/>
                <w:b w:val="1"/>
                <w:bCs w:val="1"/>
                <w:color w:val="auto"/>
                <w:w w:val="90"/>
                <w:vertAlign w:val="superscript"/>
              </w:rPr>
              <w:t>(1)</w:t>
            </w:r>
          </w:p>
        </w:tc>
        <w:tc>
          <w:tcPr>
            <w:tcW w:w="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Property, plant and equipment - Lugano</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29,631</w:t>
            </w:r>
          </w:p>
        </w:tc>
        <w:tc>
          <w:tcPr>
            <w:tcW w:w="0" w:type="dxa"/>
            <w:vAlign w:val="bottom"/>
          </w:tcPr>
          <w:p>
            <w:pPr>
              <w:spacing w:after="0"/>
              <w:rPr>
                <w:sz w:val="1"/>
                <w:szCs w:val="1"/>
                <w:color w:val="auto"/>
              </w:rPr>
            </w:pPr>
          </w:p>
        </w:tc>
      </w:tr>
      <w:tr>
        <w:trPr>
          <w:trHeight w:val="200"/>
        </w:trPr>
        <w:tc>
          <w:tcPr>
            <w:tcW w:w="3560" w:type="dxa"/>
            <w:vAlign w:val="bottom"/>
          </w:tcPr>
          <w:p>
            <w:pPr>
              <w:spacing w:after="0"/>
              <w:rPr>
                <w:sz w:val="20"/>
                <w:szCs w:val="20"/>
                <w:color w:val="auto"/>
              </w:rPr>
            </w:pPr>
            <w:r>
              <w:rPr>
                <w:rFonts w:ascii="Arial" w:cs="Arial" w:eastAsia="Arial" w:hAnsi="Arial"/>
                <w:sz w:val="15"/>
                <w:szCs w:val="15"/>
                <w:color w:val="auto"/>
              </w:rPr>
              <w:t>Right-of-use asset - Lugano</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Arial" w:cs="Arial" w:eastAsia="Arial" w:hAnsi="Arial"/>
                <w:sz w:val="15"/>
                <w:szCs w:val="15"/>
                <w:color w:val="auto"/>
              </w:rPr>
              <w:t>—</w:t>
            </w:r>
          </w:p>
        </w:tc>
        <w:tc>
          <w:tcPr>
            <w:tcW w:w="280" w:type="dxa"/>
            <w:vAlign w:val="bottom"/>
          </w:tcPr>
          <w:p>
            <w:pPr>
              <w:ind w:left="2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gridSpan w:val="4"/>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ind w:right="4"/>
              <w:spacing w:after="0"/>
              <w:rPr>
                <w:sz w:val="20"/>
                <w:szCs w:val="20"/>
                <w:color w:val="auto"/>
              </w:rPr>
            </w:pPr>
            <w:r>
              <w:rPr>
                <w:rFonts w:ascii="Arial" w:cs="Arial" w:eastAsia="Arial" w:hAnsi="Arial"/>
                <w:sz w:val="15"/>
                <w:szCs w:val="15"/>
                <w:color w:val="auto"/>
              </w:rPr>
              <w:t>1,884</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firstLine="8"/>
        <w:spacing w:after="0" w:line="223" w:lineRule="auto"/>
        <w:tabs>
          <w:tab w:leader="none" w:pos="220" w:val="left"/>
        </w:tabs>
        <w:numPr>
          <w:ilvl w:val="0"/>
          <w:numId w:val="15"/>
        </w:numPr>
        <w:rPr>
          <w:rFonts w:ascii="Arial" w:cs="Arial" w:eastAsia="Arial" w:hAnsi="Arial"/>
          <w:sz w:val="23"/>
          <w:szCs w:val="23"/>
          <w:b w:val="1"/>
          <w:bCs w:val="1"/>
          <w:color w:val="auto"/>
          <w:vertAlign w:val="superscript"/>
        </w:rPr>
      </w:pPr>
      <w:r>
        <w:rPr>
          <w:rFonts w:ascii="Arial" w:cs="Arial" w:eastAsia="Arial" w:hAnsi="Arial"/>
          <w:sz w:val="16"/>
          <w:szCs w:val="16"/>
          <w:color w:val="auto"/>
        </w:rPr>
        <w:t>Lugano recorded impairment expense in the second quarter of 2025 related to long-lived assets. As a result of the deconsolidation of Lugano on November 16, 2025, the carrying value of the related assets as of December 31, 2025 was $0.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Income taxes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estimates its annual effective tax rate each fiscal quarter and applies that estimated rate to its interim pre-tax earnings. In this regard, the Company reflects the full year’s estimated tax impact of certain unusual or infrequently occurring items and the effects of changes in tax laws or rates in the interim period in which they occur. The Company's parent, the Trust, is subject to entity-level U.S. federal, state and local corporate income taxes on the Company's earnings that flow through to the Trust.</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computation of the annual estimated effective tax rate for each interim period requires certain assumptions, estimates, and significant judgment, including with respect to the projected operating income for the year, projections of income earned and taxes incurred in various jurisdictions, permanent and temporary differences and the likelihood of recovering deferred tax assets. The accounting estimates used to compute the provision for income taxes may change as new events occur, as additional information is obtained, as our tax structure changes or as the tax laws change. Certain foreign operations are subject to foreign income taxation under existing provisions of the laws of those jurisdictions.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8"/>
          <w:szCs w:val="18"/>
          <w:color w:val="auto"/>
        </w:rPr>
        <w:t>The reconciliation between the Federal Statutory Rate and the effective income tax rate for the three months ended March 31, 2026 and 2025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83185</wp:posOffset>
            </wp:positionV>
            <wp:extent cx="24174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19" w:lineRule="exact"/>
        <w:rPr>
          <w:sz w:val="20"/>
          <w:szCs w:val="20"/>
          <w:color w:val="auto"/>
        </w:rPr>
      </w:pPr>
    </w:p>
    <w:p>
      <w:pPr>
        <w:ind w:left="7660"/>
        <w:spacing w:after="0"/>
        <w:rPr>
          <w:sz w:val="20"/>
          <w:szCs w:val="20"/>
          <w:color w:val="auto"/>
        </w:rPr>
      </w:pPr>
      <w:r>
        <w:rPr>
          <w:rFonts w:ascii="Arial" w:cs="Arial" w:eastAsia="Arial" w:hAnsi="Arial"/>
          <w:sz w:val="15"/>
          <w:szCs w:val="15"/>
          <w:b w:val="1"/>
          <w:bCs w:val="1"/>
          <w:color w:val="auto"/>
        </w:rPr>
        <w:t>Three months ended March 31,</w:t>
      </w: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3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2026</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5"/>
                <w:szCs w:val="15"/>
                <w:b w:val="1"/>
                <w:bCs w:val="1"/>
                <w:color w:val="auto"/>
              </w:rPr>
              <w:t>2025</w:t>
            </w: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United States Federal Statutory Rate</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7480" w:type="dxa"/>
            <w:vAlign w:val="bottom"/>
            <w:gridSpan w:val="2"/>
          </w:tcPr>
          <w:p>
            <w:pPr>
              <w:spacing w:after="0"/>
              <w:rPr>
                <w:sz w:val="20"/>
                <w:szCs w:val="20"/>
                <w:color w:val="auto"/>
              </w:rPr>
            </w:pPr>
            <w:r>
              <w:rPr>
                <w:rFonts w:ascii="Arial" w:cs="Arial" w:eastAsia="Arial" w:hAnsi="Arial"/>
                <w:sz w:val="16"/>
                <w:szCs w:val="16"/>
                <w:color w:val="auto"/>
              </w:rPr>
              <w:t>State income taxes (net of Federal benefits)</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2.5</w:t>
            </w:r>
          </w:p>
        </w:tc>
      </w:tr>
      <w:tr>
        <w:trPr>
          <w:trHeight w:val="217"/>
        </w:trPr>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income taxes</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r>
      <w:tr>
        <w:trPr>
          <w:trHeight w:val="215"/>
        </w:trPr>
        <w:tc>
          <w:tcPr>
            <w:tcW w:w="7480" w:type="dxa"/>
            <w:vAlign w:val="bottom"/>
            <w:gridSpan w:val="2"/>
          </w:tcPr>
          <w:p>
            <w:pPr>
              <w:spacing w:after="0"/>
              <w:rPr>
                <w:sz w:val="20"/>
                <w:szCs w:val="20"/>
                <w:color w:val="auto"/>
              </w:rPr>
            </w:pPr>
            <w:r>
              <w:rPr>
                <w:rFonts w:ascii="Arial" w:cs="Arial" w:eastAsia="Arial" w:hAnsi="Arial"/>
                <w:sz w:val="16"/>
                <w:szCs w:val="16"/>
                <w:color w:val="auto"/>
              </w:rPr>
              <w:t>Impact of subsidiary employee stock options</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7"/>
        </w:trPr>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Utilization of tax credits</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r>
      <w:tr>
        <w:trPr>
          <w:trHeight w:val="215"/>
        </w:trPr>
        <w:tc>
          <w:tcPr>
            <w:tcW w:w="7480" w:type="dxa"/>
            <w:vAlign w:val="bottom"/>
            <w:gridSpan w:val="2"/>
          </w:tcPr>
          <w:p>
            <w:pPr>
              <w:spacing w:after="0"/>
              <w:rPr>
                <w:sz w:val="20"/>
                <w:szCs w:val="20"/>
                <w:color w:val="auto"/>
              </w:rPr>
            </w:pPr>
            <w:r>
              <w:rPr>
                <w:rFonts w:ascii="Arial" w:cs="Arial" w:eastAsia="Arial" w:hAnsi="Arial"/>
                <w:sz w:val="16"/>
                <w:szCs w:val="16"/>
                <w:color w:val="auto"/>
              </w:rPr>
              <w:t>Changes in valuation allowances</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(32.8)</w:t>
            </w:r>
          </w:p>
        </w:tc>
      </w:tr>
      <w:tr>
        <w:trPr>
          <w:trHeight w:val="217"/>
        </w:trPr>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 tax on foreign income</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r>
      <w:tr>
        <w:trPr>
          <w:trHeight w:val="215"/>
        </w:trPr>
        <w:tc>
          <w:tcPr>
            <w:tcW w:w="7480" w:type="dxa"/>
            <w:vAlign w:val="bottom"/>
            <w:gridSpan w:val="2"/>
          </w:tcPr>
          <w:p>
            <w:pPr>
              <w:spacing w:after="0"/>
              <w:rPr>
                <w:sz w:val="20"/>
                <w:szCs w:val="20"/>
                <w:color w:val="auto"/>
              </w:rPr>
            </w:pPr>
            <w:r>
              <w:rPr>
                <w:rFonts w:ascii="Arial" w:cs="Arial" w:eastAsia="Arial" w:hAnsi="Arial"/>
                <w:sz w:val="16"/>
                <w:szCs w:val="16"/>
                <w:color w:val="auto"/>
              </w:rPr>
              <w:t>Impairment expense</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r>
      <w:tr>
        <w:trPr>
          <w:trHeight w:val="210"/>
        </w:trPr>
        <w:tc>
          <w:tcPr>
            <w:tcW w:w="7480" w:type="dxa"/>
            <w:vAlign w:val="bottom"/>
            <w:gridSpan w:val="2"/>
          </w:tcPr>
          <w:p>
            <w:pPr>
              <w:ind w:left="340"/>
              <w:spacing w:after="0"/>
              <w:rPr>
                <w:sz w:val="20"/>
                <w:szCs w:val="20"/>
                <w:color w:val="auto"/>
              </w:rPr>
            </w:pPr>
            <w:r>
              <w:rPr>
                <w:rFonts w:ascii="Arial" w:cs="Arial" w:eastAsia="Arial" w:hAnsi="Arial"/>
                <w:sz w:val="16"/>
                <w:szCs w:val="16"/>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
        </w:trPr>
        <w:tc>
          <w:tcPr>
            <w:tcW w:w="6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Defined Benefit Plan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unfunded liability of $3.8 million is recognized in the consolidated balance sheet as a component of other non-current liabilities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March 31, 2026. Net periodic benefit cost consists of the following for the three months ended March 31, 2026 and 2025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880" w:type="dxa"/>
            <w:vAlign w:val="bottom"/>
            <w:tcBorders>
              <w:top w:val="single" w:sz="8" w:color="auto"/>
              <w:bottom w:val="single" w:sz="8" w:color="auto"/>
            </w:tcBorders>
            <w:gridSpan w:val="4"/>
          </w:tcPr>
          <w:p>
            <w:pPr>
              <w:jc w:val="right"/>
              <w:ind w:right="21"/>
              <w:spacing w:after="0"/>
              <w:rPr>
                <w:sz w:val="20"/>
                <w:szCs w:val="20"/>
                <w:color w:val="auto"/>
              </w:rPr>
            </w:pPr>
            <w:r>
              <w:rPr>
                <w:rFonts w:ascii="Arial" w:cs="Arial" w:eastAsia="Arial" w:hAnsi="Arial"/>
                <w:sz w:val="15"/>
                <w:szCs w:val="15"/>
                <w:b w:val="1"/>
                <w:bCs w:val="1"/>
                <w:color w:val="auto"/>
              </w:rPr>
              <w:t>Three months ended March 31,</w:t>
            </w:r>
          </w:p>
        </w:tc>
        <w:tc>
          <w:tcPr>
            <w:tcW w:w="440" w:type="dxa"/>
            <w:vAlign w:val="bottom"/>
            <w:tcBorders>
              <w:top w:val="single" w:sz="8" w:color="auto"/>
              <w:bottom w:val="single" w:sz="8" w:color="auto"/>
            </w:tcBorders>
          </w:tcPr>
          <w:p>
            <w:pPr>
              <w:spacing w:after="0"/>
              <w:rPr>
                <w:sz w:val="18"/>
                <w:szCs w:val="18"/>
                <w:color w:val="auto"/>
              </w:rPr>
            </w:pPr>
          </w:p>
        </w:tc>
      </w:tr>
      <w:tr>
        <w:trPr>
          <w:trHeight w:val="196"/>
        </w:trPr>
        <w:tc>
          <w:tcPr>
            <w:tcW w:w="40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tcPr>
          <w:p>
            <w:pPr>
              <w:spacing w:after="0"/>
              <w:rPr>
                <w:sz w:val="17"/>
                <w:szCs w:val="17"/>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8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unrecognized loss</w:t>
            </w:r>
          </w:p>
        </w:tc>
        <w:tc>
          <w:tcPr>
            <w:tcW w:w="1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Effect of settlement</w:t>
            </w:r>
          </w:p>
        </w:tc>
        <w:tc>
          <w:tcPr>
            <w:tcW w:w="1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5"/>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81"/>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During the three months ended March 31, 2026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per the terms of the pension agreement, Arnold contributed approximately $0.2 million to the plan. For the remainder of 2026, the expected contribution to the plan will be approximately $0.5 million.</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March 31, 2026 were considered Level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Matters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are subject to legal proceedings and claims that arise in the ordinary course of business. The Company accrues a liability for a loss contingency when it is both probable that a liability has been incurred and the amount of the loss can be reasonably estimated. For material loss contingencies that are reasonably possible or for which the amount of loss cannot be reasonably estimated, the Company discloses the nature of the contingency. The Lugano Investigation, the restatement of the Company’s previously issued consolidated financial statements and related matters may result in additional litigation, regulatory investigations and liabilities in future periods.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Securities Class Actions Involving the Company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Following the Company’s announcement of the Lugano Investigation and restatement, several putative securities class actions were filed against the Company and certain of its officers and directors. The previously filed California actions were consolidated and later voluntarily dismissed so that the lead plaintiff could pursue its claims in the United States District Court for the District of Connecticut. The Connecticut action, captioned </w:t>
      </w:r>
      <w:r>
        <w:rPr>
          <w:rFonts w:ascii="Arial" w:cs="Arial" w:eastAsia="Arial" w:hAnsi="Arial"/>
          <w:sz w:val="18"/>
          <w:szCs w:val="18"/>
          <w:i w:val="1"/>
          <w:iCs w:val="1"/>
          <w:color w:val="auto"/>
        </w:rPr>
        <w:t>Moreno v. Compass Diversified Holdings LLC, et al.</w:t>
      </w:r>
      <w:r>
        <w:rPr>
          <w:rFonts w:ascii="Arial" w:cs="Arial" w:eastAsia="Arial" w:hAnsi="Arial"/>
          <w:sz w:val="18"/>
          <w:szCs w:val="18"/>
          <w:color w:val="auto"/>
        </w:rPr>
        <w:t>, asserts claims under Sections 10(b) and 20(a) of the Exchange Act and Rule 10b-5. The lead plaintiff filed an amended complaint on February 6, 2026, and the defendants filed motions to dismiss on March 23, 2026. The action is in the early stages. The Company believes it has defenses available and intends to vigorously defend the action. Management has determined that a loss is reasonably possible but cannot reasonably estimate a range of potential loss.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Actions Involving the Company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shareholder derivative actions have been filed, purportedly on behalf of the Company, against certain current and former officers and directors. The derivative actions generally assert claims for breach of fiduciary duty and violations of the federal securities laws based on allegations related to Lugano and the restatement. The California derivative actions have been consolidated and stayed, and the Connecticut derivative actions have been consolidated and stayed, in each case pending further developments in the securities class action. The derivative actions are in the early stages. The Company believes defenses are available and intends to vigorously defend these matters. Management has determined that a loss is reasonably possible but cannot reasonably estimate a range of potential loss.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External Investigations and Reviews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Company’s withdrawal of reliance on its 2024, 2023 and 2022 financial statements, delayed periodic reporting and the underlying conduct at Lugano, the Company is subject to ongoing investigations by the SEC and the U.S. Department of Justice. The investigative process is inherently uncertain, and the Company cannot predict the outcome of these investigations. The Company is cooperating with the ongoing investigations. At this time, management cannot reasonably estimate a range of potential loss, if any, that may result from these investigations.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Court Action Naming Lugano and the Company as Defendants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state court actions have been filed naming Lugano and, in some cases, the Company or related entities. In Kraus v. Lugano Diamonds &amp; Jewelry, Inc., et al., the plaintiff seeks approximately $1.4 million in damages, plus interest and penalties, and the court has stayed the case with respect to all defendants. In Royal T Diamonds Group Ltd. v. Lugano Diamonds &amp; Jewelry Inc., et al. formerly filed by Champion Force Industrial Limited, the court granted CODI’s motion to quash for lack of personal jurisdiction on March 26, 2026. The Company intends to avail itself of all available defenses in any matter in which it remains a party. Management has determined that a loss is reasonably possible but cannot reasonably estimate a range of possible loss, if any, that may result from these matters.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Lugano Chapter 11 Filing and Related Matters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16, 2025, Lugano and certain of its subsidiaries filed voluntary Chapter 11 petitions under the United States Bankruptcy Code in the United States Bankruptcy Court for the District of Delaware. As a result, Lugano was deconsolidated from the Company’s consolidated financial statements. Claims and litigation against Lugano are generally subject to the automatic stay in the bankruptcy proceedings. In connection with the bankruptcy proceedings, the Company’s claims against Lugano, including its senior secured receivable/claim, may be subject to challenge by Lugano or other parties in interest, including through claims or causes of action that could seek to subordinate or recharacterize the Company’s claim or otherwise reduce recoveries. Lugano, its estate representative, creditors or other parties in interest may also assert claims or causes of action against the Company and/or its current or former directors and officers. The Company cannot predict whether any such claims will be asserted or the outcome of any such matters. If asserted, such matters could result in significant defense costs, settlement payments or judgments, and could affect the timing and amount of any recoveries on the Company’s claims in the bankruptcy proceedings.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and its subsidiaries lease office and manufacturing facilities, computer equipment and software under various arrangements. Certain of the leases are subject to escalation clauses and renewal periods. The Company and its subsidiaries recognize lease expense, including predetermined fixed escalations, on a straight-line basis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three months ended March 31, 2026 and 2025. The Company recognized $11.9 million and $13.5 million in the three months ended March 31, 2026 and March 31, 2025, respectively, in expense related to operating leases in the condensed consolidated statements of operations. The Company entered into one finance lease in the fourth quarter of 2024. In both the three months ended March 31, 2026 and March 31, 2025 the Company recognized $0.2 million in interest expense related to its finance lease.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March 31, 2026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39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Operating</w:t>
            </w: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Finance</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64"/>
              <w:spacing w:after="0"/>
              <w:rPr>
                <w:sz w:val="20"/>
                <w:szCs w:val="20"/>
                <w:color w:val="auto"/>
              </w:rPr>
            </w:pPr>
            <w:r>
              <w:rPr>
                <w:rFonts w:ascii="Arial" w:cs="Arial" w:eastAsia="Arial" w:hAnsi="Arial"/>
                <w:sz w:val="15"/>
                <w:szCs w:val="15"/>
                <w:color w:val="auto"/>
              </w:rPr>
              <w:t>Total</w:t>
            </w:r>
          </w:p>
        </w:tc>
      </w:tr>
      <w:tr>
        <w:trPr>
          <w:trHeight w:val="131"/>
        </w:trPr>
        <w:tc>
          <w:tcPr>
            <w:tcW w:w="3980" w:type="dxa"/>
            <w:vAlign w:val="bottom"/>
            <w:shd w:val="clear" w:color="auto" w:fill="CCEEFF"/>
          </w:tcPr>
          <w:p>
            <w:pPr>
              <w:ind w:left="20"/>
              <w:spacing w:after="0" w:line="131" w:lineRule="exact"/>
              <w:rPr>
                <w:sz w:val="20"/>
                <w:szCs w:val="20"/>
                <w:color w:val="auto"/>
              </w:rPr>
            </w:pPr>
            <w:r>
              <w:rPr>
                <w:rFonts w:ascii="Arial" w:cs="Arial" w:eastAsia="Arial" w:hAnsi="Arial"/>
                <w:sz w:val="15"/>
                <w:szCs w:val="15"/>
                <w:color w:val="auto"/>
              </w:rPr>
              <w:t>2026 (excluding the three months ended March 31,</w:t>
            </w:r>
          </w:p>
        </w:tc>
        <w:tc>
          <w:tcPr>
            <w:tcW w:w="1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1480" w:type="dxa"/>
            <w:vAlign w:val="bottom"/>
            <w:shd w:val="clear" w:color="auto" w:fill="CCEEFF"/>
          </w:tcPr>
          <w:p>
            <w:pPr>
              <w:jc w:val="right"/>
              <w:ind w:right="13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37,252</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6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37,791</w:t>
            </w:r>
          </w:p>
        </w:tc>
      </w:tr>
      <w:tr>
        <w:trPr>
          <w:trHeight w:val="201"/>
        </w:trPr>
        <w:tc>
          <w:tcPr>
            <w:tcW w:w="3980" w:type="dxa"/>
            <w:vAlign w:val="bottom"/>
          </w:tcPr>
          <w:p>
            <w:pPr>
              <w:ind w:left="20"/>
              <w:spacing w:after="0"/>
              <w:rPr>
                <w:sz w:val="20"/>
                <w:szCs w:val="20"/>
                <w:color w:val="auto"/>
              </w:rPr>
            </w:pPr>
            <w:r>
              <w:rPr>
                <w:rFonts w:ascii="Arial" w:cs="Arial" w:eastAsia="Arial" w:hAnsi="Arial"/>
                <w:sz w:val="15"/>
                <w:szCs w:val="15"/>
                <w:color w:val="auto"/>
              </w:rPr>
              <w:t>2027</w:t>
            </w:r>
          </w:p>
        </w:tc>
        <w:tc>
          <w:tcPr>
            <w:tcW w:w="1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43,405</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7,040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50,445</w:t>
            </w:r>
          </w:p>
        </w:tc>
      </w:tr>
      <w:tr>
        <w:trPr>
          <w:trHeight w:val="204"/>
        </w:trPr>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2028</w:t>
            </w:r>
          </w:p>
        </w:tc>
        <w:tc>
          <w:tcPr>
            <w:tcW w:w="1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33,584</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33,584</w:t>
            </w:r>
          </w:p>
        </w:tc>
      </w:tr>
      <w:tr>
        <w:trPr>
          <w:trHeight w:val="201"/>
        </w:trPr>
        <w:tc>
          <w:tcPr>
            <w:tcW w:w="3980" w:type="dxa"/>
            <w:vAlign w:val="bottom"/>
          </w:tcPr>
          <w:p>
            <w:pPr>
              <w:ind w:left="20"/>
              <w:spacing w:after="0"/>
              <w:rPr>
                <w:sz w:val="20"/>
                <w:szCs w:val="20"/>
                <w:color w:val="auto"/>
              </w:rPr>
            </w:pPr>
            <w:r>
              <w:rPr>
                <w:rFonts w:ascii="Arial" w:cs="Arial" w:eastAsia="Arial" w:hAnsi="Arial"/>
                <w:sz w:val="15"/>
                <w:szCs w:val="15"/>
                <w:color w:val="auto"/>
              </w:rPr>
              <w:t>2029</w:t>
            </w:r>
          </w:p>
        </w:tc>
        <w:tc>
          <w:tcPr>
            <w:tcW w:w="1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23,887</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23,887</w:t>
            </w:r>
          </w:p>
        </w:tc>
      </w:tr>
      <w:tr>
        <w:trPr>
          <w:trHeight w:val="204"/>
        </w:trPr>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2030</w:t>
            </w:r>
          </w:p>
        </w:tc>
        <w:tc>
          <w:tcPr>
            <w:tcW w:w="1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20,116</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20,116</w:t>
            </w:r>
          </w:p>
        </w:tc>
      </w:tr>
      <w:tr>
        <w:trPr>
          <w:trHeight w:val="201"/>
        </w:trPr>
        <w:tc>
          <w:tcPr>
            <w:tcW w:w="398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1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69,589</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69,589</w:t>
            </w:r>
          </w:p>
        </w:tc>
      </w:tr>
      <w:tr>
        <w:trPr>
          <w:trHeight w:val="197"/>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undiscounted lease payments</w:t>
            </w:r>
          </w:p>
        </w:tc>
        <w:tc>
          <w:tcPr>
            <w:tcW w:w="1480" w:type="dxa"/>
            <w:vAlign w:val="bottom"/>
            <w:tcBorders>
              <w:top w:val="single" w:sz="8" w:color="auto"/>
            </w:tcBorders>
            <w:shd w:val="clear" w:color="auto" w:fill="CCEEFF"/>
          </w:tcPr>
          <w:p>
            <w:pPr>
              <w:jc w:val="right"/>
              <w:ind w:right="13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227,833</w:t>
            </w:r>
          </w:p>
        </w:tc>
        <w:tc>
          <w:tcPr>
            <w:tcW w:w="1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136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7,579</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235,412</w:t>
            </w:r>
          </w:p>
        </w:tc>
      </w:tr>
      <w:tr>
        <w:trPr>
          <w:trHeight w:val="201"/>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Interest</w:t>
            </w:r>
          </w:p>
        </w:tc>
        <w:tc>
          <w:tcPr>
            <w:tcW w:w="1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61,692</w:t>
            </w:r>
          </w:p>
        </w:tc>
        <w:tc>
          <w:tcPr>
            <w:tcW w:w="1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726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62,418</w:t>
            </w:r>
          </w:p>
        </w:tc>
      </w:tr>
      <w:tr>
        <w:trPr>
          <w:trHeight w:val="22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Present value of lease liabilities</w:t>
            </w:r>
          </w:p>
        </w:tc>
        <w:tc>
          <w:tcPr>
            <w:tcW w:w="1480" w:type="dxa"/>
            <w:vAlign w:val="bottom"/>
            <w:tcBorders>
              <w:bottom w:val="single" w:sz="8" w:color="auto"/>
            </w:tcBorders>
            <w:shd w:val="clear" w:color="auto" w:fill="CCEEFF"/>
          </w:tcPr>
          <w:p>
            <w:pPr>
              <w:jc w:val="right"/>
              <w:ind w:right="13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166,141</w:t>
            </w:r>
          </w:p>
        </w:tc>
        <w:tc>
          <w:tcPr>
            <w:tcW w:w="1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36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6,853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172,994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calculated amount of the right-of-use assets and lease liabilities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As the discount rate is rarely determinable, the Company utilizes the incremental borrowing rate of the subsidiary entering into the lease arrangement, on a collateralized basis, over a similar term as adjusted for any country specific risk.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w:t>
      </w:r>
    </w:p>
    <w:p>
      <w:pPr>
        <w:spacing w:after="0" w:line="224"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450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2240" w:type="dxa"/>
            <w:vAlign w:val="bottom"/>
            <w:tcBorders>
              <w:top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March 31, 2026</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March 31, 2025</w:t>
            </w:r>
          </w:p>
        </w:tc>
      </w:tr>
      <w:tr>
        <w:trPr>
          <w:trHeight w:val="21"/>
        </w:trPr>
        <w:tc>
          <w:tcPr>
            <w:tcW w:w="222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5"/>
        </w:trPr>
        <w:tc>
          <w:tcPr>
            <w:tcW w:w="4500" w:type="dxa"/>
            <w:vAlign w:val="bottom"/>
            <w:gridSpan w:val="2"/>
          </w:tcPr>
          <w:p>
            <w:pPr>
              <w:ind w:left="240"/>
              <w:spacing w:after="0"/>
              <w:rPr>
                <w:sz w:val="20"/>
                <w:szCs w:val="20"/>
                <w:color w:val="auto"/>
              </w:rPr>
            </w:pPr>
            <w:r>
              <w:rPr>
                <w:rFonts w:ascii="Arial" w:cs="Arial" w:eastAsia="Arial" w:hAnsi="Arial"/>
                <w:sz w:val="16"/>
                <w:szCs w:val="16"/>
                <w:color w:val="auto"/>
              </w:rPr>
              <w:t>Operating Leases</w:t>
            </w:r>
          </w:p>
        </w:tc>
        <w:tc>
          <w:tcPr>
            <w:tcW w:w="224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7"/>
        </w:trPr>
        <w:tc>
          <w:tcPr>
            <w:tcW w:w="4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5"/>
        </w:trPr>
        <w:tc>
          <w:tcPr>
            <w:tcW w:w="450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7"/>
        </w:trPr>
        <w:tc>
          <w:tcPr>
            <w:tcW w:w="4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8.84 %</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8.93 %</w:t>
            </w:r>
          </w:p>
        </w:tc>
      </w:tr>
      <w:tr>
        <w:trPr>
          <w:trHeight w:val="215"/>
        </w:trPr>
        <w:tc>
          <w:tcPr>
            <w:tcW w:w="4500" w:type="dxa"/>
            <w:vAlign w:val="bottom"/>
            <w:gridSpan w:val="2"/>
          </w:tcPr>
          <w:p>
            <w:pPr>
              <w:ind w:left="240"/>
              <w:spacing w:after="0"/>
              <w:rPr>
                <w:sz w:val="20"/>
                <w:szCs w:val="20"/>
                <w:color w:val="auto"/>
              </w:rPr>
            </w:pPr>
            <w:r>
              <w:rPr>
                <w:rFonts w:ascii="Arial" w:cs="Arial" w:eastAsia="Arial" w:hAnsi="Arial"/>
                <w:sz w:val="16"/>
                <w:szCs w:val="16"/>
                <w:color w:val="auto"/>
              </w:rPr>
              <w:t>Finance Leases</w:t>
            </w:r>
          </w:p>
        </w:tc>
        <w:tc>
          <w:tcPr>
            <w:tcW w:w="2240" w:type="dxa"/>
            <w:vAlign w:val="bottom"/>
          </w:tcPr>
          <w:p>
            <w:pPr>
              <w:jc w:val="right"/>
              <w:spacing w:after="0"/>
              <w:rPr>
                <w:sz w:val="20"/>
                <w:szCs w:val="20"/>
                <w:color w:val="auto"/>
              </w:rPr>
            </w:pPr>
            <w:r>
              <w:rPr>
                <w:rFonts w:ascii="Arial" w:cs="Arial" w:eastAsia="Arial" w:hAnsi="Arial"/>
                <w:sz w:val="16"/>
                <w:szCs w:val="16"/>
                <w:color w:val="auto"/>
              </w:rPr>
              <w:t>9.90 %</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9.90 %</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080" w:type="dxa"/>
            <w:vAlign w:val="bottom"/>
            <w:tcBorders>
              <w:top w:val="single" w:sz="8" w:color="auto"/>
            </w:tcBorders>
          </w:tcPr>
          <w:p>
            <w:pPr>
              <w:ind w:left="40"/>
              <w:spacing w:after="0" w:line="162" w:lineRule="exact"/>
              <w:rPr>
                <w:sz w:val="20"/>
                <w:szCs w:val="20"/>
                <w:color w:val="auto"/>
              </w:rPr>
            </w:pPr>
            <w:r>
              <w:rPr>
                <w:rFonts w:ascii="Arial" w:cs="Arial" w:eastAsia="Arial" w:hAnsi="Arial"/>
                <w:sz w:val="15"/>
                <w:szCs w:val="15"/>
                <w:b w:val="1"/>
                <w:bCs w:val="1"/>
                <w:color w:val="auto"/>
              </w:rPr>
              <w:t>Line Item in the Company’s Consolidated</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vMerge w:val="restart"/>
          </w:tcPr>
          <w:p>
            <w:pPr>
              <w:jc w:val="right"/>
              <w:ind w:right="400"/>
              <w:spacing w:after="0"/>
              <w:rPr>
                <w:sz w:val="20"/>
                <w:szCs w:val="20"/>
                <w:color w:val="auto"/>
              </w:rPr>
            </w:pPr>
            <w:r>
              <w:rPr>
                <w:rFonts w:ascii="Arial" w:cs="Arial" w:eastAsia="Arial" w:hAnsi="Arial"/>
                <w:sz w:val="15"/>
                <w:szCs w:val="15"/>
                <w:b w:val="1"/>
                <w:bCs w:val="1"/>
                <w:color w:val="auto"/>
              </w:rPr>
              <w:t>March 31, 2026</w:t>
            </w:r>
          </w:p>
        </w:tc>
        <w:tc>
          <w:tcPr>
            <w:tcW w:w="80" w:type="dxa"/>
            <w:vAlign w:val="bottom"/>
            <w:vMerge w:val="restart"/>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180" w:type="dxa"/>
            <w:vAlign w:val="bottom"/>
            <w:gridSpan w:val="2"/>
          </w:tcPr>
          <w:p>
            <w:pPr>
              <w:ind w:left="1020"/>
              <w:spacing w:after="0"/>
              <w:rPr>
                <w:sz w:val="20"/>
                <w:szCs w:val="20"/>
                <w:color w:val="auto"/>
              </w:rPr>
            </w:pPr>
            <w:r>
              <w:rPr>
                <w:rFonts w:ascii="Arial" w:cs="Arial" w:eastAsia="Arial" w:hAnsi="Arial"/>
                <w:sz w:val="15"/>
                <w:szCs w:val="15"/>
                <w:b w:val="1"/>
                <w:bCs w:val="1"/>
                <w:color w:val="auto"/>
              </w:rPr>
              <w:t>Balance Sheet</w:t>
            </w:r>
          </w:p>
        </w:tc>
        <w:tc>
          <w:tcPr>
            <w:tcW w:w="3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30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7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Assets: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149,400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146,755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153,636</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3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Operating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35,984</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37,854</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126,084</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Finance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6,820</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172,994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170,805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128905</wp:posOffset>
            </wp:positionV>
            <wp:extent cx="28632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p>
      <w:pPr>
        <w:spacing w:after="0" w:line="203" w:lineRule="exact"/>
        <w:rPr>
          <w:sz w:val="20"/>
          <w:szCs w:val="20"/>
          <w:color w:val="auto"/>
        </w:rPr>
      </w:pPr>
    </w:p>
    <w:p>
      <w:pPr>
        <w:jc w:val="center"/>
        <w:ind w:left="6660"/>
        <w:spacing w:after="0"/>
        <w:rPr>
          <w:sz w:val="20"/>
          <w:szCs w:val="20"/>
          <w:color w:val="auto"/>
        </w:rPr>
      </w:pPr>
      <w:r>
        <w:rPr>
          <w:rFonts w:ascii="Arial" w:cs="Arial" w:eastAsia="Arial" w:hAnsi="Arial"/>
          <w:sz w:val="15"/>
          <w:szCs w:val="15"/>
          <w:b w:val="1"/>
          <w:bCs w:val="1"/>
          <w:color w:val="auto"/>
        </w:rPr>
        <w:t>Three months ended March</w:t>
      </w:r>
    </w:p>
    <w:p>
      <w:pPr>
        <w:jc w:val="center"/>
        <w:ind w:left="6660"/>
        <w:spacing w:after="0"/>
        <w:rPr>
          <w:sz w:val="20"/>
          <w:szCs w:val="20"/>
          <w:color w:val="auto"/>
        </w:rPr>
      </w:pPr>
      <w:r>
        <w:rPr>
          <w:rFonts w:ascii="Arial" w:cs="Arial" w:eastAsia="Arial" w:hAnsi="Arial"/>
          <w:sz w:val="15"/>
          <w:szCs w:val="15"/>
          <w:b w:val="1"/>
          <w:bCs w:val="1"/>
          <w:color w:val="auto"/>
        </w:rPr>
        <w:t>31, 2026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Three months ended March</w:t>
      </w:r>
    </w:p>
    <w:p>
      <w:pPr>
        <w:jc w:val="center"/>
        <w:ind w:right="260"/>
        <w:spacing w:after="0"/>
        <w:rPr>
          <w:sz w:val="20"/>
          <w:szCs w:val="20"/>
          <w:color w:val="auto"/>
        </w:rPr>
      </w:pPr>
      <w:r>
        <w:rPr>
          <w:rFonts w:ascii="Arial" w:cs="Arial" w:eastAsia="Arial" w:hAnsi="Arial"/>
          <w:sz w:val="15"/>
          <w:szCs w:val="15"/>
          <w:b w:val="1"/>
          <w:bCs w:val="1"/>
          <w:color w:val="auto"/>
        </w:rPr>
        <w:t>31, 2025</w:t>
      </w:r>
    </w:p>
    <w:p>
      <w:pPr>
        <w:spacing w:after="0" w:line="22" w:lineRule="exact"/>
        <w:rPr>
          <w:sz w:val="20"/>
          <w:szCs w:val="20"/>
          <w:color w:val="auto"/>
        </w:rPr>
      </w:pPr>
    </w:p>
    <w:p>
      <w:pPr>
        <w:sectPr>
          <w:pgSz w:w="11900" w:h="16838" w:orient="portrait"/>
          <w:cols w:equalWidth="0" w:num="2">
            <w:col w:w="8660" w:space="320"/>
            <w:col w:w="2260"/>
          </w:cols>
          <w:pgMar w:left="320" w:top="1106" w:right="339" w:bottom="1440" w:gutter="0" w:footer="0" w:header="0"/>
          <w:type w:val="continuous"/>
        </w:sectPr>
      </w:pPr>
    </w:p>
    <w:tbl>
      <w:tblPr>
        <w:tblLayout w:type="fixed"/>
        <w:tblInd w:w="160" w:type="dxa"/>
        <w:tblCellMar>
          <w:top w:w="0" w:type="dxa"/>
          <w:left w:w="0" w:type="dxa"/>
          <w:bottom w:w="0" w:type="dxa"/>
          <w:right w:w="0" w:type="dxa"/>
        </w:tblCellMar>
      </w:tblPr>
      <w:tr>
        <w:trPr>
          <w:trHeight w:val="208"/>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8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Operating cash flows from operating leases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12,622</w:t>
            </w:r>
          </w:p>
        </w:tc>
        <w:tc>
          <w:tcPr>
            <w:tcW w:w="14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13,514</w:t>
            </w:r>
          </w:p>
        </w:tc>
      </w:tr>
      <w:tr>
        <w:trPr>
          <w:trHeight w:val="217"/>
        </w:trPr>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cash flows from finance leases</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Financing cash flows from finance leases</w:t>
            </w:r>
          </w:p>
        </w:tc>
        <w:tc>
          <w:tcPr>
            <w:tcW w:w="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Operating leases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12,741</w:t>
            </w:r>
          </w:p>
        </w:tc>
        <w:tc>
          <w:tcPr>
            <w:tcW w:w="14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2,310</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Sale Leaseback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23, 2026, Altor completed a sale leaseback transaction for its manufacturing facilities in Bloomsburg, Pennsylvania; New Albany, Indiana; and El Dorado Springs, Missouri (the “Properties”). Under the purchase and sale agreement, Altor sold the land, buildings and certain integrated fixtures to the buyer/lessor for total consideration of $11.75 million and recognized a gain on the transaction of $10.4 million in other income (expense) from continuing operations. Concurrently with the execution of the purchase and sale agreement, Altor entered into a 20 year triple-net master lease to lease back all three Properties.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Accounting for the transaction is governed by ASC 842, </w:t>
      </w:r>
      <w:r>
        <w:rPr>
          <w:rFonts w:ascii="Arial" w:cs="Arial" w:eastAsia="Arial" w:hAnsi="Arial"/>
          <w:sz w:val="18"/>
          <w:szCs w:val="18"/>
          <w:i w:val="1"/>
          <w:iCs w:val="1"/>
          <w:color w:val="auto"/>
        </w:rPr>
        <w:t>Leases</w:t>
      </w:r>
      <w:r>
        <w:rPr>
          <w:rFonts w:ascii="Arial" w:cs="Arial" w:eastAsia="Arial" w:hAnsi="Arial"/>
          <w:sz w:val="18"/>
          <w:szCs w:val="18"/>
          <w:color w:val="auto"/>
        </w:rPr>
        <w:t>. Under ASC 842, a sale leaseback is accounted for as a sale and a lease only if the transfer of the Properties qualifies as a sale in accordance with ASC 606, including that control of the Properties transferred to the buyer/lessor and the leaseback does not include (among other things) a repurchase option or other provisions that would prevent the transfer from being accounted for as a sale. When a sale is achieved, the seller-lessee derecognizes the carrying amount of the Properties, recognizes any resulting gain or loss, and recognizes a right-of-use asset and lease liability for the leaseback measured in accordance with ASC 842. Altor determined that the sale leaseback transaction qualified as a sale under ASC 606 and accordingly recognized a gain and recognized a right-of-use asset and lease liability for the leaseback.</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leaseback, Altor will recognize lease expense generally on a straight-line basis over the lease term, and the related lease payments will be presented within operating cash flows. Because the lease is a triple-net lease, Altor is generally responsible for certain costs associated with the Properties, such as real estate taxes, insurance and maintenance; amounts paid for these items are generally excluded from the measurement of the lease liability when they represent non-lease components or variable payments, and are recognized in expense as incurred.</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Exit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Altor</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Subsequent to the acquisition of Lifoam in October 2024, Altor determined that they would shut down four of their facilities that had geographic overlap with Lifoam facilities. During the three months ended March 31, 2025, Altor recorded approximately $ 0.6 million in exit costs related to the plant closures in selling general and administrative expense. The plant closures were finalized in the fourth quarter of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Arnold</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2024, Arnold relocated two of its facilities located in Marengo, Illinois into one combined facility in Woodstock, Illinois. Arnold recorded $0.9 million in costs in selling, general and administrative expense in the three months ended March 31, 2025 related to the relocation of the two facilities. The exit from the Marengo facility was completed during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Related 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LLC entered into a MSA with CGM effective May 16, 2006, as amended. Our Chief Executive Officer is a the managing member of CGM. The MSA, provides for, among other things, CGM to perform services for the LLC in exchange for a management fee paid quarterly. The management fee is required to be paid prior to the payment of any distributions to shareholders.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Management Services Agreement</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23, 2026, the LLC and CGM entered into an Eighth Amended and Restated Management Services Agreement (the “MSA Amendment”), which amends and restates the parties’ MSA. The MSA Amendment, among other things, (i) establishes a repayment protocol for previously overpaid management fees, including permitting the Company, subject to interest, to fund all or a portion of otherwise payable quarterly fees while an overpayment balance remains outstanding, (ii) provides for a dollar-for-dollar reduction of fees payable under the MSA for certain services outsourced by the Company to third-party service providers and excludes such services from the scope of services to be provided by CGM, (iii) clarifies requirements and restrictions applicable to personnel seconded by CGM to the Company, and (iv) updates certain operational, governance, authority and indemnification provisions.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Restatement on Management Fees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did not, prior to the MSA Amendment, contain an express mechanism that permitted the Company to immediately clawback the overpayment of management fees during the aforementioned periods, the MSA provided that future payments under the MSA would be reduced, on a dollar-for-dollar basis, by the aggregate amount of all overpaid management fees. The Company calculated the total aggregate amount of excess management fees paid as a result of the restatement of the financial statements as $50.4 million. In 2025, restrictions in the Company’s forbearance and amendment arrangements under the 2022 Credit Facility limited the Company’s ability to pay management fees, resulting in management fee expense being incurred but not fully paid. As a result, the Company determined that the amount of management fees that had been overpaid at December 31, 2025 was $33.8 million, which was recorded as an asset (“Due from CGM”) and reduced management fee expense for the year ended December 31, 2025. For the three months ended March 31, 2026, the Company recorded management fee expense of $15.9 million. During the quarter, the Company applied the MSA’s repayment and netting provisions and, beginning February 23, 2026, the repayment protocol and elective interim funding mechanics under the MSA Amendment (including the Company’s ability, subject to interest, to pay all or a portion of the quarterly management fee otherwise payable while an overpayment balance remains outstanding). As of March 31, 2026, the Due from CGM balance of $11.5 million reflects amounts due from CGM, net of management fees accrued and amounts paid (or funded) in accordance with the MSA Amendment, and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3" w:name="page34"/>
    <w:bookmarkEnd w:id="33"/>
    <w:p>
      <w:pPr>
        <w:ind w:right="1540"/>
        <w:spacing w:after="0" w:line="406" w:lineRule="auto"/>
        <w:rPr>
          <w:sz w:val="20"/>
          <w:szCs w:val="20"/>
          <w:color w:val="auto"/>
        </w:rPr>
      </w:pPr>
      <w:r>
        <w:rPr>
          <w:rFonts w:ascii="Arial" w:cs="Arial" w:eastAsia="Arial" w:hAnsi="Arial"/>
          <w:sz w:val="18"/>
          <w:szCs w:val="18"/>
          <w:color w:val="auto"/>
        </w:rPr>
        <w:t xml:space="preserve">Company expects to continue to reduce future management fee payments until the overpayment has been fully recouped. </w:t>
      </w:r>
      <w:r>
        <w:rPr>
          <w:rFonts w:ascii="Arial" w:cs="Arial" w:eastAsia="Arial" w:hAnsi="Arial"/>
          <w:sz w:val="18"/>
          <w:szCs w:val="18"/>
          <w:i w:val="1"/>
          <w:iCs w:val="1"/>
          <w:u w:val="single" w:color="auto"/>
          <w:color w:val="auto"/>
        </w:rPr>
        <w:t>LLC Agreement</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LLC agreement gives the Holder the right to distributions pursuant to a profit allocation formula upon the occurrence of a Sale Event or a Holding Event. The Holder is entitled to receive and as such can elect to receive, if due pursuant to the profit allocation formula, an allocation payment upon a Sale Event and upon election of the Holders upon a Holding Event. The Lugano Bankruptcy was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 integration service fees were incurred during the three months ended March 31, 2026. During the three months ended March 31, 2025, The Honey Pot Co., paid CGM $0.9 million in integration service fees under an integration services agreement that has since been fully paid. An amendment to the Management Services Agreement entered into in January 2025 eliminated integration service fees for future acquisitions.</w:t>
      </w:r>
    </w:p>
    <w:p>
      <w:pPr>
        <w:spacing w:after="0" w:line="178" w:lineRule="exact"/>
        <w:rPr>
          <w:sz w:val="20"/>
          <w:szCs w:val="20"/>
          <w:color w:val="auto"/>
        </w:rPr>
      </w:pPr>
    </w:p>
    <w:p>
      <w:pPr>
        <w:ind w:right="3560"/>
        <w:spacing w:after="0" w:line="374" w:lineRule="auto"/>
        <w:rPr>
          <w:sz w:val="20"/>
          <w:szCs w:val="20"/>
          <w:color w:val="auto"/>
        </w:rPr>
      </w:pPr>
      <w:r>
        <w:rPr>
          <w:rFonts w:ascii="Arial" w:cs="Arial" w:eastAsia="Arial" w:hAnsi="Arial"/>
          <w:sz w:val="18"/>
          <w:szCs w:val="18"/>
          <w:b w:val="1"/>
          <w:bCs w:val="1"/>
          <w:i w:val="1"/>
          <w:iCs w:val="1"/>
          <w:color w:val="auto"/>
        </w:rPr>
        <w:t xml:space="preserve">The Company and its businesses have the following significant related party transactions </w:t>
      </w:r>
      <w:r>
        <w:rPr>
          <w:rFonts w:ascii="Arial" w:cs="Arial" w:eastAsia="Arial" w:hAnsi="Arial"/>
          <w:sz w:val="18"/>
          <w:szCs w:val="18"/>
          <w:i w:val="1"/>
          <w:iCs w:val="1"/>
          <w:u w:val="single" w:color="auto"/>
          <w:color w:val="auto"/>
        </w:rPr>
        <w:t>5.11</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5.11 purchased approximately $0.1 million and $0.2 million during the three months ended March 31, 2026 and March 31, 2025, respectively in inventory from the vendor.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purchased approximately $11.1 million and $12.0 million from this supplier during the three months ended March 31, 2026 and March 31, 2025,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Lugano</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Related Party Transaction - </w:t>
      </w:r>
      <w:r>
        <w:rPr>
          <w:rFonts w:ascii="Arial" w:cs="Arial" w:eastAsia="Arial" w:hAnsi="Arial"/>
          <w:sz w:val="18"/>
          <w:szCs w:val="18"/>
          <w:color w:val="auto"/>
        </w:rPr>
        <w:t>In the first quarter of 2025, the former Chief Executive Officer of Lugano represented that he had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Related Party Vendor Purchases -</w:t>
      </w:r>
      <w:r>
        <w:rPr>
          <w:rFonts w:ascii="Arial" w:cs="Arial" w:eastAsia="Arial" w:hAnsi="Arial"/>
          <w:sz w:val="18"/>
          <w:szCs w:val="18"/>
          <w:color w:val="auto"/>
        </w:rPr>
        <w:t>Lugano purchases inventory from a vendor who is a related party to Lugano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Lugano. The related party relationship commenced in the second quarter of 2024 and ended in the fourth quarter of 2025. Lugano had approximately $1.9 million in net purchases during the three months ended March 31, 2025 in inventory from the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Operating Segment Data</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2026, the Company had eight reportable operating segments. Each operating segment represents a platform acquisition. The Company’s operating segments are strategic business units that offer different products and services. While each is actively managed by the Company, they are managed separately because each business requires different technology and marketing strategies. A description of each of the reportable segments and the types of products from which each segment derives its revenues is as follows:</w:t>
      </w:r>
    </w:p>
    <w:p>
      <w:pPr>
        <w:spacing w:after="0" w:line="122" w:lineRule="exact"/>
        <w:rPr>
          <w:sz w:val="20"/>
          <w:szCs w:val="20"/>
          <w:color w:val="auto"/>
        </w:rPr>
      </w:pPr>
    </w:p>
    <w:p>
      <w:pPr>
        <w:jc w:val="both"/>
        <w:ind w:left="420" w:hanging="331"/>
        <w:spacing w:after="0" w:line="262" w:lineRule="auto"/>
        <w:tabs>
          <w:tab w:leader="none" w:pos="41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global apparel, footwear, and gear company serving consumers who demand performance, durability, and versatility across work, training, and adventure. 5.11 is a brand known for innovation and authenticity and works directly with end users to create purpose-built apparel, footwear and gear designed to enhance the safety, accuracy, speed and performance of tactical professionals and enthusiasts worldwide. 5.11 operates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ind w:left="340" w:right="20"/>
        <w:spacing w:after="0" w:line="287" w:lineRule="auto"/>
        <w:rPr>
          <w:sz w:val="20"/>
          <w:szCs w:val="20"/>
          <w:color w:val="auto"/>
        </w:rPr>
      </w:pPr>
      <w:r>
        <w:rPr>
          <w:rFonts w:ascii="Arial" w:cs="Arial" w:eastAsia="Arial" w:hAnsi="Arial"/>
          <w:sz w:val="18"/>
          <w:szCs w:val="18"/>
          <w:color w:val="auto"/>
        </w:rPr>
        <w:t>sales offices and distribution centers globally, and 5.11 products are widely distributed in uniform stores, military exchanges, outdoor retail stores, its own retail stores and on 511tactical.com.</w:t>
      </w:r>
    </w:p>
    <w:p>
      <w:pPr>
        <w:spacing w:after="0" w:line="99" w:lineRule="exact"/>
        <w:rPr>
          <w:sz w:val="20"/>
          <w:szCs w:val="20"/>
          <w:color w:val="auto"/>
        </w:rPr>
      </w:pPr>
    </w:p>
    <w:p>
      <w:pPr>
        <w:jc w:val="both"/>
        <w:ind w:left="340" w:hanging="331"/>
        <w:spacing w:after="0" w:line="256"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w:t>
      </w:r>
    </w:p>
    <w:p>
      <w:pPr>
        <w:spacing w:after="0" w:line="128" w:lineRule="exact"/>
        <w:rPr>
          <w:rFonts w:ascii="Arial" w:cs="Arial" w:eastAsia="Arial" w:hAnsi="Arial"/>
          <w:sz w:val="18"/>
          <w:szCs w:val="18"/>
          <w:color w:val="auto"/>
        </w:rPr>
      </w:pPr>
    </w:p>
    <w:p>
      <w:pPr>
        <w:jc w:val="both"/>
        <w:ind w:left="340" w:hanging="331"/>
        <w:spacing w:after="0" w:line="259"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PrimaLoft</w:t>
      </w:r>
      <w:r>
        <w:rPr>
          <w:rFonts w:ascii="Arial" w:cs="Arial" w:eastAsia="Arial" w:hAnsi="Arial"/>
          <w:sz w:val="18"/>
          <w:szCs w:val="18"/>
          <w:color w:val="auto"/>
        </w:rPr>
        <w:t xml:space="preserve">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spacing w:after="0" w:line="125" w:lineRule="exact"/>
        <w:rPr>
          <w:rFonts w:ascii="Arial" w:cs="Arial" w:eastAsia="Arial" w:hAnsi="Arial"/>
          <w:sz w:val="18"/>
          <w:szCs w:val="18"/>
          <w:color w:val="auto"/>
        </w:rPr>
      </w:pPr>
    </w:p>
    <w:p>
      <w:pPr>
        <w:jc w:val="both"/>
        <w:ind w:left="340" w:hanging="331"/>
        <w:spacing w:after="0" w:line="256" w:lineRule="auto"/>
        <w:tabs>
          <w:tab w:leader="none" w:pos="335"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The Honey Pot Co.</w:t>
      </w:r>
      <w:r>
        <w:rPr>
          <w:rFonts w:ascii="Arial" w:cs="Arial" w:eastAsia="Arial" w:hAnsi="Arial"/>
          <w:sz w:val="18"/>
          <w:szCs w:val="18"/>
          <w:color w:val="auto"/>
        </w:rPr>
        <w:t xml:space="preserve"> 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spacing w:after="0" w:line="127" w:lineRule="exact"/>
        <w:rPr>
          <w:rFonts w:ascii="Times New Roman" w:cs="Times New Roman" w:eastAsia="Times New Roman" w:hAnsi="Times New Roman"/>
          <w:sz w:val="18"/>
          <w:szCs w:val="18"/>
          <w:color w:val="auto"/>
        </w:rPr>
      </w:pPr>
    </w:p>
    <w:p>
      <w:pPr>
        <w:jc w:val="both"/>
        <w:ind w:left="340" w:hanging="331"/>
        <w:spacing w:after="0" w:line="25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 Rochester, New York. On April 30, 2024, Velocity Outdoor sold the Crosman airgun product division. The results of operation for Crosman are included in the accompanying financial statements through the date of sale.</w:t>
      </w:r>
    </w:p>
    <w:p>
      <w:pPr>
        <w:spacing w:after="0" w:line="128" w:lineRule="exact"/>
        <w:rPr>
          <w:rFonts w:ascii="Arial" w:cs="Arial" w:eastAsia="Arial" w:hAnsi="Arial"/>
          <w:sz w:val="18"/>
          <w:szCs w:val="18"/>
          <w:color w:val="auto"/>
        </w:rPr>
      </w:pPr>
    </w:p>
    <w:p>
      <w:pPr>
        <w:jc w:val="both"/>
        <w:ind w:left="340" w:hanging="331"/>
        <w:spacing w:after="0" w:line="262"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operates 19 molding and fabricating facilities across North America.</w:t>
      </w:r>
    </w:p>
    <w:p>
      <w:pPr>
        <w:spacing w:after="0" w:line="122" w:lineRule="exact"/>
        <w:rPr>
          <w:rFonts w:ascii="Arial" w:cs="Arial" w:eastAsia="Arial" w:hAnsi="Arial"/>
          <w:sz w:val="18"/>
          <w:szCs w:val="18"/>
          <w:color w:val="auto"/>
        </w:rPr>
      </w:pPr>
    </w:p>
    <w:p>
      <w:pPr>
        <w:jc w:val="both"/>
        <w:ind w:left="340" w:hanging="331"/>
        <w:spacing w:after="0" w:line="255"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solutions provider and manufacturer of engineered solutions for a wide range of specialty applications and end-markets, including aerospace and defense, general industrial, motorsport/transportation, oil and gas, medical, energy, semiconductor and advertising specialties.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headquartered in Rochester, New York.</w:t>
      </w:r>
    </w:p>
    <w:p>
      <w:pPr>
        <w:spacing w:after="0" w:line="130" w:lineRule="exact"/>
        <w:rPr>
          <w:rFonts w:ascii="Arial" w:cs="Arial" w:eastAsia="Arial" w:hAnsi="Arial"/>
          <w:sz w:val="18"/>
          <w:szCs w:val="18"/>
          <w:color w:val="auto"/>
        </w:rPr>
      </w:pPr>
    </w:p>
    <w:p>
      <w:pPr>
        <w:jc w:val="both"/>
        <w:ind w:left="340" w:hanging="331"/>
        <w:spacing w:after="0" w:line="262" w:lineRule="auto"/>
        <w:tabs>
          <w:tab w:leader="none" w:pos="33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w:t>
      </w: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102235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52" w:right="33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color w:val="auto"/>
        </w:rPr>
        <w:t>oils used for home decor and fragrance systems through Rimports. Sterno is headquartered in Texarkana, Texas.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function of chief operating decision-maker (“CODM”) is performed collectively by the Company's Chief Executive Officer, the Chief Operating Officer of CGM and the partners of CGM. The CODM evaluates financial results by segment, utilizing segment operating income to assess performance and allocate resources. The allocation of resources to operating segments may include, but is not limited to, debt financing through the Company's intercompany credit agreements with its operating segments to fund working capital needs, purchases of capital equipment and add-on acquisitions. The primary resource allocation process occurs predominantly in the annual budget and forecasting process. The CODM then reviews and considers budget-to-actual variances on a monthly basis for segment operating income in order to determine whether to make any adjustments to capital allocations.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6" w:name="page37"/>
    <w:bookmarkEnd w:id="36"/>
    <w:p>
      <w:pPr>
        <w:jc w:val="both"/>
        <w:spacing w:after="0" w:line="238"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operations of each of the operating segments are included in consolidated operating results as of their date of acquisition. Lugano was an operating segment of the Company until November 16, 2025 when Lugano filed for bankruptcy and was deconsolidated. The results of operation of Lugano are included in the Summary of Operating Segments table and the Depreciation and Amortization table for the three months ended March 31, 2025. Segment profit is determined based on internal performance measures used by the CODM to assess the performance of each business. The significant expense categories and amounts align with the segment-level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information that is regularly provided to the CODM. In comparison to the Consolidated Statement of Operations, selling, general and administrative expense is exclusive of stock-based compensation and acquisition costs, which are categorized to Other. Corporate consists</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of corporate overhead and management fees to CGM that are not allocated to the Company's reportable segments. There were no significant inter-segment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0205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137"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auto"/>
        </w:rPr>
        <w:t>Three Months Ended March 31, 2026</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b w:val="1"/>
                <w:bCs w:val="1"/>
                <w:color w:val="auto"/>
              </w:rPr>
              <w:t>5.11</w:t>
            </w:r>
          </w:p>
        </w:tc>
        <w:tc>
          <w:tcPr>
            <w:tcW w:w="92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BOA</w:t>
            </w:r>
          </w:p>
        </w:tc>
        <w:tc>
          <w:tcPr>
            <w:tcW w:w="10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5"/>
                <w:szCs w:val="15"/>
                <w:b w:val="1"/>
                <w:bCs w:val="1"/>
                <w:color w:val="auto"/>
              </w:rPr>
              <w:t>PrimaLoft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THP</w:t>
            </w:r>
          </w:p>
        </w:tc>
        <w:tc>
          <w:tcPr>
            <w:tcW w:w="9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5"/>
                <w:szCs w:val="15"/>
                <w:b w:val="1"/>
                <w:bCs w:val="1"/>
                <w:color w:val="auto"/>
              </w:rPr>
              <w:t>Velocity</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Altor</w:t>
            </w:r>
          </w:p>
        </w:tc>
        <w:tc>
          <w:tcPr>
            <w:tcW w:w="9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5"/>
                <w:szCs w:val="15"/>
                <w:b w:val="1"/>
                <w:bCs w:val="1"/>
                <w:color w:val="auto"/>
              </w:rPr>
              <w:t>Arnold</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Sterno</w:t>
            </w:r>
          </w:p>
        </w:tc>
        <w:tc>
          <w:tcPr>
            <w:tcW w:w="86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Outdoor</w:t>
            </w: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123,972</w:t>
            </w:r>
          </w:p>
        </w:tc>
        <w:tc>
          <w:tcPr>
            <w:tcW w:w="9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  52,107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21,916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45,159</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13,826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64,642</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40,183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65,050</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426,855</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56,388</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17,979</w:t>
            </w:r>
          </w:p>
        </w:tc>
        <w:tc>
          <w:tcPr>
            <w:tcW w:w="900" w:type="dxa"/>
            <w:vAlign w:val="bottom"/>
          </w:tcPr>
          <w:p>
            <w:pPr>
              <w:jc w:val="right"/>
              <w:spacing w:after="0"/>
              <w:rPr>
                <w:sz w:val="20"/>
                <w:szCs w:val="20"/>
                <w:color w:val="auto"/>
              </w:rPr>
            </w:pPr>
            <w:r>
              <w:rPr>
                <w:rFonts w:ascii="Arial" w:cs="Arial" w:eastAsia="Arial" w:hAnsi="Arial"/>
                <w:sz w:val="15"/>
                <w:szCs w:val="15"/>
                <w:color w:val="auto"/>
              </w:rPr>
              <w:t>7,833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18,332</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9,250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51,501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29,610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46,604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237,497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93" w:right="339" w:bottom="1440" w:gutter="0" w:footer="0" w:header="0"/>
        </w:sectPr>
      </w:pPr>
    </w:p>
    <w:p>
      <w:pPr>
        <w:ind w:left="20" w:right="46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b w:val="1"/>
          <w:bCs w:val="1"/>
          <w:color w:val="auto"/>
          <w:vertAlign w:val="superscript"/>
        </w:rPr>
        <w:t>(1)</w:t>
      </w:r>
    </w:p>
    <w:p>
      <w:pPr>
        <w:ind w:left="360" w:right="30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Corporate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Total consolidated operating loss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Amortization of debt issuance costs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income, net</w:t>
      </w:r>
    </w:p>
    <w:p>
      <w:pPr>
        <w:spacing w:after="0" w:line="30" w:lineRule="exact"/>
        <w:rPr>
          <w:sz w:val="20"/>
          <w:szCs w:val="20"/>
          <w:color w:val="auto"/>
        </w:rPr>
      </w:pPr>
    </w:p>
    <w:p>
      <w:pPr>
        <w:ind w:left="360"/>
        <w:spacing w:after="0" w:line="225" w:lineRule="auto"/>
        <w:rPr>
          <w:sz w:val="20"/>
          <w:szCs w:val="20"/>
          <w:color w:val="auto"/>
        </w:rPr>
      </w:pPr>
      <w:r>
        <w:rPr>
          <w:rFonts w:ascii="Arial" w:cs="Arial" w:eastAsia="Arial" w:hAnsi="Arial"/>
          <w:sz w:val="15"/>
          <w:szCs w:val="15"/>
          <w:color w:val="auto"/>
        </w:rPr>
        <w:t>Total consolidated loss from continuing operations before income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40" w:type="dxa"/>
            <w:vAlign w:val="bottom"/>
          </w:tcPr>
          <w:p>
            <w:pPr>
              <w:jc w:val="right"/>
              <w:ind w:right="4"/>
              <w:spacing w:after="0"/>
              <w:rPr>
                <w:sz w:val="20"/>
                <w:szCs w:val="20"/>
                <w:color w:val="auto"/>
              </w:rPr>
            </w:pPr>
            <w:r>
              <w:rPr>
                <w:rFonts w:ascii="Arial" w:cs="Arial" w:eastAsia="Arial" w:hAnsi="Arial"/>
                <w:sz w:val="15"/>
                <w:szCs w:val="15"/>
                <w:color w:val="auto"/>
              </w:rPr>
              <w:t>56,853</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12,765</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5,409</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12,714</w:t>
            </w:r>
          </w:p>
        </w:tc>
        <w:tc>
          <w:tcPr>
            <w:tcW w:w="80" w:type="dxa"/>
            <w:vAlign w:val="bottom"/>
          </w:tcPr>
          <w:p>
            <w:pPr>
              <w:spacing w:after="0"/>
              <w:rPr>
                <w:sz w:val="17"/>
                <w:szCs w:val="17"/>
                <w:color w:val="auto"/>
              </w:rPr>
            </w:pPr>
          </w:p>
        </w:tc>
        <w:tc>
          <w:tcPr>
            <w:tcW w:w="840" w:type="dxa"/>
            <w:vAlign w:val="bottom"/>
          </w:tcPr>
          <w:p>
            <w:pPr>
              <w:jc w:val="center"/>
              <w:ind w:left="264"/>
              <w:spacing w:after="0"/>
              <w:rPr>
                <w:sz w:val="20"/>
                <w:szCs w:val="20"/>
                <w:color w:val="auto"/>
              </w:rPr>
            </w:pPr>
            <w:r>
              <w:rPr>
                <w:rFonts w:ascii="Arial" w:cs="Arial" w:eastAsia="Arial" w:hAnsi="Arial"/>
                <w:sz w:val="15"/>
                <w:szCs w:val="15"/>
                <w:color w:val="auto"/>
              </w:rPr>
              <w:t>4,383</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8,309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7,483</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8,554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116,470</w:t>
            </w:r>
          </w:p>
        </w:tc>
      </w:tr>
      <w:tr>
        <w:trPr>
          <w:trHeight w:val="205"/>
        </w:trPr>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3,021</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5,234</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26,271</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4,545</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center"/>
              <w:ind w:left="264"/>
              <w:spacing w:after="0"/>
              <w:rPr>
                <w:sz w:val="20"/>
                <w:szCs w:val="20"/>
                <w:color w:val="auto"/>
              </w:rPr>
            </w:pPr>
            <w:r>
              <w:rPr>
                <w:rFonts w:ascii="Arial" w:cs="Arial" w:eastAsia="Arial" w:hAnsi="Arial"/>
                <w:sz w:val="15"/>
                <w:szCs w:val="15"/>
                <w:color w:val="auto"/>
              </w:rPr>
              <w:t>1,315</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3,650</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759</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47,464</w:t>
            </w:r>
          </w:p>
        </w:tc>
      </w:tr>
      <w:tr>
        <w:trPr>
          <w:trHeight w:val="342"/>
        </w:trPr>
        <w:tc>
          <w:tcPr>
            <w:tcW w:w="840" w:type="dxa"/>
            <w:vAlign w:val="bottom"/>
          </w:tcPr>
          <w:p>
            <w:pPr>
              <w:jc w:val="right"/>
              <w:ind w:right="4"/>
              <w:spacing w:after="0"/>
              <w:rPr>
                <w:sz w:val="20"/>
                <w:szCs w:val="20"/>
                <w:color w:val="auto"/>
              </w:rPr>
            </w:pPr>
            <w:r>
              <w:rPr>
                <w:rFonts w:ascii="Arial" w:cs="Arial" w:eastAsia="Arial" w:hAnsi="Arial"/>
                <w:sz w:val="15"/>
                <w:szCs w:val="15"/>
                <w:color w:val="auto"/>
              </w:rPr>
              <w:t>7,710</w:t>
            </w:r>
          </w:p>
        </w:tc>
        <w:tc>
          <w:tcPr>
            <w:tcW w:w="8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16,129</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(17,597)</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9,568</w:t>
            </w:r>
          </w:p>
        </w:tc>
        <w:tc>
          <w:tcPr>
            <w:tcW w:w="80" w:type="dxa"/>
            <w:vAlign w:val="bottom"/>
          </w:tcPr>
          <w:p>
            <w:pPr>
              <w:spacing w:after="0"/>
              <w:rPr>
                <w:sz w:val="24"/>
                <w:szCs w:val="24"/>
                <w:color w:val="auto"/>
              </w:rPr>
            </w:pPr>
          </w:p>
        </w:tc>
        <w:tc>
          <w:tcPr>
            <w:tcW w:w="840" w:type="dxa"/>
            <w:vAlign w:val="bottom"/>
          </w:tcPr>
          <w:p>
            <w:pPr>
              <w:jc w:val="center"/>
              <w:ind w:left="244"/>
              <w:spacing w:after="0"/>
              <w:rPr>
                <w:sz w:val="20"/>
                <w:szCs w:val="20"/>
                <w:color w:val="auto"/>
              </w:rPr>
            </w:pPr>
            <w:r>
              <w:rPr>
                <w:rFonts w:ascii="Arial" w:cs="Arial" w:eastAsia="Arial" w:hAnsi="Arial"/>
                <w:sz w:val="15"/>
                <w:szCs w:val="15"/>
                <w:color w:val="auto"/>
              </w:rPr>
              <w:t>(1,122)</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1,182</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2,331</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7,223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25,424</w:t>
            </w:r>
          </w:p>
        </w:tc>
      </w:tr>
      <w:tr>
        <w:trPr>
          <w:trHeight w:val="205"/>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(27,354)</w:t>
            </w:r>
          </w:p>
        </w:tc>
      </w:tr>
      <w:tr>
        <w:trPr>
          <w:trHeight w:val="198"/>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(1,930)</w:t>
            </w:r>
          </w:p>
        </w:tc>
      </w:tr>
      <w:tr>
        <w:trPr>
          <w:trHeight w:val="193"/>
        </w:trPr>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(27,495)</w:t>
            </w:r>
          </w:p>
        </w:tc>
      </w:tr>
      <w:tr>
        <w:trPr>
          <w:trHeight w:val="200"/>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(2,047)</w:t>
            </w:r>
          </w:p>
        </w:tc>
      </w:tr>
      <w:tr>
        <w:trPr>
          <w:trHeight w:val="205"/>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7,705</w:t>
            </w:r>
          </w:p>
        </w:tc>
      </w:tr>
      <w:tr>
        <w:trPr>
          <w:trHeight w:val="466"/>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(23,767)</w:t>
            </w:r>
          </w:p>
        </w:tc>
      </w:tr>
      <w:tr>
        <w:trPr>
          <w:trHeight w:val="2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-1593850</wp:posOffset>
            </wp:positionV>
            <wp:extent cx="7020560" cy="231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20560" cy="23114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-1233805</wp:posOffset>
            </wp:positionV>
            <wp:extent cx="7020560" cy="231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0560" cy="23114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-873760</wp:posOffset>
            </wp:positionV>
            <wp:extent cx="70205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-599440</wp:posOffset>
            </wp:positionV>
            <wp:extent cx="702056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0560" cy="12890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-342265</wp:posOffset>
            </wp:positionV>
            <wp:extent cx="7020560"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056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40"/>
            <w:col w:w="8380"/>
          </w:cols>
          <w:pgMar w:left="320" w:top="1093" w:right="339" w:bottom="1440" w:gutter="0" w:footer="0" w:header="0"/>
          <w:type w:val="continuous"/>
        </w:sectPr>
      </w:pPr>
    </w:p>
    <w:p>
      <w:pPr>
        <w:spacing w:after="0" w:line="196" w:lineRule="exact"/>
        <w:rPr>
          <w:sz w:val="20"/>
          <w:szCs w:val="20"/>
          <w:color w:val="auto"/>
        </w:rPr>
      </w:pPr>
    </w:p>
    <w:p>
      <w:pPr>
        <w:ind w:right="20" w:firstLine="8"/>
        <w:spacing w:after="0" w:line="222" w:lineRule="auto"/>
        <w:tabs>
          <w:tab w:leader="none" w:pos="209" w:val="left"/>
        </w:tabs>
        <w:numPr>
          <w:ilvl w:val="0"/>
          <w:numId w:val="18"/>
        </w:numPr>
        <w:rPr>
          <w:rFonts w:ascii="Arial" w:cs="Arial" w:eastAsia="Arial" w:hAnsi="Arial"/>
          <w:sz w:val="24"/>
          <w:szCs w:val="24"/>
          <w:b w:val="1"/>
          <w:bCs w:val="1"/>
          <w:color w:val="auto"/>
          <w:vertAlign w:val="superscript"/>
        </w:rPr>
      </w:pPr>
      <w:r>
        <w:rPr>
          <w:rFonts w:ascii="Arial" w:cs="Arial" w:eastAsia="Arial" w:hAnsi="Arial"/>
          <w:sz w:val="16"/>
          <w:szCs w:val="16"/>
          <w:color w:val="auto"/>
        </w:rPr>
        <w:t>Other consists of segment allocated management fees, amortization expense of intangible assets, stock-based compensation and impairment expense at PrimaLoft of $20.5 million.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6951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51980" cy="8890"/>
                    </a:xfrm>
                    <a:prstGeom prst="rect">
                      <a:avLst/>
                    </a:prstGeom>
                    <a:noFill/>
                  </pic:spPr>
                </pic:pic>
              </a:graphicData>
            </a:graphic>
          </wp:anchor>
        </w:drawing>
        <w:t>Three Months Ended March 31,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b w:val="1"/>
                <w:bCs w:val="1"/>
                <w:color w:val="auto"/>
              </w:rPr>
              <w:t>5.11</w:t>
            </w:r>
          </w:p>
        </w:tc>
        <w:tc>
          <w:tcPr>
            <w:tcW w:w="840" w:type="dxa"/>
            <w:vAlign w:val="bottom"/>
            <w:tcBorders>
              <w:top w:val="single" w:sz="8" w:color="auto"/>
            </w:tcBorders>
            <w:vMerge w:val="restart"/>
          </w:tcPr>
          <w:p>
            <w:pPr>
              <w:jc w:val="right"/>
              <w:ind w:right="144"/>
              <w:spacing w:after="0"/>
              <w:rPr>
                <w:sz w:val="20"/>
                <w:szCs w:val="20"/>
                <w:color w:val="auto"/>
              </w:rPr>
            </w:pPr>
            <w:r>
              <w:rPr>
                <w:rFonts w:ascii="Arial" w:cs="Arial" w:eastAsia="Arial" w:hAnsi="Arial"/>
                <w:sz w:val="15"/>
                <w:szCs w:val="15"/>
                <w:b w:val="1"/>
                <w:bCs w:val="1"/>
                <w:color w:val="auto"/>
              </w:rPr>
              <w:t>BOA</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104"/>
              <w:spacing w:after="0"/>
              <w:rPr>
                <w:sz w:val="20"/>
                <w:szCs w:val="20"/>
                <w:color w:val="auto"/>
              </w:rPr>
            </w:pPr>
            <w:r>
              <w:rPr>
                <w:rFonts w:ascii="Arial" w:cs="Arial" w:eastAsia="Arial" w:hAnsi="Arial"/>
                <w:sz w:val="15"/>
                <w:szCs w:val="15"/>
                <w:b w:val="1"/>
                <w:bCs w:val="1"/>
                <w:color w:val="auto"/>
              </w:rPr>
              <w:t>Lugano</w:t>
            </w:r>
          </w:p>
        </w:tc>
        <w:tc>
          <w:tcPr>
            <w:tcW w:w="9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5"/>
                <w:szCs w:val="15"/>
                <w:b w:val="1"/>
                <w:bCs w:val="1"/>
                <w:color w:val="auto"/>
              </w:rPr>
              <w:t>PrimaLoft</w:t>
            </w:r>
          </w:p>
        </w:tc>
        <w:tc>
          <w:tcPr>
            <w:tcW w:w="86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5"/>
                <w:szCs w:val="15"/>
                <w:b w:val="1"/>
                <w:bCs w:val="1"/>
                <w:color w:val="auto"/>
              </w:rPr>
              <w:t>THP</w:t>
            </w:r>
          </w:p>
        </w:tc>
        <w:tc>
          <w:tcPr>
            <w:tcW w:w="8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5"/>
                <w:szCs w:val="15"/>
                <w:b w:val="1"/>
                <w:bCs w:val="1"/>
                <w:color w:val="auto"/>
              </w:rPr>
              <w:t>Velocity</w:t>
            </w:r>
          </w:p>
        </w:tc>
        <w:tc>
          <w:tcPr>
            <w:tcW w:w="8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5"/>
                <w:szCs w:val="15"/>
                <w:b w:val="1"/>
                <w:bCs w:val="1"/>
                <w:color w:val="auto"/>
              </w:rPr>
              <w:t>Altor</w:t>
            </w:r>
          </w:p>
        </w:tc>
        <w:tc>
          <w:tcPr>
            <w:tcW w:w="8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5"/>
                <w:szCs w:val="15"/>
                <w:b w:val="1"/>
                <w:bCs w:val="1"/>
                <w:color w:val="auto"/>
              </w:rPr>
              <w:t>Arnold</w:t>
            </w:r>
          </w:p>
        </w:tc>
        <w:tc>
          <w:tcPr>
            <w:tcW w:w="8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Sterno</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5"/>
                <w:szCs w:val="15"/>
                <w:b w:val="1"/>
                <w:bCs w:val="1"/>
                <w:color w:val="auto"/>
              </w:rPr>
              <w:t>Outdoor</w:t>
            </w:r>
          </w:p>
        </w:tc>
        <w:tc>
          <w:tcPr>
            <w:tcW w:w="8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$ 129,370</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48,877</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26,845</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23,645</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36,191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13,201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76,257</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34,008</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65,381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453,775</w:t>
            </w:r>
          </w:p>
        </w:tc>
        <w:tc>
          <w:tcPr>
            <w:tcW w:w="0" w:type="dxa"/>
            <w:vAlign w:val="bottom"/>
          </w:tcPr>
          <w:p>
            <w:pPr>
              <w:spacing w:after="0"/>
              <w:rPr>
                <w:sz w:val="1"/>
                <w:szCs w:val="1"/>
                <w:color w:val="auto"/>
              </w:rPr>
            </w:pPr>
          </w:p>
        </w:tc>
      </w:tr>
      <w:tr>
        <w:trPr>
          <w:trHeight w:val="200"/>
        </w:trPr>
        <w:tc>
          <w:tcPr>
            <w:tcW w:w="20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59,622</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17,658</w:t>
            </w:r>
          </w:p>
        </w:tc>
        <w:tc>
          <w:tcPr>
            <w:tcW w:w="22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13,667</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8,508</w:t>
            </w:r>
          </w:p>
        </w:tc>
        <w:tc>
          <w:tcPr>
            <w:tcW w:w="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16,160</w:t>
            </w:r>
          </w:p>
        </w:tc>
        <w:tc>
          <w:tcPr>
            <w:tcW w:w="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9,837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57,221</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26,987</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48,083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Arial" w:cs="Arial" w:eastAsia="Arial" w:hAnsi="Arial"/>
                <w:sz w:val="15"/>
                <w:szCs w:val="15"/>
                <w:color w:val="auto"/>
              </w:rPr>
              <w:t>257,743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60"/>
          </w:cols>
          <w:pgMar w:left="320" w:top="1038" w:right="619" w:bottom="1440" w:gutter="0" w:footer="0" w:header="0"/>
        </w:sectPr>
      </w:pPr>
    </w:p>
    <w:p>
      <w:pPr>
        <w:ind w:left="20" w:right="44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b w:val="1"/>
          <w:bCs w:val="1"/>
          <w:color w:val="auto"/>
          <w:vertAlign w:val="superscript"/>
        </w:rPr>
        <w:t>(1)</w:t>
      </w:r>
    </w:p>
    <w:p>
      <w:pPr>
        <w:ind w:left="360" w:right="6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Corporate</w:t>
      </w:r>
    </w:p>
    <w:p>
      <w:pPr>
        <w:spacing w:after="0" w:line="30" w:lineRule="exact"/>
        <w:rPr>
          <w:sz w:val="20"/>
          <w:szCs w:val="20"/>
          <w:color w:val="auto"/>
        </w:rPr>
      </w:pPr>
    </w:p>
    <w:p>
      <w:pPr>
        <w:ind w:left="360" w:right="460"/>
        <w:spacing w:after="0" w:line="245" w:lineRule="auto"/>
        <w:rPr>
          <w:sz w:val="20"/>
          <w:szCs w:val="20"/>
          <w:color w:val="auto"/>
        </w:rPr>
      </w:pPr>
      <w:r>
        <w:rPr>
          <w:rFonts w:ascii="Arial" w:cs="Arial" w:eastAsia="Arial" w:hAnsi="Arial"/>
          <w:sz w:val="15"/>
          <w:szCs w:val="15"/>
          <w:color w:val="auto"/>
        </w:rPr>
        <w:t>Total consolidated operating income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30" w:lineRule="exact"/>
        <w:rPr>
          <w:sz w:val="20"/>
          <w:szCs w:val="20"/>
          <w:color w:val="auto"/>
        </w:rPr>
      </w:pPr>
    </w:p>
    <w:p>
      <w:pPr>
        <w:ind w:left="20"/>
        <w:spacing w:after="0" w:line="245" w:lineRule="auto"/>
        <w:rPr>
          <w:sz w:val="20"/>
          <w:szCs w:val="20"/>
          <w:color w:val="auto"/>
        </w:rPr>
      </w:pPr>
      <w:r>
        <w:rPr>
          <w:rFonts w:ascii="Arial" w:cs="Arial" w:eastAsia="Arial" w:hAnsi="Arial"/>
          <w:sz w:val="15"/>
          <w:szCs w:val="15"/>
          <w:color w:val="auto"/>
        </w:rPr>
        <w:t>Amortization of debt issuance costs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(expense), net</w:t>
      </w:r>
    </w:p>
    <w:p>
      <w:pPr>
        <w:spacing w:after="0" w:line="30" w:lineRule="exact"/>
        <w:rPr>
          <w:sz w:val="20"/>
          <w:szCs w:val="20"/>
          <w:color w:val="auto"/>
        </w:rPr>
      </w:pPr>
    </w:p>
    <w:p>
      <w:pPr>
        <w:ind w:left="360" w:right="160"/>
        <w:spacing w:after="0" w:line="219" w:lineRule="auto"/>
        <w:rPr>
          <w:sz w:val="20"/>
          <w:szCs w:val="20"/>
          <w:color w:val="auto"/>
        </w:rPr>
      </w:pPr>
      <w:r>
        <w:rPr>
          <w:rFonts w:ascii="Arial" w:cs="Arial" w:eastAsia="Arial" w:hAnsi="Arial"/>
          <w:sz w:val="15"/>
          <w:szCs w:val="15"/>
          <w:color w:val="auto"/>
        </w:rPr>
        <w:t>Total consolidated loss from continuing operations before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income 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00" w:type="dxa"/>
            <w:vAlign w:val="bottom"/>
          </w:tcPr>
          <w:p>
            <w:pPr>
              <w:jc w:val="right"/>
              <w:spacing w:after="0"/>
              <w:rPr>
                <w:sz w:val="20"/>
                <w:szCs w:val="20"/>
                <w:color w:val="auto"/>
              </w:rPr>
            </w:pPr>
            <w:r>
              <w:rPr>
                <w:rFonts w:ascii="Arial" w:cs="Arial" w:eastAsia="Arial" w:hAnsi="Arial"/>
                <w:sz w:val="15"/>
                <w:szCs w:val="15"/>
                <w:color w:val="auto"/>
              </w:rPr>
              <w:t>58,209</w:t>
            </w:r>
          </w:p>
        </w:tc>
        <w:tc>
          <w:tcPr>
            <w:tcW w:w="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12,014</w:t>
            </w:r>
          </w:p>
        </w:tc>
        <w:tc>
          <w:tcPr>
            <w:tcW w:w="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25,608</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4,977</w:t>
            </w:r>
          </w:p>
        </w:tc>
        <w:tc>
          <w:tcPr>
            <w:tcW w:w="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10,905</w:t>
            </w:r>
          </w:p>
        </w:tc>
        <w:tc>
          <w:tcPr>
            <w:tcW w:w="80" w:type="dxa"/>
            <w:vAlign w:val="bottom"/>
          </w:tcPr>
          <w:p>
            <w:pPr>
              <w:spacing w:after="0"/>
              <w:rPr>
                <w:sz w:val="17"/>
                <w:szCs w:val="17"/>
                <w:color w:val="auto"/>
              </w:rPr>
            </w:pPr>
          </w:p>
        </w:tc>
        <w:tc>
          <w:tcPr>
            <w:tcW w:w="780" w:type="dxa"/>
            <w:vAlign w:val="bottom"/>
          </w:tcPr>
          <w:p>
            <w:pPr>
              <w:jc w:val="center"/>
              <w:ind w:left="164"/>
              <w:spacing w:after="0"/>
              <w:rPr>
                <w:sz w:val="20"/>
                <w:szCs w:val="20"/>
                <w:color w:val="auto"/>
              </w:rPr>
            </w:pPr>
            <w:r>
              <w:rPr>
                <w:rFonts w:ascii="Arial" w:cs="Arial" w:eastAsia="Arial" w:hAnsi="Arial"/>
                <w:sz w:val="15"/>
                <w:szCs w:val="15"/>
                <w:color w:val="auto"/>
              </w:rPr>
              <w:t>4,774</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10,156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7,179</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7,929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141,751</w:t>
            </w:r>
          </w:p>
        </w:tc>
      </w:tr>
      <w:tr>
        <w:trPr>
          <w:trHeight w:val="205"/>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2,966</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5,550</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1,229</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6,002</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4,290</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ind w:left="164"/>
              <w:spacing w:after="0"/>
              <w:rPr>
                <w:sz w:val="20"/>
                <w:szCs w:val="20"/>
                <w:color w:val="auto"/>
              </w:rPr>
            </w:pPr>
            <w:r>
              <w:rPr>
                <w:rFonts w:ascii="Arial" w:cs="Arial" w:eastAsia="Arial" w:hAnsi="Arial"/>
                <w:sz w:val="15"/>
                <w:szCs w:val="15"/>
                <w:color w:val="auto"/>
              </w:rPr>
              <w:t>1,415</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3,894</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754</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3,011</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29,111</w:t>
            </w:r>
          </w:p>
        </w:tc>
      </w:tr>
      <w:tr>
        <w:trPr>
          <w:trHeight w:val="342"/>
        </w:trPr>
        <w:tc>
          <w:tcPr>
            <w:tcW w:w="800" w:type="dxa"/>
            <w:vAlign w:val="bottom"/>
          </w:tcPr>
          <w:p>
            <w:pPr>
              <w:jc w:val="right"/>
              <w:spacing w:after="0"/>
              <w:rPr>
                <w:sz w:val="20"/>
                <w:szCs w:val="20"/>
                <w:color w:val="auto"/>
              </w:rPr>
            </w:pPr>
            <w:r>
              <w:rPr>
                <w:rFonts w:ascii="Arial" w:cs="Arial" w:eastAsia="Arial" w:hAnsi="Arial"/>
                <w:sz w:val="15"/>
                <w:szCs w:val="15"/>
                <w:color w:val="auto"/>
              </w:rPr>
              <w:t>8,573</w:t>
            </w:r>
          </w:p>
        </w:tc>
        <w:tc>
          <w:tcPr>
            <w:tcW w:w="8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13,655</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(13,659)</w:t>
            </w:r>
          </w:p>
        </w:tc>
        <w:tc>
          <w:tcPr>
            <w:tcW w:w="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4,158</w:t>
            </w:r>
          </w:p>
        </w:tc>
        <w:tc>
          <w:tcPr>
            <w:tcW w:w="80" w:type="dxa"/>
            <w:vAlign w:val="bottom"/>
          </w:tcPr>
          <w:p>
            <w:pPr>
              <w:spacing w:after="0"/>
              <w:rPr>
                <w:sz w:val="24"/>
                <w:szCs w:val="24"/>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4,836</w:t>
            </w:r>
          </w:p>
        </w:tc>
        <w:tc>
          <w:tcPr>
            <w:tcW w:w="80" w:type="dxa"/>
            <w:vAlign w:val="bottom"/>
          </w:tcPr>
          <w:p>
            <w:pPr>
              <w:spacing w:after="0"/>
              <w:rPr>
                <w:sz w:val="24"/>
                <w:szCs w:val="24"/>
                <w:color w:val="auto"/>
              </w:rPr>
            </w:pPr>
          </w:p>
        </w:tc>
        <w:tc>
          <w:tcPr>
            <w:tcW w:w="780" w:type="dxa"/>
            <w:vAlign w:val="bottom"/>
          </w:tcPr>
          <w:p>
            <w:pPr>
              <w:jc w:val="center"/>
              <w:ind w:left="164"/>
              <w:spacing w:after="0"/>
              <w:rPr>
                <w:sz w:val="20"/>
                <w:szCs w:val="20"/>
                <w:color w:val="auto"/>
              </w:rPr>
            </w:pPr>
            <w:r>
              <w:rPr>
                <w:rFonts w:ascii="Arial" w:cs="Arial" w:eastAsia="Arial" w:hAnsi="Arial"/>
                <w:sz w:val="15"/>
                <w:szCs w:val="15"/>
                <w:color w:val="auto"/>
              </w:rPr>
              <w:t>(2,825)</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4,986</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(912)</w:t>
            </w:r>
          </w:p>
        </w:tc>
        <w:tc>
          <w:tcPr>
            <w:tcW w:w="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6,358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25,170</w:t>
            </w:r>
          </w:p>
        </w:tc>
      </w:tr>
      <w:tr>
        <w:trPr>
          <w:trHeight w:val="205"/>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(21,729)</w:t>
            </w:r>
          </w:p>
        </w:tc>
      </w:tr>
      <w:tr>
        <w:trPr>
          <w:trHeight w:val="345"/>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3,441</w:t>
            </w:r>
          </w:p>
        </w:tc>
      </w:tr>
      <w:tr>
        <w:trPr>
          <w:trHeight w:val="197"/>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(35,851)</w:t>
            </w:r>
          </w:p>
        </w:tc>
      </w:tr>
      <w:tr>
        <w:trPr>
          <w:trHeight w:val="36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(1,125)</w:t>
            </w:r>
          </w:p>
        </w:tc>
      </w:tr>
      <w:tr>
        <w:trPr>
          <w:trHeight w:val="205"/>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(13,681)</w:t>
            </w:r>
          </w:p>
        </w:tc>
      </w:tr>
      <w:tr>
        <w:trPr>
          <w:trHeight w:val="61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(47,216)</w:t>
            </w:r>
          </w:p>
        </w:tc>
      </w:tr>
      <w:tr>
        <w:trPr>
          <w:trHeight w:val="2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-1885315</wp:posOffset>
            </wp:positionV>
            <wp:extent cx="6951980"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1980" cy="23177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-1525270</wp:posOffset>
            </wp:positionV>
            <wp:extent cx="6951980" cy="231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51980" cy="23114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-1165225</wp:posOffset>
            </wp:positionV>
            <wp:extent cx="6951980" cy="2311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51980" cy="23114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-796290</wp:posOffset>
            </wp:positionV>
            <wp:extent cx="6951980" cy="2311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51980" cy="23114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-436245</wp:posOffset>
            </wp:positionV>
            <wp:extent cx="6951980"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51980" cy="42037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2040" w:space="40"/>
            <w:col w:w="8880"/>
          </w:cols>
          <w:pgMar w:left="320" w:top="1038" w:right="619" w:bottom="1440" w:gutter="0" w:footer="0" w:header="0"/>
          <w:type w:val="continuous"/>
        </w:sectPr>
      </w:pPr>
    </w:p>
    <w:p>
      <w:pPr>
        <w:ind w:left="5540" w:right="880" w:hanging="5532"/>
        <w:spacing w:after="0"/>
        <w:tabs>
          <w:tab w:leader="none" w:pos="210" w:val="left"/>
        </w:tabs>
        <w:numPr>
          <w:ilvl w:val="0"/>
          <w:numId w:val="19"/>
        </w:numPr>
        <w:rPr>
          <w:rFonts w:ascii="Arial" w:cs="Arial" w:eastAsia="Arial" w:hAnsi="Arial"/>
          <w:sz w:val="24"/>
          <w:szCs w:val="24"/>
          <w:b w:val="1"/>
          <w:bCs w:val="1"/>
          <w:color w:val="auto"/>
          <w:vertAlign w:val="superscript"/>
        </w:rPr>
      </w:pPr>
      <w:r>
        <w:rPr>
          <w:rFonts w:ascii="Arial" w:cs="Arial" w:eastAsia="Arial" w:hAnsi="Arial"/>
          <w:sz w:val="16"/>
          <w:szCs w:val="16"/>
          <w:color w:val="auto"/>
        </w:rPr>
        <w:t xml:space="preserve">Other consists of segment allocated management fees, amortization expense of intangible assets, and stock-based compensation. </w:t>
      </w: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38" w:right="619" w:bottom="1440" w:gutter="0" w:footer="0" w:header="0"/>
          <w:type w:val="continuous"/>
        </w:sectPr>
      </w:pPr>
    </w:p>
    <w:bookmarkStart w:id="38" w:name="page39"/>
    <w:bookmarkEnd w:id="38"/>
    <w:tbl>
      <w:tblPr>
        <w:tblLayout w:type="fixed"/>
        <w:tblInd w:w="1380" w:type="dxa"/>
        <w:tblCellMar>
          <w:top w:w="0" w:type="dxa"/>
          <w:left w:w="0" w:type="dxa"/>
          <w:bottom w:w="0" w:type="dxa"/>
          <w:right w:w="0" w:type="dxa"/>
        </w:tblCellMar>
      </w:tblPr>
      <w:tr>
        <w:trPr>
          <w:trHeight w:val="216"/>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Depreciation and Amortization Expense</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299"/>
              <w:spacing w:after="0"/>
              <w:rPr>
                <w:sz w:val="20"/>
                <w:szCs w:val="20"/>
                <w:color w:val="auto"/>
              </w:rPr>
            </w:pPr>
            <w:r>
              <w:rPr>
                <w:rFonts w:ascii="Arial" w:cs="Arial" w:eastAsia="Arial" w:hAnsi="Arial"/>
                <w:sz w:val="15"/>
                <w:szCs w:val="15"/>
                <w:b w:val="1"/>
                <w:bCs w:val="1"/>
                <w:color w:val="auto"/>
              </w:rPr>
              <w:t>Three months ended March 31,</w:t>
            </w:r>
          </w:p>
        </w:tc>
      </w:tr>
      <w:tr>
        <w:trPr>
          <w:trHeight w:val="196"/>
        </w:trPr>
        <w:tc>
          <w:tcPr>
            <w:tcW w:w="54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2025</w:t>
            </w:r>
          </w:p>
        </w:tc>
      </w:tr>
      <w:tr>
        <w:trPr>
          <w:trHeight w:val="34"/>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w:t>
            </w:r>
          </w:p>
        </w:tc>
      </w:tr>
      <w:tr>
        <w:trPr>
          <w:trHeight w:val="215"/>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5,050</w:t>
            </w:r>
          </w:p>
        </w:tc>
      </w:tr>
      <w:tr>
        <w:trPr>
          <w:trHeight w:val="21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r>
      <w:tr>
        <w:trPr>
          <w:trHeight w:val="215"/>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PrimaLoft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5,237</w:t>
            </w:r>
          </w:p>
        </w:tc>
      </w:tr>
      <w:tr>
        <w:trPr>
          <w:trHeight w:val="21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r>
      <w:tr>
        <w:trPr>
          <w:trHeight w:val="215"/>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1,364</w:t>
            </w:r>
          </w:p>
        </w:tc>
      </w:tr>
      <w:tr>
        <w:trPr>
          <w:trHeight w:val="21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w:t>
            </w:r>
          </w:p>
        </w:tc>
      </w:tr>
      <w:tr>
        <w:trPr>
          <w:trHeight w:val="215"/>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2,557</w:t>
            </w:r>
          </w:p>
        </w:tc>
      </w:tr>
      <w:tr>
        <w:trPr>
          <w:trHeight w:val="21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w:t>
            </w:r>
          </w:p>
        </w:tc>
      </w:tr>
      <w:tr>
        <w:trPr>
          <w:trHeight w:val="209"/>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35,652</w:t>
            </w:r>
          </w:p>
        </w:tc>
      </w:tr>
      <w:tr>
        <w:trPr>
          <w:trHeight w:val="21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r>
      <w:tr>
        <w:trPr>
          <w:trHeight w:val="235"/>
        </w:trPr>
        <w:tc>
          <w:tcPr>
            <w:tcW w:w="5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Consolidated 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36,777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680"/>
              <w:spacing w:after="0"/>
              <w:rPr>
                <w:sz w:val="20"/>
                <w:szCs w:val="20"/>
                <w:color w:val="auto"/>
              </w:rPr>
            </w:pPr>
            <w:r>
              <w:rPr>
                <w:rFonts w:ascii="Arial" w:cs="Arial" w:eastAsia="Arial" w:hAnsi="Arial"/>
                <w:sz w:val="15"/>
                <w:szCs w:val="15"/>
                <w:b w:val="1"/>
                <w:bCs w:val="1"/>
                <w:color w:val="auto"/>
              </w:rPr>
              <w:t>Accounts Receivable</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ind w:right="780"/>
              <w:spacing w:after="0"/>
              <w:rPr>
                <w:sz w:val="20"/>
                <w:szCs w:val="20"/>
                <w:color w:val="auto"/>
              </w:rPr>
            </w:pPr>
            <w:r>
              <w:rPr>
                <w:rFonts w:ascii="Arial" w:cs="Arial" w:eastAsia="Arial" w:hAnsi="Arial"/>
                <w:sz w:val="15"/>
                <w:szCs w:val="15"/>
                <w:b w:val="1"/>
                <w:bCs w:val="1"/>
                <w:color w:val="auto"/>
              </w:rPr>
              <w:t>Identifiable Assets</w:t>
            </w:r>
          </w:p>
        </w:tc>
      </w:tr>
      <w:tr>
        <w:trPr>
          <w:trHeight w:val="190"/>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6"/>
                <w:szCs w:val="16"/>
                <w:color w:val="auto"/>
              </w:rPr>
            </w:pPr>
          </w:p>
        </w:tc>
        <w:tc>
          <w:tcPr>
            <w:tcW w:w="1320" w:type="dxa"/>
            <w:vAlign w:val="bottom"/>
          </w:tcPr>
          <w:p>
            <w:pPr>
              <w:jc w:val="right"/>
              <w:ind w:right="180"/>
              <w:spacing w:after="0"/>
              <w:rPr>
                <w:sz w:val="20"/>
                <w:szCs w:val="20"/>
                <w:color w:val="auto"/>
              </w:rPr>
            </w:pPr>
            <w:r>
              <w:rPr>
                <w:rFonts w:ascii="Arial" w:cs="Arial" w:eastAsia="Arial" w:hAnsi="Arial"/>
                <w:sz w:val="15"/>
                <w:szCs w:val="15"/>
                <w:b w:val="1"/>
                <w:bCs w:val="1"/>
                <w:color w:val="auto"/>
              </w:rPr>
              <w:t>December 31,</w:t>
            </w:r>
          </w:p>
        </w:tc>
      </w:tr>
      <w:tr>
        <w:trPr>
          <w:trHeight w:val="208"/>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0"/>
              <w:spacing w:after="0" w:line="208" w:lineRule="exact"/>
              <w:rPr>
                <w:sz w:val="20"/>
                <w:szCs w:val="20"/>
                <w:color w:val="auto"/>
              </w:rPr>
            </w:pPr>
            <w:r>
              <w:rPr>
                <w:rFonts w:ascii="Arial" w:cs="Arial" w:eastAsia="Arial" w:hAnsi="Arial"/>
                <w:sz w:val="15"/>
                <w:szCs w:val="15"/>
                <w:b w:val="1"/>
                <w:bCs w:val="1"/>
                <w:color w:val="auto"/>
              </w:rPr>
              <w:t xml:space="preserve">2026 </w:t>
            </w:r>
            <w:r>
              <w:rPr>
                <w:rFonts w:ascii="Arial" w:cs="Arial" w:eastAsia="Arial" w:hAnsi="Arial"/>
                <w:sz w:val="19"/>
                <w:szCs w:val="19"/>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20"/>
              <w:spacing w:after="0" w:line="208" w:lineRule="exact"/>
              <w:rPr>
                <w:sz w:val="20"/>
                <w:szCs w:val="20"/>
                <w:color w:val="auto"/>
              </w:rPr>
            </w:pPr>
            <w:r>
              <w:rPr>
                <w:rFonts w:ascii="Arial" w:cs="Arial" w:eastAsia="Arial" w:hAnsi="Arial"/>
                <w:sz w:val="15"/>
                <w:szCs w:val="15"/>
                <w:b w:val="1"/>
                <w:bCs w:val="1"/>
                <w:color w:val="auto"/>
              </w:rPr>
              <w:t xml:space="preserve">2025 </w:t>
            </w:r>
            <w:r>
              <w:rPr>
                <w:rFonts w:ascii="Arial" w:cs="Arial" w:eastAsia="Arial" w:hAnsi="Arial"/>
                <w:sz w:val="19"/>
                <w:szCs w:val="19"/>
                <w:b w:val="1"/>
                <w:bCs w:val="1"/>
                <w:color w:val="auto"/>
                <w:vertAlign w:val="superscript"/>
              </w:rPr>
              <w:t>(1)</w:t>
            </w: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420,755</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BOA</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205,631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209,388</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PrimaLoft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248,314</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The Honey Pot Co.</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26,229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261,336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268,162</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84,880</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Altor Solutions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37,981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288,966</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126,276</w:t>
            </w:r>
          </w:p>
        </w:tc>
      </w:tr>
      <w:tr>
        <w:trPr>
          <w:trHeight w:val="216"/>
        </w:trPr>
        <w:tc>
          <w:tcPr>
            <w:tcW w:w="4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Sterno </w:t>
            </w:r>
            <w:r>
              <w:rPr>
                <w:rFonts w:ascii="Arial" w:cs="Arial" w:eastAsia="Arial" w:hAnsi="Arial"/>
                <w:sz w:val="21"/>
                <w:szCs w:val="21"/>
                <w:b w:val="1"/>
                <w:bCs w:val="1"/>
                <w:color w:val="auto"/>
                <w:vertAlign w:val="superscript"/>
              </w:rPr>
              <w:t>(2)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41,877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133,468</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allowance accounts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190,282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202,887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1,663,105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1,780,209</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segment to consolidated totals: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Corporate and other identifiable assets</w:t>
            </w: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161,732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160,667</w:t>
            </w:r>
          </w:p>
        </w:tc>
      </w:tr>
      <w:tr>
        <w:trPr>
          <w:trHeight w:val="217"/>
        </w:trPr>
        <w:tc>
          <w:tcPr>
            <w:tcW w:w="48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Assets held for sale </w:t>
            </w:r>
            <w:r>
              <w:rPr>
                <w:rFonts w:ascii="Arial" w:cs="Arial" w:eastAsia="Arial" w:hAnsi="Arial"/>
                <w:sz w:val="21"/>
                <w:szCs w:val="21"/>
                <w:b w:val="1"/>
                <w:bCs w:val="1"/>
                <w:color w:val="auto"/>
                <w:vertAlign w:val="superscript"/>
              </w:rPr>
              <w:t>(2)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190,282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202,887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1,956,447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1,940,876</w:t>
            </w: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1"/>
          <w:szCs w:val="21"/>
          <w:b w:val="1"/>
          <w:bCs w:val="1"/>
          <w:color w:val="auto"/>
          <w:vertAlign w:val="superscript"/>
        </w:rPr>
      </w:pPr>
      <w:r>
        <w:rPr>
          <w:rFonts w:ascii="Arial" w:cs="Arial" w:eastAsia="Arial" w:hAnsi="Arial"/>
          <w:sz w:val="16"/>
          <w:szCs w:val="16"/>
          <w:color w:val="auto"/>
        </w:rPr>
        <w:t xml:space="preserve">Does not include accounts receivable balances per schedule above or goodwill balances - refer to </w:t>
      </w:r>
      <w:r>
        <w:rPr>
          <w:rFonts w:ascii="Arial" w:cs="Arial" w:eastAsia="Arial" w:hAnsi="Arial"/>
          <w:sz w:val="16"/>
          <w:szCs w:val="16"/>
          <w:u w:val="single" w:color="auto"/>
          <w:color w:val="0000FF"/>
        </w:rPr>
        <w:t>Note E - "Goodwill and Other Intangible Assets"</w:t>
      </w:r>
      <w:r>
        <w:rPr>
          <w:rFonts w:ascii="Arial" w:cs="Arial" w:eastAsia="Arial" w:hAnsi="Arial"/>
          <w:sz w:val="16"/>
          <w:szCs w:val="16"/>
          <w:color w:val="auto"/>
        </w:rPr>
        <w:t>.</w:t>
      </w:r>
    </w:p>
    <w:p>
      <w:pPr>
        <w:spacing w:after="0" w:line="82" w:lineRule="exact"/>
        <w:rPr>
          <w:rFonts w:ascii="Arial" w:cs="Arial" w:eastAsia="Arial" w:hAnsi="Arial"/>
          <w:sz w:val="21"/>
          <w:szCs w:val="21"/>
          <w:b w:val="1"/>
          <w:bCs w:val="1"/>
          <w:color w:val="auto"/>
          <w:vertAlign w:val="superscript"/>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Sterno food services product division has been classified as held for sale at March 31,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40" w:right="5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P -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30, 2026, Sterno completed the Rimports Distribution and on May 1, 2026 completed the Merger pursuant to the Sterno Agreement. The sale price of Sterno was based on an enterprise value of $292.5 million, subject to certain adjustments based on matters such as transaction expenses, change-of-control payments, option termination payments and the net working capital, cash and debt balances of Sterno and its subsidiaries (excluding Rimports and its subsidiaries) at the time of the closing. $2.6 million of the closing proceeds was placed in escrow for purposes of satisfying post-closing purchase price true-ups, if any. After the allocation of the sales price to Sterno’s non-controlling Stockholders and payment of transaction costs, CODI received approximately $282 million of total proceeds at closing. This amount is in respect to the Company's outstanding loans to Sterno (including accrued interest) and its equity interests in Sterno. The proceeds will be used to pay down outstanding debt under the Company’s senior credit facility. CODI expects to record a gain on the sale of Sterno’s food service business in the quarter ending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the Company's Annual Report on Form 10-K for the fiscal year ended December 31, 2025 and in the section entitled "Risk Factors" in Part II, Item 1A of this Quarterly Report on Form 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Compass Diversified Holdings ("Holdings", or the "Trust") was formed in Delaware on November 18, 2005. Compass Group Diversified Holdings LLC (the "LLC") was also formed on November 18, 2005. Holdings and the LLC (collectively, the "Company") were formed to acquire and manage a group of small and middle-market businesses headquartered in North America. The LLC is a controlling owner of eight businesses, or operating segments, at March 31, 2026. The segments are as follows: 5.11 Acquisition Corp. ("5.11"), Boa Holdings Inc. ("BOA"), Relentless Topco, Inc. ("PrimaLoft"), THP Topco, Inc. ("The Honey Pot Co." or "THP"), CBCP Products, LLC ("Velocity Outdoor" or "Velocity"), AMTAC Holdings LLC ("Arnold"), FFI Compass, Inc. ("Altor Solutions" or "Altor"), and SternoCandleLamp Holdings, Inc. ("Sterno"). Lugano Holding, Inc. ("Lugano") was an operating segment of the Company until November 16, 2025 when Lugano was deconsolidated. The results of operations of Lugano are included in the Company's results of operations through the date of the deconsolidation.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that we own at March 31, 2026 as follows:</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top w:val="single" w:sz="8" w:color="auto"/>
              <w:bottom w:val="single" w:sz="8" w:color="auto"/>
            </w:tcBorders>
            <w:gridSpan w:val="3"/>
          </w:tcPr>
          <w:p>
            <w:pPr>
              <w:ind w:left="580"/>
              <w:spacing w:after="0"/>
              <w:rPr>
                <w:sz w:val="20"/>
                <w:szCs w:val="20"/>
                <w:color w:val="auto"/>
              </w:rPr>
            </w:pPr>
            <w:r>
              <w:rPr>
                <w:rFonts w:ascii="Arial" w:cs="Arial" w:eastAsia="Arial" w:hAnsi="Arial"/>
                <w:sz w:val="15"/>
                <w:szCs w:val="15"/>
                <w:b w:val="1"/>
                <w:bCs w:val="1"/>
                <w:color w:val="auto"/>
              </w:rPr>
              <w:t>Ownership Interest - March 31, 2026</w:t>
            </w:r>
          </w:p>
        </w:tc>
      </w:tr>
      <w:tr>
        <w:trPr>
          <w:trHeight w:val="196"/>
        </w:trPr>
        <w:tc>
          <w:tcPr>
            <w:tcW w:w="2340" w:type="dxa"/>
            <w:vAlign w:val="bottom"/>
            <w:gridSpan w:val="2"/>
          </w:tcPr>
          <w:p>
            <w:pPr>
              <w:ind w:left="780"/>
              <w:spacing w:after="0"/>
              <w:rPr>
                <w:sz w:val="20"/>
                <w:szCs w:val="20"/>
                <w:color w:val="auto"/>
              </w:rPr>
            </w:pPr>
            <w:r>
              <w:rPr>
                <w:rFonts w:ascii="Arial" w:cs="Arial" w:eastAsia="Arial" w:hAnsi="Arial"/>
                <w:sz w:val="15"/>
                <w:szCs w:val="15"/>
                <w:b w:val="1"/>
                <w:bCs w:val="1"/>
                <w:color w:val="auto"/>
              </w:rPr>
              <w:t>Business</w:t>
            </w:r>
          </w:p>
        </w:tc>
        <w:tc>
          <w:tcPr>
            <w:tcW w:w="2100" w:type="dxa"/>
            <w:vAlign w:val="bottom"/>
            <w:gridSpan w:val="2"/>
          </w:tcPr>
          <w:p>
            <w:pPr>
              <w:ind w:left="400"/>
              <w:spacing w:after="0"/>
              <w:rPr>
                <w:sz w:val="20"/>
                <w:szCs w:val="20"/>
                <w:color w:val="auto"/>
              </w:rPr>
            </w:pPr>
            <w:r>
              <w:rPr>
                <w:rFonts w:ascii="Arial" w:cs="Arial" w:eastAsia="Arial" w:hAnsi="Arial"/>
                <w:sz w:val="15"/>
                <w:szCs w:val="15"/>
                <w:b w:val="1"/>
                <w:bCs w:val="1"/>
                <w:color w:val="auto"/>
              </w:rPr>
              <w:t>Acquisition Date</w:t>
            </w:r>
          </w:p>
        </w:tc>
        <w:tc>
          <w:tcPr>
            <w:tcW w:w="1940" w:type="dxa"/>
            <w:vAlign w:val="bottom"/>
            <w:gridSpan w:val="2"/>
          </w:tcPr>
          <w:p>
            <w:pPr>
              <w:ind w:left="620"/>
              <w:spacing w:after="0"/>
              <w:rPr>
                <w:sz w:val="20"/>
                <w:szCs w:val="20"/>
                <w:color w:val="auto"/>
              </w:rPr>
            </w:pPr>
            <w:r>
              <w:rPr>
                <w:rFonts w:ascii="Arial" w:cs="Arial" w:eastAsia="Arial" w:hAnsi="Arial"/>
                <w:sz w:val="15"/>
                <w:szCs w:val="15"/>
                <w:b w:val="1"/>
                <w:bCs w:val="1"/>
                <w:color w:val="auto"/>
              </w:rPr>
              <w:t>Primary</w:t>
            </w:r>
          </w:p>
        </w:tc>
        <w:tc>
          <w:tcPr>
            <w:tcW w:w="1840" w:type="dxa"/>
            <w:vAlign w:val="bottom"/>
          </w:tcPr>
          <w:p>
            <w:pPr>
              <w:ind w:left="660"/>
              <w:spacing w:after="0"/>
              <w:rPr>
                <w:sz w:val="20"/>
                <w:szCs w:val="20"/>
                <w:color w:val="auto"/>
              </w:rPr>
            </w:pPr>
            <w:r>
              <w:rPr>
                <w:rFonts w:ascii="Arial" w:cs="Arial" w:eastAsia="Arial" w:hAnsi="Arial"/>
                <w:sz w:val="15"/>
                <w:szCs w:val="15"/>
                <w:b w:val="1"/>
                <w:bCs w:val="1"/>
                <w:color w:val="auto"/>
              </w:rPr>
              <w:t>Diluted</w:t>
            </w:r>
          </w:p>
        </w:tc>
      </w:tr>
      <w:tr>
        <w:trPr>
          <w:trHeight w:val="210"/>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March 5, 2012</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98.0%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82.0%</w:t>
            </w:r>
          </w:p>
        </w:tc>
      </w:tr>
      <w:tr>
        <w:trPr>
          <w:trHeight w:val="215"/>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Sterno</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10, 2014</w:t>
            </w:r>
          </w:p>
        </w:tc>
        <w:tc>
          <w:tcPr>
            <w:tcW w:w="1840" w:type="dxa"/>
            <w:vAlign w:val="bottom"/>
          </w:tcPr>
          <w:p>
            <w:pPr>
              <w:jc w:val="center"/>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92.2%</w:t>
            </w:r>
          </w:p>
        </w:tc>
      </w:tr>
      <w:tr>
        <w:trPr>
          <w:trHeight w:val="217"/>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August 31, 2016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88.6%</w:t>
            </w:r>
          </w:p>
        </w:tc>
      </w:tr>
      <w:tr>
        <w:trPr>
          <w:trHeight w:val="215"/>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June 2, 2017</w:t>
            </w:r>
          </w:p>
        </w:tc>
        <w:tc>
          <w:tcPr>
            <w:tcW w:w="1840" w:type="dxa"/>
            <w:vAlign w:val="bottom"/>
          </w:tcPr>
          <w:p>
            <w:pPr>
              <w:jc w:val="center"/>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93.2%</w:t>
            </w:r>
          </w:p>
        </w:tc>
      </w:tr>
      <w:tr>
        <w:trPr>
          <w:trHeight w:val="217"/>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15, 2018</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92.8%</w:t>
            </w:r>
          </w:p>
        </w:tc>
      </w:tr>
      <w:tr>
        <w:trPr>
          <w:trHeight w:val="215"/>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16, 2020</w:t>
            </w:r>
          </w:p>
        </w:tc>
        <w:tc>
          <w:tcPr>
            <w:tcW w:w="1840" w:type="dxa"/>
            <w:vAlign w:val="bottom"/>
          </w:tcPr>
          <w:p>
            <w:pPr>
              <w:jc w:val="center"/>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83.0%</w:t>
            </w:r>
          </w:p>
        </w:tc>
      </w:tr>
      <w:tr>
        <w:trPr>
          <w:trHeight w:val="217"/>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Lugano </w:t>
            </w:r>
            <w:r>
              <w:rPr>
                <w:rFonts w:ascii="Arial" w:cs="Arial" w:eastAsia="Arial" w:hAnsi="Arial"/>
                <w:sz w:val="16"/>
                <w:szCs w:val="16"/>
                <w:b w:val="1"/>
                <w:bCs w:val="1"/>
                <w:color w:val="auto"/>
              </w:rPr>
              <w:t>*</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3, 2021</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5"/>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PrimaLoft</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July 12, 2022</w:t>
            </w:r>
          </w:p>
        </w:tc>
        <w:tc>
          <w:tcPr>
            <w:tcW w:w="1840" w:type="dxa"/>
            <w:vAlign w:val="bottom"/>
          </w:tcPr>
          <w:p>
            <w:pPr>
              <w:jc w:val="center"/>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84.7%</w:t>
            </w:r>
          </w:p>
        </w:tc>
      </w:tr>
      <w:tr>
        <w:trPr>
          <w:trHeight w:val="217"/>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31, 2024</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76.4%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Lugano was deconsolidated on November 16, 2025. The Company retained its equity interest in Lugano at March 31, 2026.</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categorize our subsidiary businesses into two separate groups of businesses: (i) branded consumer businesses, and (ii) industrial businesses. Branded consumer businesses are those businesses that we believe capitalize on a valuable brand name in their respective market sectors. We believe that our branded consumer businesses are leaders in their respective particular product categories. Industrial businesses are those businesses that focus on manufacturing and selling particular products and/ or industrial services within a specific market sector. We believe that our industrial businesses are leaders in their specific market sector. We previously announced our desire to acquire businesses in the healthcare sector, with a focus on outsourced pharma, medical manufacturing services and provider services. We have not yet acquired a business in the healthcare sector.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overview of each of our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global apparel, footwear, and gear company serving consumers who demand performance, durability, and versatility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training, and adventure. 5.11 is a brand known for innovation and authenticity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8"/>
          <w:szCs w:val="18"/>
          <w:color w:val="auto"/>
        </w:rPr>
        <w:t>and works directly with end users to create purpose-built apparel, footwear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BOA </w:t>
      </w:r>
      <w:r>
        <w:rPr>
          <w:rFonts w:ascii="Arial" w:cs="Arial" w:eastAsia="Arial" w:hAnsi="Arial"/>
          <w:sz w:val="18"/>
          <w:szCs w:val="18"/>
          <w:color w:val="auto"/>
        </w:rPr>
        <w:t>- BOA, creator of the award-winning, patented BOA Fit System, partners with market-leading brands to make the best gear even better.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PrimaLoft - </w:t>
      </w:r>
      <w:r>
        <w:rPr>
          <w:rFonts w:ascii="Arial" w:cs="Arial" w:eastAsia="Arial" w:hAnsi="Arial"/>
          <w:sz w:val="18"/>
          <w:szCs w:val="18"/>
          <w:color w:val="auto"/>
        </w:rPr>
        <w:t>PrimaLoft is a leading provider of branded, high-performance synthetic insulation and materials used primarily in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Honey Pot Co</w:t>
      </w:r>
      <w:r>
        <w:rPr>
          <w:rFonts w:ascii="Arial" w:cs="Arial" w:eastAsia="Arial" w:hAnsi="Arial"/>
          <w:sz w:val="18"/>
          <w:szCs w:val="18"/>
          <w:color w:val="auto"/>
        </w:rPr>
        <w:t>. - The Honey Pot Co. is a leading “better-for-you” feminine care brand, powered by plant-derived ingredients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clinically tested formulas. Founded in 2012, The Honey Pot Co. is rooted in the belief that all products should be made with healthy and efficacious ingredients that are kind to and safe for skin. The Honey Pot Co.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Velocity Outdoor is a leading designer, manufacturer, and marketer of archery products, hunting apparel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 Rochester, New York.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Altor Solutions </w:t>
      </w:r>
      <w:r>
        <w:rPr>
          <w:rFonts w:ascii="Arial" w:cs="Arial" w:eastAsia="Arial" w:hAnsi="Arial"/>
          <w:sz w:val="18"/>
          <w:szCs w:val="18"/>
          <w:color w:val="auto"/>
        </w:rPr>
        <w:t>- Founded in 1957 and headquartered in St. Louis, Missouri, Altor Solutions is a designer and manufacturer of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molded cold chain and protective foam solutions including OEM components made from EPS and EPP. Altor operates molding and fabricating facilities across North America and provides products to a variety of end-markets, including appliances and electronics, pharmaceuticals, health and wellness, building products and others.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general industrial, motorsport/ transportation,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energy, semiconductor and advertising specialties. Over the course of more than 100 years, Arnold has successfully evolved and adapted its products, technologies, and manufacturing presence to meet the demands of current and emerging markets.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Texarkana, Texas, is the parent company of Sterno and Rimports. Sterno is a leading manufacturer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marketer of portable food warming systems. Sterno also produces creative indoor and outdoor lighting and home fragrance solutions for consumer markets. Sterno offers a broad range of wick and gel chafing systems, butane stoves and accessories, liquid and traditional wax candles, catering equipment and lamps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2" w:name="page43"/>
    <w:bookmarkEnd w:id="42"/>
    <w:p>
      <w:pPr>
        <w:jc w:val="both"/>
        <w:spacing w:after="0" w:line="287" w:lineRule="auto"/>
        <w:rPr>
          <w:sz w:val="20"/>
          <w:szCs w:val="20"/>
          <w:color w:val="auto"/>
        </w:rPr>
      </w:pPr>
      <w:r>
        <w:rPr>
          <w:rFonts w:ascii="Arial" w:cs="Arial" w:eastAsia="Arial" w:hAnsi="Arial"/>
          <w:sz w:val="18"/>
          <w:szCs w:val="18"/>
          <w:color w:val="auto"/>
        </w:rPr>
        <w:t>through Sterno Products, as well as scented wax cubes, warmer products, outdoor lighting and essential oils used for home decor and fragrance systems, through Rimports.</w:t>
      </w:r>
    </w:p>
    <w:p>
      <w:pPr>
        <w:spacing w:after="0" w:line="155" w:lineRule="exact"/>
        <w:rPr>
          <w:sz w:val="20"/>
          <w:szCs w:val="20"/>
          <w:color w:val="auto"/>
        </w:rPr>
      </w:pPr>
    </w:p>
    <w:p>
      <w:pPr>
        <w:ind w:right="5340"/>
        <w:spacing w:after="0" w:line="405" w:lineRule="auto"/>
        <w:rPr>
          <w:sz w:val="20"/>
          <w:szCs w:val="20"/>
          <w:color w:val="auto"/>
        </w:rPr>
      </w:pPr>
      <w:r>
        <w:rPr>
          <w:rFonts w:ascii="Arial" w:cs="Arial" w:eastAsia="Arial" w:hAnsi="Arial"/>
          <w:sz w:val="18"/>
          <w:szCs w:val="18"/>
          <w:i w:val="1"/>
          <w:iCs w:val="1"/>
          <w:color w:val="auto"/>
        </w:rPr>
        <w:t>2026 Outlook and Significant Trends Impacting our Subsidiary Businesses Macroeconomic Trends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macroeconomic environment remains choppy, as geopolitical uncertainty and evolving trade dynamics continue to impact the operating environment; however, we believe that our diversified businesses have characteristics that may help them navigate these conditions, including leading positions in a number of categories and a disciplined focus on operating execution. Macroeconomic conditions affect our subsidiaries differently given our mix of branded consumer and industrial businesses. For our branded consumer businesses, changes in consumer confidence, discretionary spending and promotional intensity can affect demand, channel inventory levels and pricing, while persistent inflation in household essentials may continue to pressure consumer budgets in certain categories. For our industrial businesses, end-market activity and customer capital spending may be influenced by interest rates and broader manufacturing and infrastructure conditions, which can impact order patterns and project timing. Across the portfolio, we continue to experience input-cost volatility (including labor, freight and certain commodities and packaging materials), and the extent to which we can offset higher costs through pricing actions depends on competitive dynamics, contractual terms and customer demand. While changes in benchmark rates and credit spreads can affect financing markets more broadly, a significant portion of our outstanding debt is fixed-rate and, as a result, our consolidated interest expense is generally less sensitive in the near term to changes in market rates and credit spreads than it would be under a predominantly variable-rate capital structure. However, higher rates and tighter credit conditions may still affect the availability and cost of incremental financing (including for refinancings), as well as consumer and business demand and our customers’ spending decisions. Finally, evolving trade and tariff policies and supply chain reconfiguration may require certain subsidiaries to adjust sourcing, manufacturing footprint and inventory positioning, which can increase working capital requirements and, in some cases, create intermittent disruptions (including those experienced by Arnold in connection with export licensing requirements in China).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Geopolitics and Trade Policy</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Geopolitical conditions remained volatile in the first quarter of 2026, and that volatility has continued to contribute to variability in energy markets, freight and logistics. In particular, the conflict in the Middle East involving Iran has increased volatility in global energy markets and shipping conditions, including heightened risk of disruption in key maritime chokepoints and higher freight costs. During the quarter, crude oil and refined product prices experienced significant volatility, which has flowed through to higher (and more variable) energy, transportation and logistics costs for certain of our businesses and, in some cases, has contributed to changes in consumer and customer demand patterns. In addition, trade and tariff policy uncertainty has remained elevated. Our subsidiaries have continued to diversify sourcing and reduce concentrated exposure to China; however, the risk of new or expanded tariffs across multiple regions and product categories has persisted, and our businesses have continued to manage this risk through sourcing actions, pricing initiatives and, where appropriate, inventory positioning. Further, a recent U.S. Supreme Court ruling related to certain tariff authorities has increased uncertainty regarding the interpretation and administration of certain tariffs, including uncertainty regarding the entitlement to, and timing of, refunds of previously paid tariffs. While we may be entitled to refunds of certain previously paid tariffs, the timing and magnitude of any such recoveries remain uncertain, which has contributed to variability in cost recovery expectations and working capital planning. We also continue to experience regulatory and trade restrictions affecting certain cross-border shipments, including constraints on one of our subsidiaries, Arnold Magnetic Technologies, to export certain products from China due to heightened export licensing requirements. While these dynamics may support higher longer-term demand for Arnold’s solutions as customers seek more resilient and predictable supply chains, the timing and magnitude of any such demand shift remains uncertain. We continue to monitor geopolitical developments, tariff policies and related government actions and will adjust our strategies to mitigate impacts as conditions evolve.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Outlook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near-term focus remains on strengthening the balance sheet, maintaining liquidity, and executing our day-to-day operating plan across our subsidiaries. Reducing leverage is our top financial priority, which we are pursuing through organic free cash flow generation and targeted divestitures, including the sale of Sterno's food service business, which closed in the second quarter of 2026, the net proceeds of which we expect to apply to repayment of senior 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Our operating priorities for 2026 include: (i) generating free cash flow through improved operating performance, disciplined capital spending, and focused working capital management; (ii) driving profitable growth through product innovation, distribution expansion, and customer wins where returns are attractive; (iii) protecting margins through pricing actions, productivity initiatives, and active management of input-cost volatility; and (iv) enhancing resilience and oversight through supply chain diversification, selective technology investments, and continued improvement of governance and financial reporting processes.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Lugano Restatement and Deconsolidation</w:t>
      </w:r>
    </w:p>
    <w:p>
      <w:pPr>
        <w:spacing w:after="0" w:line="1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As previously disclosed, following concerns reported to the Company’s management, the Company commenced the Lugano Investigation. As a result of the Lugano Investigation, the Company determined that the Company’s previously issued financial statements for fiscal years 2022, 2023 and 2024, including other interim and full-year financial information, should no longer be relied upon. In connection with the restatement process, the Company corrected these errors in its 2024 Form 10</w:t>
      </w:r>
      <w:r>
        <w:rPr>
          <w:rFonts w:ascii="MS PGothic" w:cs="MS PGothic" w:eastAsia="MS PGothic" w:hAnsi="MS PGothic"/>
          <w:sz w:val="18"/>
          <w:szCs w:val="18"/>
          <w:color w:val="auto"/>
        </w:rPr>
        <w:t>‑</w:t>
      </w:r>
      <w:r>
        <w:rPr>
          <w:rFonts w:ascii="Arial" w:cs="Arial" w:eastAsia="Arial" w:hAnsi="Arial"/>
          <w:sz w:val="18"/>
          <w:szCs w:val="18"/>
          <w:color w:val="auto"/>
        </w:rPr>
        <w:t>K/A, which was filed on December 8, 2025. The Company then filed its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Q for the first, second and third quarters of 2025, on December 18, 2025, December 29, 2025, and January 14, 2026, respectively. In addition, as a result of the Lugano Bankruptcy, effective November 16, 2025, Lugano and its subsidiaries were deconsolidated from the Company’s consolidated financial statements in accordance with ASC 810 – </w:t>
      </w:r>
      <w:r>
        <w:rPr>
          <w:rFonts w:ascii="Arial" w:cs="Arial" w:eastAsia="Arial" w:hAnsi="Arial"/>
          <w:sz w:val="18"/>
          <w:szCs w:val="18"/>
          <w:i w:val="1"/>
          <w:iCs w:val="1"/>
          <w:color w:val="auto"/>
        </w:rPr>
        <w:t>Consolidation</w:t>
      </w:r>
      <w:r>
        <w:rPr>
          <w:rFonts w:ascii="Arial" w:cs="Arial" w:eastAsia="Arial" w:hAnsi="Arial"/>
          <w:sz w:val="18"/>
          <w:szCs w:val="18"/>
          <w:color w:val="auto"/>
        </w:rPr>
        <w:t>. Accordingly, the results of Lugano are included in the Company’s consolidated results through November 16, 2025, and periods subsequent to that date do not include Lugano’s results of operations, assets or liabilities, except to the extent of any retained interest or other continuing involvement recognized in accordance with applicable accounting guidance.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 Sale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28, 2026, we signed an Agreement and Plan of Merger (the “Merger Agreement”) to sell Sterno, which we own approximately 92% of on a fully diluted basis. Under the Merger Agreement, WCHG Buyer, Inc. (the “Buyer”) will acquire Sterno’s food service business through the merger of a Buyer subsidiary with and into Sterno, with Sterno surviving as a wholly owned subsidiary of the Buyer. Immediately before the closing, Sterno is expected to distribute all of the equity interests in its indirect wholly owned subsidiary, Rimports, LLC (“Rimports”), to Sterno’s stockholders (the “Rimports Distribution”). After the Rimports Distribution, Rimports (which holds Sterno’s home fragrance business) will to remain a majority owned subsidiary of CODI.</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Sterno sale closed on May 1, 2026. The sale price was based on an enterprise value of $292.5 million, subject to customary adjustments (including for transaction expenses, change-of-control payments, and Sterno’s net working capital, cash and debt at closing), excluding Rimports and its subsidiaries. After the allocation of the sale price to Sterno’s non-controlling Stockholders and payment of transaction costs, CODI received approximately $282 million of total proceeds at closing. This amount is in respect to the Company's outstanding loans to Sterno (including accrued interest) and its equity interests in Sterno. The proceeds will be used to pay down outstanding debt under the Company’s senior credit facility. CODI expects to record a gain on the sale of Sterno’s food service business in the quarter ending June 30, 2026.</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the assets and liabilities to be sold in the Sterno transaction were classified as held for sale in accordance with applicable U.S. GAAP.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Sale Leaseback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23, 2026, Altor completed a sale leaseback transaction for its manufacturing facilities in Bloomsburg, Pennsylvania; New Albany, Indiana; and El Dorado Springs, Missouri (the “Properties”). Under the purchase and sale agreement, Altor sold the land, buildings and certain integrated fixtures to the buyer/lessor for total consideration of $11.75 million. At the same time, Altor entered into a 20 year triple-net master lease to lease back all three Properties. As required by the Fifth amendment to the 2022 Credit Facility, the Company made a payment of the amount of the net proceeds to reduce the term loan under the 2022 Credit Facility by $11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results of operations contained in this report, which have been prepared and presented in accordance with accounting principles generally accepted in the United States of America ("U.S. GAAP" or "GAAP"), we have also included supplemental information concerning our results of operations on a non-GAAP basis. A non-GAAP financial measure is a numerical measure of historical or future performance, financial position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4" w:name="page45"/>
    <w:bookmarkEnd w:id="44"/>
    <w:p>
      <w:pPr>
        <w:jc w:val="both"/>
        <w:spacing w:after="0" w:line="262" w:lineRule="auto"/>
        <w:rPr>
          <w:sz w:val="20"/>
          <w:szCs w:val="20"/>
          <w:color w:val="auto"/>
        </w:rPr>
      </w:pPr>
      <w:r>
        <w:rPr>
          <w:rFonts w:ascii="Arial" w:cs="Arial" w:eastAsia="Arial" w:hAnsi="Arial"/>
          <w:sz w:val="18"/>
          <w:szCs w:val="18"/>
          <w:color w:val="auto"/>
        </w:rPr>
        <w:t>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“Reconciliation of Non-GAAP Financial Measures” for further discussion of our non-GAAP financial measures and related reconciliations.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months ended March 31, 2026 and March 31, 2025, and components of the results of operations for each of our operating segments on a stand-alone basis.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Lugano Bankruptcy - </w:t>
      </w:r>
      <w:r>
        <w:rPr>
          <w:rFonts w:ascii="Arial" w:cs="Arial" w:eastAsia="Arial" w:hAnsi="Arial"/>
          <w:sz w:val="18"/>
          <w:szCs w:val="18"/>
          <w:color w:val="auto"/>
        </w:rPr>
        <w:t>In November 2025, Lugano and certain of its subsidiaries filed the Lugano Bankruptcy. As a result of the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filing, the Company no longer maintained a controlling financial interest in Lugano and, accordingly, deconsolidated Lugano and its subsidiaries in accordance with ASC 810 - </w:t>
      </w:r>
      <w:r>
        <w:rPr>
          <w:rFonts w:ascii="Arial" w:cs="Arial" w:eastAsia="Arial" w:hAnsi="Arial"/>
          <w:sz w:val="18"/>
          <w:szCs w:val="18"/>
          <w:i w:val="1"/>
          <w:iCs w:val="1"/>
          <w:color w:val="auto"/>
        </w:rPr>
        <w:t>Consolidation</w:t>
      </w:r>
      <w:r>
        <w:rPr>
          <w:rFonts w:ascii="Arial" w:cs="Arial" w:eastAsia="Arial" w:hAnsi="Arial"/>
          <w:sz w:val="18"/>
          <w:szCs w:val="18"/>
          <w:color w:val="auto"/>
        </w:rPr>
        <w:t>. The results of operations of Lugano are included in the Company’s consolidated results through the date control was lost. From that date forward, Lugano is no longer included as an operating segment of the Company. Following deconsolidation, the Company’s continuing involvement with Lugano is limited to its claims in the bankruptcy proceedings, including any secured positions.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following results of operations, we provide (i) our actual Consolidated Results of Operations for the three months ended March 31, 2026 and 2025, which includes the historical results of operations of each of our businesses (operating segments) from the date of acquisition in accordance with US GAAP, and (ii) comparative historical components of the results of operations for each of our businesses on a stand-alone basis for the three months ended March 31, 2026 and 2025. The following results of operations at each of our businesses are not necessarily indicative of the results to be expected for a full year.</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dollar amounts in the financial tables are presented in thousands. Certain amounts and percentages may not sum or recalculate due to the presentation of rounded numbers. Amounts discussed within the supporting narrative are calculated based on unrounded numbers and consequently the sum of the components may not agree to totals using the rounded numbers provided. References in the financial tables to percentage changes that are not meaningful are denoted by "NM."</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 Year-to-Date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2026 compared to three months ended March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periods indicated, in dollars and as a percentage of net revenues:</w:t>
      </w:r>
    </w:p>
    <w:p>
      <w:pPr>
        <w:spacing w:after="0" w:line="143"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8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r>
      <w:tr>
        <w:trPr>
          <w:trHeight w:val="196"/>
        </w:trPr>
        <w:tc>
          <w:tcPr>
            <w:tcW w:w="4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b w:val="1"/>
                <w:bCs w:val="1"/>
                <w:color w:val="auto"/>
              </w:rPr>
              <w:t>March 31, 2026</w:t>
            </w: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March 31, 2025</w:t>
            </w:r>
          </w:p>
        </w:tc>
        <w:tc>
          <w:tcPr>
            <w:tcW w:w="700" w:type="dxa"/>
            <w:vAlign w:val="bottom"/>
            <w:tcBorders>
              <w:bottom w:val="single" w:sz="8" w:color="auto"/>
            </w:tcBorders>
          </w:tcPr>
          <w:p>
            <w:pPr>
              <w:spacing w:after="0"/>
              <w:rPr>
                <w:sz w:val="17"/>
                <w:szCs w:val="17"/>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426,855</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453,775</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1"/>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237,497</w:t>
            </w:r>
          </w:p>
        </w:tc>
        <w:tc>
          <w:tcPr>
            <w:tcW w:w="3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55.6 %</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257,743</w:t>
            </w:r>
          </w:p>
        </w:tc>
        <w:tc>
          <w:tcPr>
            <w:tcW w:w="4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56.8 %</w:t>
            </w:r>
          </w:p>
        </w:tc>
      </w:tr>
      <w:tr>
        <w:trPr>
          <w:trHeight w:val="197"/>
        </w:trPr>
        <w:tc>
          <w:tcPr>
            <w:tcW w:w="4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189,358</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44.4 %</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196,032</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43.2 %</w:t>
            </w:r>
          </w:p>
        </w:tc>
      </w:tr>
      <w:tr>
        <w:trPr>
          <w:trHeight w:val="201"/>
        </w:trPr>
        <w:tc>
          <w:tcPr>
            <w:tcW w:w="420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4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132,010</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30.9 %</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150,377</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33.1 %</w:t>
            </w:r>
          </w:p>
        </w:tc>
      </w:tr>
      <w:tr>
        <w:trPr>
          <w:trHeight w:val="204"/>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Management fees</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15,934</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3.7 %</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18,863</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4.2 %</w:t>
            </w:r>
          </w:p>
        </w:tc>
      </w:tr>
      <w:tr>
        <w:trPr>
          <w:trHeight w:val="201"/>
        </w:trPr>
        <w:tc>
          <w:tcPr>
            <w:tcW w:w="4200" w:type="dxa"/>
            <w:vAlign w:val="bottom"/>
          </w:tcPr>
          <w:p>
            <w:pPr>
              <w:ind w:left="20"/>
              <w:spacing w:after="0"/>
              <w:rPr>
                <w:sz w:val="20"/>
                <w:szCs w:val="20"/>
                <w:color w:val="auto"/>
              </w:rPr>
            </w:pPr>
            <w:r>
              <w:rPr>
                <w:rFonts w:ascii="Arial" w:cs="Arial" w:eastAsia="Arial" w:hAnsi="Arial"/>
                <w:sz w:val="15"/>
                <w:szCs w:val="15"/>
                <w:color w:val="auto"/>
              </w:rPr>
              <w:t>Amortization expense</w:t>
            </w:r>
          </w:p>
        </w:tc>
        <w:tc>
          <w:tcPr>
            <w:tcW w:w="4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22,844</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5.4 %</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23,351</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5.1 %</w:t>
            </w:r>
          </w:p>
        </w:tc>
      </w:tr>
      <w:tr>
        <w:trPr>
          <w:trHeight w:val="204"/>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expense</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20,500</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4.8 %</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5"/>
        </w:trPr>
        <w:tc>
          <w:tcPr>
            <w:tcW w:w="4200" w:type="dxa"/>
            <w:vAlign w:val="bottom"/>
          </w:tcPr>
          <w:p>
            <w:pPr>
              <w:ind w:left="220"/>
              <w:spacing w:after="0"/>
              <w:rPr>
                <w:sz w:val="20"/>
                <w:szCs w:val="20"/>
                <w:color w:val="auto"/>
              </w:rPr>
            </w:pPr>
            <w:r>
              <w:rPr>
                <w:rFonts w:ascii="Arial" w:cs="Arial" w:eastAsia="Arial" w:hAnsi="Arial"/>
                <w:sz w:val="15"/>
                <w:szCs w:val="15"/>
                <w:color w:val="auto"/>
              </w:rPr>
              <w:t>Operating income (loss)</w:t>
            </w:r>
          </w:p>
        </w:tc>
        <w:tc>
          <w:tcPr>
            <w:tcW w:w="4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(1,930)</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3,441</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0.8 %</w:t>
            </w:r>
          </w:p>
        </w:tc>
      </w:tr>
      <w:tr>
        <w:trPr>
          <w:trHeight w:val="204"/>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(27,495)</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(35,851)</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r>
      <w:tr>
        <w:trPr>
          <w:trHeight w:val="201"/>
        </w:trPr>
        <w:tc>
          <w:tcPr>
            <w:tcW w:w="4200" w:type="dxa"/>
            <w:vAlign w:val="bottom"/>
          </w:tcPr>
          <w:p>
            <w:pPr>
              <w:ind w:left="20"/>
              <w:spacing w:after="0"/>
              <w:rPr>
                <w:sz w:val="20"/>
                <w:szCs w:val="20"/>
                <w:color w:val="auto"/>
              </w:rPr>
            </w:pPr>
            <w:r>
              <w:rPr>
                <w:rFonts w:ascii="Arial" w:cs="Arial" w:eastAsia="Arial" w:hAnsi="Arial"/>
                <w:sz w:val="15"/>
                <w:szCs w:val="15"/>
                <w:color w:val="auto"/>
              </w:rPr>
              <w:t>Amortization of debt issuance costs</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(2,047)</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(1,125)</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04"/>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4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7,705</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(13,681)</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9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Loss from continuing operations before income taxes</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(23,767)</w:t>
            </w:r>
          </w:p>
        </w:tc>
        <w:tc>
          <w:tcPr>
            <w:tcW w:w="3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w:t>
            </w: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(47,216)</w:t>
            </w:r>
          </w:p>
        </w:tc>
        <w:tc>
          <w:tcPr>
            <w:tcW w:w="4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(10.4)%</w:t>
            </w: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4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7,064</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2,538</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0.6 %</w:t>
            </w:r>
          </w:p>
        </w:tc>
      </w:tr>
      <w:tr>
        <w:trPr>
          <w:trHeight w:val="197"/>
        </w:trPr>
        <w:tc>
          <w:tcPr>
            <w:tcW w:w="4200" w:type="dxa"/>
            <w:vAlign w:val="bottom"/>
          </w:tcPr>
          <w:p>
            <w:pPr>
              <w:ind w:left="220"/>
              <w:spacing w:after="0"/>
              <w:rPr>
                <w:sz w:val="20"/>
                <w:szCs w:val="20"/>
                <w:color w:val="auto"/>
              </w:rPr>
            </w:pPr>
            <w:r>
              <w:rPr>
                <w:rFonts w:ascii="Arial" w:cs="Arial" w:eastAsia="Arial" w:hAnsi="Arial"/>
                <w:sz w:val="15"/>
                <w:szCs w:val="15"/>
                <w:color w:val="auto"/>
              </w:rPr>
              <w:t>Net loss from continuing operations</w:t>
            </w:r>
          </w:p>
        </w:tc>
        <w:tc>
          <w:tcPr>
            <w:tcW w:w="4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(30,831)</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(7.2)%</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(49,754)</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1"/>
        </w:trPr>
        <w:tc>
          <w:tcPr>
            <w:tcW w:w="4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8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gridSpan w:val="3"/>
          </w:tcPr>
          <w:p>
            <w:pPr>
              <w:jc w:val="right"/>
              <w:ind w:right="164"/>
              <w:spacing w:after="0"/>
              <w:rPr>
                <w:sz w:val="20"/>
                <w:szCs w:val="20"/>
                <w:color w:val="auto"/>
              </w:rPr>
            </w:pPr>
            <w:r>
              <w:rPr>
                <w:rFonts w:ascii="Arial" w:cs="Arial" w:eastAsia="Arial" w:hAnsi="Arial"/>
                <w:sz w:val="15"/>
                <w:szCs w:val="15"/>
                <w:b w:val="1"/>
                <w:bCs w:val="1"/>
                <w:color w:val="auto"/>
              </w:rPr>
              <w:t>Three months ended</w:t>
            </w:r>
          </w:p>
        </w:tc>
        <w:tc>
          <w:tcPr>
            <w:tcW w:w="9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196"/>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340" w:type="dxa"/>
            <w:vAlign w:val="bottom"/>
          </w:tcPr>
          <w:p>
            <w:pPr>
              <w:spacing w:after="0"/>
              <w:rPr>
                <w:sz w:val="17"/>
                <w:szCs w:val="17"/>
                <w:color w:val="auto"/>
              </w:rPr>
            </w:pPr>
          </w:p>
        </w:tc>
        <w:tc>
          <w:tcPr>
            <w:tcW w:w="2300" w:type="dxa"/>
            <w:vAlign w:val="bottom"/>
            <w:gridSpan w:val="2"/>
          </w:tcPr>
          <w:p>
            <w:pPr>
              <w:jc w:val="right"/>
              <w:ind w:right="5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123,972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129,370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r>
      <w:tr>
        <w:trPr>
          <w:trHeight w:val="201"/>
        </w:trPr>
        <w:tc>
          <w:tcPr>
            <w:tcW w:w="3700" w:type="dxa"/>
            <w:vAlign w:val="bottom"/>
          </w:tcPr>
          <w:p>
            <w:pPr>
              <w:ind w:left="20"/>
              <w:spacing w:after="0"/>
              <w:rPr>
                <w:sz w:val="20"/>
                <w:szCs w:val="20"/>
                <w:color w:val="auto"/>
              </w:rPr>
            </w:pPr>
            <w:r>
              <w:rPr>
                <w:rFonts w:ascii="Arial" w:cs="Arial" w:eastAsia="Arial" w:hAnsi="Arial"/>
                <w:sz w:val="15"/>
                <w:szCs w:val="15"/>
                <w:color w:val="auto"/>
              </w:rPr>
              <w:t>BOA</w:t>
            </w: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52,107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48,877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3,230</w:t>
            </w:r>
          </w:p>
        </w:tc>
        <w:tc>
          <w:tcPr>
            <w:tcW w:w="1320" w:type="dxa"/>
            <w:vAlign w:val="bottom"/>
          </w:tcPr>
          <w:p>
            <w:pPr>
              <w:jc w:val="right"/>
              <w:spacing w:after="0"/>
              <w:rPr>
                <w:sz w:val="20"/>
                <w:szCs w:val="20"/>
                <w:color w:val="auto"/>
              </w:rPr>
            </w:pPr>
            <w:r>
              <w:rPr>
                <w:rFonts w:ascii="Arial" w:cs="Arial" w:eastAsia="Arial" w:hAnsi="Arial"/>
                <w:sz w:val="15"/>
                <w:szCs w:val="15"/>
                <w:color w:val="auto"/>
              </w:rPr>
              <w:t>6.6 %</w:t>
            </w:r>
          </w:p>
        </w:tc>
      </w:tr>
      <w:tr>
        <w:trPr>
          <w:trHeight w:val="204"/>
        </w:trPr>
        <w:tc>
          <w:tcPr>
            <w:tcW w:w="3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2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26,845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(26,845)</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1"/>
        </w:trPr>
        <w:tc>
          <w:tcPr>
            <w:tcW w:w="3700" w:type="dxa"/>
            <w:vAlign w:val="bottom"/>
          </w:tcPr>
          <w:p>
            <w:pPr>
              <w:ind w:left="20"/>
              <w:spacing w:after="0"/>
              <w:rPr>
                <w:sz w:val="20"/>
                <w:szCs w:val="20"/>
                <w:color w:val="auto"/>
              </w:rPr>
            </w:pPr>
            <w:r>
              <w:rPr>
                <w:rFonts w:ascii="Arial" w:cs="Arial" w:eastAsia="Arial" w:hAnsi="Arial"/>
                <w:sz w:val="15"/>
                <w:szCs w:val="15"/>
                <w:color w:val="auto"/>
              </w:rPr>
              <w:t>PrimaLoft</w:t>
            </w: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21,916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23,645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(1,729)</w:t>
            </w:r>
          </w:p>
        </w:tc>
        <w:tc>
          <w:tcPr>
            <w:tcW w:w="132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04"/>
        </w:trPr>
        <w:tc>
          <w:tcPr>
            <w:tcW w:w="3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45,159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8,968</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24.8 %</w:t>
            </w:r>
          </w:p>
        </w:tc>
      </w:tr>
      <w:tr>
        <w:trPr>
          <w:trHeight w:val="201"/>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13,826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13,201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625</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4.7 %</w:t>
            </w:r>
          </w:p>
        </w:tc>
      </w:tr>
      <w:tr>
        <w:trPr>
          <w:trHeight w:val="197"/>
        </w:trPr>
        <w:tc>
          <w:tcPr>
            <w:tcW w:w="3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Branded Consumer</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256,980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278,129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(21,149)</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201"/>
        </w:trPr>
        <w:tc>
          <w:tcPr>
            <w:tcW w:w="3700" w:type="dxa"/>
            <w:vAlign w:val="bottom"/>
          </w:tcPr>
          <w:p>
            <w:pPr>
              <w:ind w:left="20"/>
              <w:spacing w:after="0"/>
              <w:rPr>
                <w:sz w:val="20"/>
                <w:szCs w:val="20"/>
                <w:color w:val="auto"/>
              </w:rPr>
            </w:pPr>
            <w:r>
              <w:rPr>
                <w:rFonts w:ascii="Arial" w:cs="Arial" w:eastAsia="Arial" w:hAnsi="Arial"/>
                <w:sz w:val="15"/>
                <w:szCs w:val="15"/>
                <w:color w:val="auto"/>
              </w:rPr>
              <w:t>Altor</w:t>
            </w: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64,642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76,257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(11,615)</w:t>
            </w:r>
          </w:p>
        </w:tc>
        <w:tc>
          <w:tcPr>
            <w:tcW w:w="1320" w:type="dxa"/>
            <w:vAlign w:val="bottom"/>
          </w:tcPr>
          <w:p>
            <w:pPr>
              <w:jc w:val="right"/>
              <w:spacing w:after="0"/>
              <w:rPr>
                <w:sz w:val="20"/>
                <w:szCs w:val="20"/>
                <w:color w:val="auto"/>
              </w:rPr>
            </w:pPr>
            <w:r>
              <w:rPr>
                <w:rFonts w:ascii="Arial" w:cs="Arial" w:eastAsia="Arial" w:hAnsi="Arial"/>
                <w:sz w:val="15"/>
                <w:szCs w:val="15"/>
                <w:color w:val="auto"/>
              </w:rPr>
              <w:t>(15.2)%</w:t>
            </w:r>
          </w:p>
        </w:tc>
      </w:tr>
      <w:tr>
        <w:trPr>
          <w:trHeight w:val="204"/>
        </w:trPr>
        <w:tc>
          <w:tcPr>
            <w:tcW w:w="3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40,183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34,008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6,175</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18.2 %</w:t>
            </w:r>
          </w:p>
        </w:tc>
      </w:tr>
      <w:tr>
        <w:trPr>
          <w:trHeight w:val="201"/>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65,050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65,381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(0.5)%</w:t>
            </w:r>
          </w:p>
        </w:tc>
      </w:tr>
      <w:tr>
        <w:trPr>
          <w:trHeight w:val="196"/>
        </w:trPr>
        <w:tc>
          <w:tcPr>
            <w:tcW w:w="3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Industrial</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169,875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175,646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(5,771)</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197"/>
        </w:trPr>
        <w:tc>
          <w:tcPr>
            <w:tcW w:w="3700" w:type="dxa"/>
            <w:vAlign w:val="bottom"/>
          </w:tcPr>
          <w:p>
            <w:pPr>
              <w:ind w:left="20"/>
              <w:spacing w:after="0"/>
              <w:rPr>
                <w:sz w:val="20"/>
                <w:szCs w:val="20"/>
                <w:color w:val="auto"/>
              </w:rPr>
            </w:pPr>
            <w:r>
              <w:rPr>
                <w:rFonts w:ascii="Arial" w:cs="Arial" w:eastAsia="Arial" w:hAnsi="Arial"/>
                <w:sz w:val="15"/>
                <w:szCs w:val="15"/>
                <w:b w:val="1"/>
                <w:bCs w:val="1"/>
                <w:color w:val="auto"/>
              </w:rPr>
              <w:t>Consolidated net revenues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426,855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453,775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(26,920)</w:t>
            </w:r>
          </w:p>
        </w:tc>
        <w:tc>
          <w:tcPr>
            <w:tcW w:w="13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net revenues for the three months ended March 31, 2026 decreased by approximately $26.9 million, or 5.9%, compared to the corresponding period in 2025. During the three months ended March 31, 2026 compared to 2025, we saw notable increases in net revenues at BOA ($3.2 million increase), The Honey Pot Co. ($9.0 million increase), and Arnold ($6.2 million increase). These increases in net revenue were offset by decreases in net revenue at 5.11 ($5.4 million decrease) and Altor ($11.6 million decrease). Lugano recognized $26.8 million in revenue in the quarter ended March 31, 2025 which was nonrecurring due to the Lugano bankruptcy in November 2025. Refer to "Results of Operations - Operating Segments - Year-to-Date" for a more detailed analysis of net revenues by operating segment.</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300" w:type="dxa"/>
            <w:vAlign w:val="bottom"/>
          </w:tcPr>
          <w:p>
            <w:pPr>
              <w:spacing w:after="0"/>
              <w:rPr>
                <w:sz w:val="17"/>
                <w:szCs w:val="17"/>
                <w:color w:val="auto"/>
              </w:rPr>
            </w:pPr>
          </w:p>
        </w:tc>
        <w:tc>
          <w:tcPr>
            <w:tcW w:w="2100" w:type="dxa"/>
            <w:vAlign w:val="bottom"/>
            <w:gridSpan w:val="3"/>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67,584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69,748</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4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01"/>
        </w:trPr>
        <w:tc>
          <w:tcPr>
            <w:tcW w:w="3560" w:type="dxa"/>
            <w:vAlign w:val="bottom"/>
          </w:tcPr>
          <w:p>
            <w:pPr>
              <w:ind w:left="20"/>
              <w:spacing w:after="0"/>
              <w:rPr>
                <w:sz w:val="20"/>
                <w:szCs w:val="20"/>
                <w:color w:val="auto"/>
              </w:rPr>
            </w:pPr>
            <w:r>
              <w:rPr>
                <w:rFonts w:ascii="Arial" w:cs="Arial" w:eastAsia="Arial" w:hAnsi="Arial"/>
                <w:sz w:val="15"/>
                <w:szCs w:val="15"/>
                <w:color w:val="auto"/>
              </w:rPr>
              <w:t>BOA</w:t>
            </w:r>
          </w:p>
        </w:tc>
        <w:tc>
          <w:tcPr>
            <w:tcW w:w="26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34,128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ind w:right="124"/>
              <w:spacing w:after="0"/>
              <w:rPr>
                <w:sz w:val="20"/>
                <w:szCs w:val="20"/>
                <w:color w:val="auto"/>
              </w:rPr>
            </w:pPr>
            <w:r>
              <w:rPr>
                <w:rFonts w:ascii="Arial" w:cs="Arial" w:eastAsia="Arial" w:hAnsi="Arial"/>
                <w:sz w:val="15"/>
                <w:szCs w:val="15"/>
                <w:color w:val="auto"/>
              </w:rPr>
              <w:t>31,219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2,909</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9.3 %</w:t>
            </w:r>
          </w:p>
        </w:tc>
      </w:tr>
      <w:tr>
        <w:trPr>
          <w:trHeight w:val="204"/>
        </w:trPr>
        <w:tc>
          <w:tcPr>
            <w:tcW w:w="3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2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13,178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(13,178)</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1"/>
        </w:trPr>
        <w:tc>
          <w:tcPr>
            <w:tcW w:w="3560" w:type="dxa"/>
            <w:vAlign w:val="bottom"/>
          </w:tcPr>
          <w:p>
            <w:pPr>
              <w:ind w:left="20"/>
              <w:spacing w:after="0"/>
              <w:rPr>
                <w:sz w:val="20"/>
                <w:szCs w:val="20"/>
                <w:color w:val="auto"/>
              </w:rPr>
            </w:pPr>
            <w:r>
              <w:rPr>
                <w:rFonts w:ascii="Arial" w:cs="Arial" w:eastAsia="Arial" w:hAnsi="Arial"/>
                <w:sz w:val="15"/>
                <w:szCs w:val="15"/>
                <w:color w:val="auto"/>
              </w:rPr>
              <w:t>PrimaLoft</w:t>
            </w:r>
          </w:p>
        </w:tc>
        <w:tc>
          <w:tcPr>
            <w:tcW w:w="26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14,083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ind w:right="124"/>
              <w:spacing w:after="0"/>
              <w:rPr>
                <w:sz w:val="20"/>
                <w:szCs w:val="20"/>
                <w:color w:val="auto"/>
              </w:rPr>
            </w:pPr>
            <w:r>
              <w:rPr>
                <w:rFonts w:ascii="Arial" w:cs="Arial" w:eastAsia="Arial" w:hAnsi="Arial"/>
                <w:sz w:val="15"/>
                <w:szCs w:val="15"/>
                <w:color w:val="auto"/>
              </w:rPr>
              <w:t>15,137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(1,054)</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04"/>
        </w:trPr>
        <w:tc>
          <w:tcPr>
            <w:tcW w:w="3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26,827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20,031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6,796</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33.9 %</w:t>
            </w:r>
          </w:p>
        </w:tc>
      </w:tr>
      <w:tr>
        <w:trPr>
          <w:trHeight w:val="201"/>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4,576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3,364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1,212</w:t>
            </w:r>
          </w:p>
        </w:tc>
        <w:tc>
          <w:tcPr>
            <w:tcW w:w="4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36.0 %</w:t>
            </w:r>
          </w:p>
        </w:tc>
      </w:tr>
      <w:tr>
        <w:trPr>
          <w:trHeight w:val="197"/>
        </w:trPr>
        <w:tc>
          <w:tcPr>
            <w:tcW w:w="3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Branded Consumer</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147,198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152,677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(5,479)</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01"/>
        </w:trPr>
        <w:tc>
          <w:tcPr>
            <w:tcW w:w="3560" w:type="dxa"/>
            <w:vAlign w:val="bottom"/>
          </w:tcPr>
          <w:p>
            <w:pPr>
              <w:ind w:left="20"/>
              <w:spacing w:after="0"/>
              <w:rPr>
                <w:sz w:val="20"/>
                <w:szCs w:val="20"/>
                <w:color w:val="auto"/>
              </w:rPr>
            </w:pPr>
            <w:r>
              <w:rPr>
                <w:rFonts w:ascii="Arial" w:cs="Arial" w:eastAsia="Arial" w:hAnsi="Arial"/>
                <w:sz w:val="15"/>
                <w:szCs w:val="15"/>
                <w:color w:val="auto"/>
              </w:rPr>
              <w:t>Altor</w:t>
            </w:r>
          </w:p>
        </w:tc>
        <w:tc>
          <w:tcPr>
            <w:tcW w:w="26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13,141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ind w:right="124"/>
              <w:spacing w:after="0"/>
              <w:rPr>
                <w:sz w:val="20"/>
                <w:szCs w:val="20"/>
                <w:color w:val="auto"/>
              </w:rPr>
            </w:pPr>
            <w:r>
              <w:rPr>
                <w:rFonts w:ascii="Arial" w:cs="Arial" w:eastAsia="Arial" w:hAnsi="Arial"/>
                <w:sz w:val="15"/>
                <w:szCs w:val="15"/>
                <w:color w:val="auto"/>
              </w:rPr>
              <w:t>19,036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(5,895)</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(31.0)%</w:t>
            </w:r>
          </w:p>
        </w:tc>
      </w:tr>
      <w:tr>
        <w:trPr>
          <w:trHeight w:val="204"/>
        </w:trPr>
        <w:tc>
          <w:tcPr>
            <w:tcW w:w="3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10,573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7,021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3,552</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50.6 %</w:t>
            </w:r>
          </w:p>
        </w:tc>
      </w:tr>
      <w:tr>
        <w:trPr>
          <w:trHeight w:val="201"/>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18,446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17,298</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1,148</w:t>
            </w:r>
          </w:p>
        </w:tc>
        <w:tc>
          <w:tcPr>
            <w:tcW w:w="4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6.6 %</w:t>
            </w:r>
          </w:p>
        </w:tc>
      </w:tr>
      <w:tr>
        <w:trPr>
          <w:trHeight w:val="197"/>
        </w:trPr>
        <w:tc>
          <w:tcPr>
            <w:tcW w:w="3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Industrial</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42,160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43,355</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(1,195)</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198"/>
        </w:trPr>
        <w:tc>
          <w:tcPr>
            <w:tcW w:w="3560" w:type="dxa"/>
            <w:vAlign w:val="bottom"/>
          </w:tcPr>
          <w:p>
            <w:pPr>
              <w:ind w:left="20"/>
              <w:spacing w:after="0"/>
              <w:rPr>
                <w:sz w:val="20"/>
                <w:szCs w:val="20"/>
                <w:color w:val="auto"/>
              </w:rPr>
            </w:pPr>
            <w:r>
              <w:rPr>
                <w:rFonts w:ascii="Arial" w:cs="Arial" w:eastAsia="Arial" w:hAnsi="Arial"/>
                <w:sz w:val="15"/>
                <w:szCs w:val="15"/>
                <w:b w:val="1"/>
                <w:bCs w:val="1"/>
                <w:color w:val="auto"/>
              </w:rPr>
              <w:t>Consolidated gross profit</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189,358</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124"/>
              <w:spacing w:after="0"/>
              <w:rPr>
                <w:sz w:val="20"/>
                <w:szCs w:val="20"/>
                <w:color w:val="auto"/>
              </w:rPr>
            </w:pPr>
            <w:r>
              <w:rPr>
                <w:rFonts w:ascii="Arial" w:cs="Arial" w:eastAsia="Arial" w:hAnsi="Arial"/>
                <w:sz w:val="15"/>
                <w:szCs w:val="15"/>
                <w:color w:val="auto"/>
              </w:rPr>
              <w:t>196,032</w:t>
            </w:r>
          </w:p>
        </w:tc>
        <w:tc>
          <w:tcPr>
            <w:tcW w:w="140" w:type="dxa"/>
            <w:vAlign w:val="bottom"/>
          </w:tcPr>
          <w:p>
            <w:pPr>
              <w:spacing w:after="0"/>
              <w:rPr>
                <w:sz w:val="17"/>
                <w:szCs w:val="17"/>
                <w:color w:val="auto"/>
              </w:rPr>
            </w:pPr>
          </w:p>
        </w:tc>
        <w:tc>
          <w:tcPr>
            <w:tcW w:w="3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(6,674)</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363"/>
        </w:trPr>
        <w:tc>
          <w:tcPr>
            <w:tcW w:w="3560" w:type="dxa"/>
            <w:vAlign w:val="bottom"/>
          </w:tcPr>
          <w:p>
            <w:pPr>
              <w:ind w:left="20"/>
              <w:spacing w:after="0"/>
              <w:rPr>
                <w:sz w:val="20"/>
                <w:szCs w:val="20"/>
                <w:color w:val="auto"/>
              </w:rPr>
            </w:pPr>
            <w:r>
              <w:rPr>
                <w:rFonts w:ascii="Arial" w:cs="Arial" w:eastAsia="Arial" w:hAnsi="Arial"/>
                <w:sz w:val="15"/>
                <w:szCs w:val="15"/>
                <w:b w:val="1"/>
                <w:bCs w:val="1"/>
                <w:color w:val="auto"/>
              </w:rPr>
              <w:t>Gross Margin</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Branded Consumer</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w:t>
            </w:r>
          </w:p>
        </w:tc>
        <w:tc>
          <w:tcPr>
            <w:tcW w:w="8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7" w:name="page48"/>
    <w:bookmarkEnd w:id="47"/>
    <w:tbl>
      <w:tblPr>
        <w:tblLayout w:type="fixed"/>
        <w:tblInd w:w="580" w:type="dxa"/>
        <w:tblCellMar>
          <w:top w:w="0" w:type="dxa"/>
          <w:left w:w="0" w:type="dxa"/>
          <w:bottom w:w="0" w:type="dxa"/>
          <w:right w:w="0" w:type="dxa"/>
        </w:tblCellMar>
      </w:tblPr>
      <w:tr>
        <w:trPr>
          <w:trHeight w:val="203"/>
        </w:trPr>
        <w:tc>
          <w:tcPr>
            <w:tcW w:w="3560" w:type="dxa"/>
            <w:vAlign w:val="bottom"/>
          </w:tcPr>
          <w:p>
            <w:pPr>
              <w:ind w:left="240"/>
              <w:spacing w:after="0"/>
              <w:rPr>
                <w:sz w:val="20"/>
                <w:szCs w:val="20"/>
                <w:color w:val="auto"/>
              </w:rPr>
            </w:pPr>
            <w:r>
              <w:rPr>
                <w:rFonts w:ascii="Arial" w:cs="Arial" w:eastAsia="Arial" w:hAnsi="Arial"/>
                <w:sz w:val="15"/>
                <w:szCs w:val="15"/>
                <w:color w:val="auto"/>
              </w:rPr>
              <w:t>Industrial</w:t>
            </w:r>
          </w:p>
        </w:tc>
        <w:tc>
          <w:tcPr>
            <w:tcW w:w="2820" w:type="dxa"/>
            <w:vAlign w:val="bottom"/>
          </w:tcPr>
          <w:p>
            <w:pPr>
              <w:jc w:val="right"/>
              <w:ind w:right="704"/>
              <w:spacing w:after="0"/>
              <w:rPr>
                <w:sz w:val="20"/>
                <w:szCs w:val="20"/>
                <w:color w:val="auto"/>
              </w:rPr>
            </w:pPr>
            <w:r>
              <w:rPr>
                <w:rFonts w:ascii="Arial" w:cs="Arial" w:eastAsia="Arial" w:hAnsi="Arial"/>
                <w:sz w:val="15"/>
                <w:szCs w:val="15"/>
                <w:color w:val="auto"/>
              </w:rPr>
              <w:t>24.8 %</w:t>
            </w:r>
          </w:p>
        </w:tc>
        <w:tc>
          <w:tcPr>
            <w:tcW w:w="1840" w:type="dxa"/>
            <w:vAlign w:val="bottom"/>
          </w:tcPr>
          <w:p>
            <w:pPr>
              <w:jc w:val="right"/>
              <w:ind w:right="484"/>
              <w:spacing w:after="0"/>
              <w:rPr>
                <w:sz w:val="20"/>
                <w:szCs w:val="20"/>
                <w:color w:val="auto"/>
              </w:rPr>
            </w:pPr>
            <w:r>
              <w:rPr>
                <w:rFonts w:ascii="Arial" w:cs="Arial" w:eastAsia="Arial" w:hAnsi="Arial"/>
                <w:sz w:val="15"/>
                <w:szCs w:val="15"/>
                <w:color w:val="auto"/>
              </w:rPr>
              <w:t>24.7 %</w:t>
            </w:r>
          </w:p>
        </w:tc>
        <w:tc>
          <w:tcPr>
            <w:tcW w:w="1860" w:type="dxa"/>
            <w:vAlign w:val="bottom"/>
          </w:tcPr>
          <w:p>
            <w:pPr>
              <w:jc w:val="right"/>
              <w:ind w:right="884"/>
              <w:spacing w:after="0"/>
              <w:rPr>
                <w:sz w:val="20"/>
                <w:szCs w:val="20"/>
                <w:color w:val="auto"/>
              </w:rPr>
            </w:pPr>
            <w:r>
              <w:rPr>
                <w:rFonts w:ascii="Arial" w:cs="Arial" w:eastAsia="Arial" w:hAnsi="Arial"/>
                <w:sz w:val="15"/>
                <w:szCs w:val="15"/>
                <w:color w:val="auto"/>
              </w:rPr>
              <w:t>0.1%</w:t>
            </w:r>
          </w:p>
        </w:tc>
      </w:tr>
      <w:tr>
        <w:trPr>
          <w:trHeight w:val="205"/>
        </w:trPr>
        <w:tc>
          <w:tcPr>
            <w:tcW w:w="3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gross margin</w:t>
            </w:r>
          </w:p>
        </w:tc>
        <w:tc>
          <w:tcPr>
            <w:tcW w:w="282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rPr>
              <w:t>44.4 %</w:t>
            </w:r>
          </w:p>
        </w:tc>
        <w:tc>
          <w:tcPr>
            <w:tcW w:w="184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43.2 %</w:t>
            </w:r>
          </w:p>
        </w:tc>
        <w:tc>
          <w:tcPr>
            <w:tcW w:w="1860" w:type="dxa"/>
            <w:vAlign w:val="bottom"/>
            <w:shd w:val="clear" w:color="auto" w:fill="CCEEFF"/>
          </w:tcPr>
          <w:p>
            <w:pPr>
              <w:jc w:val="right"/>
              <w:ind w:right="884"/>
              <w:spacing w:after="0"/>
              <w:rPr>
                <w:sz w:val="20"/>
                <w:szCs w:val="20"/>
                <w:color w:val="auto"/>
              </w:rPr>
            </w:pPr>
            <w:r>
              <w:rPr>
                <w:rFonts w:ascii="Arial" w:cs="Arial" w:eastAsia="Arial" w:hAnsi="Arial"/>
                <w:sz w:val="15"/>
                <w:szCs w:val="15"/>
                <w:color w:val="auto"/>
              </w:rPr>
              <w:t>1.2%</w:t>
            </w: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consolidated basis, gross profit decreased approximately $6.7 million during the three months ended March 31, 2026 compared to the corresponding period in 2025. We saw notable increases in gross profit at BOA ($2.9 million increase), The Honey Pot Co. ($6.8 million increase) and Arnold ($3.6 million increase) during the quarter. We saw decreases in gross profit at 5.11 ($2.2 million decrease) and Altor ($5.9 million decrease) that correlates with the decrease in net revenue in the first three months of 2026. Lugano recognized $13.2 million in gross profit during the three months ended March 31, 2025 that was nonrecurring due to the Lugano bankruptcy.</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revenues was 44.4% in the three months ended March 31, 2026 and 43.2% the three months ended March 31, 2025. Our branded consumer businesses had gross profit as a percentage of net revenues of 57.3% in the three months ended March 31, 2026 as compared to 54.9% in the three months ended March 31, 2025, with increases at each of our branded consumer business quarter over quarter. Our industrial businesses had gross profit as a percentage of net revenues of 24.8% in the three months ended March 31, 2026 as compared to 24.7% in the three months ended March 31, 2025. The decrease in gross profit as a percentage of net revenues at our industrial businesses was attributable to higher fixed overhead costs absorbed on a lower revenue base at Altor, offset by improved gross margins at Arnold and Sterno during the quarter.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gridSpan w:val="3"/>
          </w:tcPr>
          <w:p>
            <w:pPr>
              <w:jc w:val="right"/>
              <w:ind w:right="184"/>
              <w:spacing w:after="0"/>
              <w:rPr>
                <w:sz w:val="20"/>
                <w:szCs w:val="20"/>
                <w:color w:val="auto"/>
              </w:rPr>
            </w:pPr>
            <w:r>
              <w:rPr>
                <w:rFonts w:ascii="Arial" w:cs="Arial" w:eastAsia="Arial" w:hAnsi="Arial"/>
                <w:sz w:val="15"/>
                <w:szCs w:val="15"/>
                <w:b w:val="1"/>
                <w:bCs w:val="1"/>
                <w:color w:val="auto"/>
              </w:rPr>
              <w:t>Three months ended</w:t>
            </w:r>
          </w:p>
        </w:tc>
        <w:tc>
          <w:tcPr>
            <w:tcW w:w="17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r>
      <w:tr>
        <w:trPr>
          <w:trHeight w:val="196"/>
        </w:trPr>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74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380" w:type="dxa"/>
            <w:vAlign w:val="bottom"/>
          </w:tcPr>
          <w:p>
            <w:pPr>
              <w:spacing w:after="0"/>
              <w:rPr>
                <w:sz w:val="17"/>
                <w:szCs w:val="17"/>
                <w:color w:val="auto"/>
              </w:rPr>
            </w:pPr>
          </w:p>
        </w:tc>
        <w:tc>
          <w:tcPr>
            <w:tcW w:w="1720" w:type="dxa"/>
            <w:vAlign w:val="bottom"/>
          </w:tcPr>
          <w:p>
            <w:pPr>
              <w:ind w:left="240"/>
              <w:spacing w:after="0"/>
              <w:rPr>
                <w:sz w:val="20"/>
                <w:szCs w:val="20"/>
                <w:color w:val="auto"/>
              </w:rPr>
            </w:pPr>
            <w:r>
              <w:rPr>
                <w:rFonts w:ascii="Arial" w:cs="Arial" w:eastAsia="Arial" w:hAnsi="Arial"/>
                <w:sz w:val="15"/>
                <w:szCs w:val="15"/>
                <w:b w:val="1"/>
                <w:bCs w:val="1"/>
                <w:color w:val="auto"/>
              </w:rPr>
              <w:t>Increase (Decrease)</w:t>
            </w:r>
          </w:p>
        </w:tc>
        <w:tc>
          <w:tcPr>
            <w:tcW w:w="600" w:type="dxa"/>
            <w:vAlign w:val="bottom"/>
          </w:tcPr>
          <w:p>
            <w:pPr>
              <w:spacing w:after="0"/>
              <w:rPr>
                <w:sz w:val="17"/>
                <w:szCs w:val="17"/>
                <w:color w:val="auto"/>
              </w:rPr>
            </w:pPr>
          </w:p>
        </w:tc>
      </w:tr>
      <w:tr>
        <w:trPr>
          <w:trHeight w:val="196"/>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132,010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150,377</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7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(18,367)</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r>
    </w:tbl>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Consolidated selling, general and administrative expense decreased approximately $ 18.4 million during the three months ended March 31, 2026, compared to the corresponding period in 2025, driven primarily by the impact of Lugano's bankruptcy. Lugano had selling, general and administrative expense of $26.6 million in the quarter ended March 31, 2025. This decrease was offset by an increase in corporate expenses of $8.4 million.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corporate level, general and administrative expense was $13.0 million in the three months ended March 31, 2026 and $4.6 million in the three months ended March 31, 2025. The increase was primarily attributable to one-time costs associated with our Lugano subsidiary and the ongoing lawsuits and corporate governance changes that we are making. Because the Lugano investigation commenced in April 2025, the prior-year quarter included no related costs. We continue to incur significant investigation-related and other associated costs, which may pressure corporate expenses in subsequent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Management fees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18,863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(2,929)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w:t>
            </w: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we incurred approximately $15.9 million in management fees as compared to $18.9 million in fees in the three months ended March 31, 2025. The decrease in the management fee in the first quarter of 2026 is primarily due to the deconsolidation of Lugano in November 2025 which reduced the net assets used in the calculation of the management fee.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u w:val="single" w:color="auto"/>
          <w:color w:val="0000FF"/>
        </w:rPr>
        <w:t>Note N - Related Party Transactions</w:t>
      </w:r>
      <w:r>
        <w:rPr>
          <w:rFonts w:ascii="Arial" w:cs="Arial" w:eastAsia="Arial" w:hAnsi="Arial"/>
          <w:sz w:val="18"/>
          <w:szCs w:val="18"/>
          <w:color w:val="auto"/>
        </w:rPr>
        <w:t>" in the "Notes to the Condensed Consolidated Financial Statements" for a description of the effect of the restatement on the Management Fees.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r>
      <w:tr>
        <w:trPr>
          <w:trHeight w:val="196"/>
        </w:trPr>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2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19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22,844</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23,351</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04"/>
              <w:spacing w:after="0"/>
              <w:rPr>
                <w:sz w:val="20"/>
                <w:szCs w:val="20"/>
                <w:color w:val="auto"/>
              </w:rPr>
            </w:pPr>
            <w:r>
              <w:rPr>
                <w:rFonts w:ascii="Arial" w:cs="Arial" w:eastAsia="Arial" w:hAnsi="Arial"/>
                <w:sz w:val="15"/>
                <w:szCs w:val="15"/>
                <w:color w:val="auto"/>
              </w:rPr>
              <w:t>(507)</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(2.2)%</w:t>
            </w:r>
          </w:p>
        </w:tc>
      </w:tr>
    </w:tbl>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for the three months ended March 31, 2026 decreased $0.5 million as compared to the three months ended March 31, 2025 due primarily to certain intangible assets at Sterno being fully amortized in the prior year and the Lugano deconsolidation.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3"/>
          </w:tcPr>
          <w:p>
            <w:pPr>
              <w:jc w:val="right"/>
              <w:ind w:right="244"/>
              <w:spacing w:after="0"/>
              <w:rPr>
                <w:sz w:val="20"/>
                <w:szCs w:val="20"/>
                <w:color w:val="auto"/>
              </w:rPr>
            </w:pPr>
            <w:r>
              <w:rPr>
                <w:rFonts w:ascii="Arial" w:cs="Arial" w:eastAsia="Arial" w:hAnsi="Arial"/>
                <w:sz w:val="15"/>
                <w:szCs w:val="15"/>
                <w:b w:val="1"/>
                <w:bCs w:val="1"/>
                <w:color w:val="auto"/>
              </w:rPr>
              <w:t>Three months ended</w:t>
            </w:r>
          </w:p>
        </w:tc>
        <w:tc>
          <w:tcPr>
            <w:tcW w:w="1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r>
      <w:tr>
        <w:trPr>
          <w:trHeight w:val="196"/>
        </w:trPr>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2040" w:type="dxa"/>
            <w:vAlign w:val="bottom"/>
            <w:gridSpan w:val="3"/>
          </w:tcPr>
          <w:p>
            <w:pPr>
              <w:jc w:val="right"/>
              <w:ind w:right="744"/>
              <w:spacing w:after="0"/>
              <w:rPr>
                <w:sz w:val="20"/>
                <w:szCs w:val="20"/>
                <w:color w:val="auto"/>
              </w:rPr>
            </w:pPr>
            <w:r>
              <w:rPr>
                <w:rFonts w:ascii="Arial" w:cs="Arial" w:eastAsia="Arial" w:hAnsi="Arial"/>
                <w:sz w:val="15"/>
                <w:szCs w:val="15"/>
                <w:b w:val="1"/>
                <w:bCs w:val="1"/>
                <w:color w:val="auto"/>
              </w:rPr>
              <w:t>March 31, 2025</w:t>
            </w:r>
          </w:p>
        </w:tc>
        <w:tc>
          <w:tcPr>
            <w:tcW w:w="1720" w:type="dxa"/>
            <w:vAlign w:val="bottom"/>
          </w:tcPr>
          <w:p>
            <w:pPr>
              <w:jc w:val="right"/>
              <w:ind w:right="4"/>
              <w:spacing w:after="0"/>
              <w:rPr>
                <w:sz w:val="20"/>
                <w:szCs w:val="20"/>
                <w:color w:val="auto"/>
              </w:rPr>
            </w:pPr>
            <w:r>
              <w:rPr>
                <w:rFonts w:ascii="Arial" w:cs="Arial" w:eastAsia="Arial" w:hAnsi="Arial"/>
                <w:sz w:val="15"/>
                <w:szCs w:val="15"/>
                <w:b w:val="1"/>
                <w:bCs w:val="1"/>
                <w:color w:val="auto"/>
              </w:rPr>
              <w:t>Increase (Decrease)</w:t>
            </w:r>
          </w:p>
        </w:tc>
        <w:tc>
          <w:tcPr>
            <w:tcW w:w="420" w:type="dxa"/>
            <w:vAlign w:val="bottom"/>
          </w:tcPr>
          <w:p>
            <w:pPr>
              <w:spacing w:after="0"/>
              <w:rPr>
                <w:sz w:val="17"/>
                <w:szCs w:val="17"/>
                <w:color w:val="auto"/>
              </w:rPr>
            </w:pPr>
          </w:p>
        </w:tc>
      </w:tr>
      <w:tr>
        <w:trPr>
          <w:trHeight w:val="19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Impairment expense</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20,500</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rPr>
              <w:t>20,500</w:t>
            </w: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 %</w:t>
            </w: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Company's annual goodwill impairment test as of March 31, 2026, the Company recorded a goodwill impairment charge at the PrimaLoft reporting unit of $20.5 million. Refer to "</w:t>
      </w:r>
      <w:r>
        <w:rPr>
          <w:rFonts w:ascii="Arial" w:cs="Arial" w:eastAsia="Arial" w:hAnsi="Arial"/>
          <w:sz w:val="18"/>
          <w:szCs w:val="18"/>
          <w:u w:val="single" w:color="auto"/>
          <w:color w:val="0000FF"/>
        </w:rPr>
        <w:t>Note E - Goodwill a</w:t>
      </w:r>
      <w:r>
        <w:rPr>
          <w:rFonts w:ascii="Arial" w:cs="Arial" w:eastAsia="Arial" w:hAnsi="Arial"/>
          <w:sz w:val="18"/>
          <w:szCs w:val="18"/>
          <w:u w:val="single" w:color="auto"/>
          <w:color w:val="0000FF"/>
          <w:highlight w:val="white"/>
        </w:rPr>
        <w:t>nd Other Intangible Assets</w:t>
      </w:r>
      <w:r>
        <w:rPr>
          <w:rFonts w:ascii="Arial" w:cs="Arial" w:eastAsia="Arial" w:hAnsi="Arial"/>
          <w:sz w:val="18"/>
          <w:szCs w:val="18"/>
          <w:color w:val="auto"/>
          <w:highlight w:val="white"/>
        </w:rPr>
        <w:t>"</w:t>
      </w:r>
      <w:r>
        <w:rPr>
          <w:rFonts w:ascii="Arial" w:cs="Arial" w:eastAsia="Arial" w:hAnsi="Arial"/>
          <w:sz w:val="18"/>
          <w:szCs w:val="18"/>
          <w:color w:val="auto"/>
        </w:rPr>
        <w:t xml:space="preserve"> in the "Notes to the Condensed Consolidated Financial Statements"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8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196"/>
        </w:trPr>
        <w:tc>
          <w:tcPr>
            <w:tcW w:w="3680" w:type="dxa"/>
            <w:vAlign w:val="bottom"/>
          </w:tcPr>
          <w:p>
            <w:pPr>
              <w:spacing w:after="0"/>
              <w:rPr>
                <w:sz w:val="17"/>
                <w:szCs w:val="17"/>
                <w:color w:val="auto"/>
              </w:rPr>
            </w:pPr>
          </w:p>
        </w:tc>
        <w:tc>
          <w:tcPr>
            <w:tcW w:w="1980" w:type="dxa"/>
            <w:vAlign w:val="bottom"/>
            <w:gridSpan w:val="2"/>
          </w:tcPr>
          <w:p>
            <w:pPr>
              <w:ind w:left="360"/>
              <w:spacing w:after="0"/>
              <w:rPr>
                <w:sz w:val="20"/>
                <w:szCs w:val="20"/>
                <w:color w:val="auto"/>
              </w:rPr>
            </w:pPr>
            <w:r>
              <w:rPr>
                <w:rFonts w:ascii="Arial" w:cs="Arial" w:eastAsia="Arial" w:hAnsi="Arial"/>
                <w:sz w:val="15"/>
                <w:szCs w:val="15"/>
                <w:b w:val="1"/>
                <w:bCs w:val="1"/>
                <w:color w:val="auto"/>
              </w:rPr>
              <w:t>March 31, 2026</w:t>
            </w:r>
          </w:p>
        </w:tc>
        <w:tc>
          <w:tcPr>
            <w:tcW w:w="2000" w:type="dxa"/>
            <w:vAlign w:val="bottom"/>
            <w:gridSpan w:val="2"/>
          </w:tcPr>
          <w:p>
            <w:pPr>
              <w:ind w:left="380"/>
              <w:spacing w:after="0"/>
              <w:rPr>
                <w:sz w:val="20"/>
                <w:szCs w:val="20"/>
                <w:color w:val="auto"/>
              </w:rPr>
            </w:pPr>
            <w:r>
              <w:rPr>
                <w:rFonts w:ascii="Arial" w:cs="Arial" w:eastAsia="Arial" w:hAnsi="Arial"/>
                <w:sz w:val="15"/>
                <w:szCs w:val="15"/>
                <w:b w:val="1"/>
                <w:bCs w:val="1"/>
                <w:color w:val="auto"/>
              </w:rPr>
              <w:t>March 31, 2025</w:t>
            </w:r>
          </w:p>
        </w:tc>
        <w:tc>
          <w:tcPr>
            <w:tcW w:w="30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(27,495)</w:t>
            </w:r>
          </w:p>
        </w:tc>
        <w:tc>
          <w:tcPr>
            <w:tcW w:w="14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(35,851)</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rPr>
              <w:t>8,356</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w:t>
            </w:r>
          </w:p>
        </w:tc>
      </w:tr>
    </w:tbl>
    <w:p>
      <w:pPr>
        <w:spacing w:after="0" w:line="3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interest expense totaling $27.5 million for the three months ended March 31, 2026 compared to $35.9 million for the comparable period in 2025, a decrease of $8.4 million. Interest expense in the quarter ended March 31, 2025 includes $8.9 million related to financing arrangements at Lugano, which was deconsolidated in November 2025. Excluding the impact of the Lugano financing arrangement in the prior-year period, interest expense increased $0.5 million, primarily due to higher interest expense on the Company’s Senior Notes resulting from the increased principal amount of the Senior Notes following the paid-in-kind payments made in 2025 in connection with the indenture forbearance agreement described in the 2025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8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r>
      <w:tr>
        <w:trPr>
          <w:trHeight w:val="196"/>
        </w:trPr>
        <w:tc>
          <w:tcPr>
            <w:tcW w:w="3680" w:type="dxa"/>
            <w:vAlign w:val="bottom"/>
          </w:tcPr>
          <w:p>
            <w:pPr>
              <w:spacing w:after="0"/>
              <w:rPr>
                <w:sz w:val="17"/>
                <w:szCs w:val="17"/>
                <w:color w:val="auto"/>
              </w:rPr>
            </w:pPr>
          </w:p>
        </w:tc>
        <w:tc>
          <w:tcPr>
            <w:tcW w:w="1980" w:type="dxa"/>
            <w:vAlign w:val="bottom"/>
            <w:gridSpan w:val="2"/>
          </w:tcPr>
          <w:p>
            <w:pPr>
              <w:ind w:left="360"/>
              <w:spacing w:after="0"/>
              <w:rPr>
                <w:sz w:val="20"/>
                <w:szCs w:val="20"/>
                <w:color w:val="auto"/>
              </w:rPr>
            </w:pPr>
            <w:r>
              <w:rPr>
                <w:rFonts w:ascii="Arial" w:cs="Arial" w:eastAsia="Arial" w:hAnsi="Arial"/>
                <w:sz w:val="15"/>
                <w:szCs w:val="15"/>
                <w:b w:val="1"/>
                <w:bCs w:val="1"/>
                <w:color w:val="auto"/>
              </w:rPr>
              <w:t>March 31, 2026</w:t>
            </w:r>
          </w:p>
        </w:tc>
        <w:tc>
          <w:tcPr>
            <w:tcW w:w="2000" w:type="dxa"/>
            <w:vAlign w:val="bottom"/>
            <w:gridSpan w:val="2"/>
          </w:tcPr>
          <w:p>
            <w:pPr>
              <w:ind w:left="380"/>
              <w:spacing w:after="0"/>
              <w:rPr>
                <w:sz w:val="20"/>
                <w:szCs w:val="20"/>
                <w:color w:val="auto"/>
              </w:rPr>
            </w:pPr>
            <w:r>
              <w:rPr>
                <w:rFonts w:ascii="Arial" w:cs="Arial" w:eastAsia="Arial" w:hAnsi="Arial"/>
                <w:sz w:val="15"/>
                <w:szCs w:val="15"/>
                <w:b w:val="1"/>
                <w:bCs w:val="1"/>
                <w:color w:val="auto"/>
              </w:rPr>
              <w:t>March 31, 2025</w:t>
            </w:r>
          </w:p>
        </w:tc>
        <w:tc>
          <w:tcPr>
            <w:tcW w:w="30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7,705</w:t>
            </w:r>
          </w:p>
        </w:tc>
        <w:tc>
          <w:tcPr>
            <w:tcW w:w="14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(13,681)</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rPr>
              <w:t>21,386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(156.3)%</w:t>
            </w:r>
          </w:p>
        </w:tc>
      </w:tr>
    </w:tbl>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March 31, 2026, other income was $7.7 million, an increase of $21.4 million as compared to $13.7 million in other expense in the three months ended March 31, 2025. Other income (expense) typically reflects the movement in foreign currency at our subsidiary businesses with international operations, gains or (losses) realized on the sale of property, plant and equipment, and expenses incurred or income earned that are not considered a part of our operations. In the current year, other income includes the proceeds from the sale-leaseback transaction completed by Altor in the first quarter, offset by a finance charge at the corporate entity related to Lugano. The other expense in the three months ended March 31, 2025 primarily represents expense recognized at Lugano related to losses resulting from the accounting for the transactions associated with the off-balance sheet arrangements ($13.8 million in expense in the three months ended March 31,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2100" w:type="dxa"/>
            <w:vAlign w:val="bottom"/>
            <w:gridSpan w:val="2"/>
          </w:tcPr>
          <w:p>
            <w:pPr>
              <w:jc w:val="right"/>
              <w:ind w:right="40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7,064</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2,538</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4,526</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178.3 %</w:t>
            </w:r>
          </w:p>
        </w:tc>
      </w:tr>
      <w:tr>
        <w:trPr>
          <w:trHeight w:val="257"/>
        </w:trPr>
        <w:tc>
          <w:tcPr>
            <w:tcW w:w="3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had an income tax provision of $7.1 million during the three months ended March 31, 2026 compared to an income tax provision of $2.5 million during the same period in 2025, an increase of $4.5 million due to the reduction in the loss from continuing operation before income taxes. Our effective tax rate in the three months ended March 31, 2026 was 29.7%, compared to an effective income tax rate of 5.4% during the same period in 2025. Our tax rate is affected by recurring items, such as tax rates in foreign jurisdictions and the relative amounts of income we earn in those jurisdictions. It is also affected by discrete items that may occur in any given year but are not consistent from year to year. In the current year, the effective tax rate was impacted by the goodwill impairment at PrimaLoft, the effect of foreign taxes and changes in valuation allowances.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Operating Segments - Year-to-Date</w:t>
      </w:r>
    </w:p>
    <w:p>
      <w:pPr>
        <w:spacing w:after="0" w:line="225" w:lineRule="exact"/>
        <w:rPr>
          <w:sz w:val="20"/>
          <w:szCs w:val="20"/>
          <w:color w:val="auto"/>
        </w:rPr>
      </w:pPr>
    </w:p>
    <w:p>
      <w:pPr>
        <w:ind w:right="3960"/>
        <w:spacing w:after="0" w:line="460" w:lineRule="auto"/>
        <w:rPr>
          <w:sz w:val="20"/>
          <w:szCs w:val="20"/>
          <w:color w:val="auto"/>
        </w:rPr>
      </w:pPr>
      <w:r>
        <w:rPr>
          <w:rFonts w:ascii="Arial" w:cs="Arial" w:eastAsia="Arial" w:hAnsi="Arial"/>
          <w:sz w:val="16"/>
          <w:szCs w:val="16"/>
          <w:b w:val="1"/>
          <w:bCs w:val="1"/>
          <w:color w:val="auto"/>
        </w:rPr>
        <w:t xml:space="preserve">Three </w:t>
      </w:r>
      <w:r>
        <w:rPr>
          <w:rFonts w:ascii="Arial" w:cs="Arial" w:eastAsia="Arial" w:hAnsi="Arial"/>
          <w:sz w:val="17"/>
          <w:szCs w:val="17"/>
          <w:b w:val="1"/>
          <w:bCs w:val="1"/>
          <w:color w:val="auto"/>
        </w:rPr>
        <w:t>months ended March 31, 2026 compared to three months ended March 31, 2025</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Branded Consumer Businesses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8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123,972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129,370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804"/>
              <w:spacing w:after="0"/>
              <w:rPr>
                <w:sz w:val="20"/>
                <w:szCs w:val="20"/>
                <w:color w:val="auto"/>
              </w:rPr>
            </w:pPr>
            <w:r>
              <w:rPr>
                <w:rFonts w:ascii="Arial" w:cs="Arial" w:eastAsia="Arial" w:hAnsi="Arial"/>
                <w:sz w:val="15"/>
                <w:szCs w:val="15"/>
                <w:color w:val="auto"/>
              </w:rPr>
              <w:t>(5,398)</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(4.2)%</w:t>
            </w: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three months ended March 31, 2026 were $124.0 million as compared to net sales of $129.4 million for the three months ended March 31, 2025, a decrease of $ 5.4 million, or 4.2%. The decline was driven primarily by decreases in direct-to-consumer sales of approximately $4.0 million, reflecting a reduction in promotional activity compared to the prior year period, and international sales of approximately $ 1.8 million, primarily due to the timing of large contracts. These decreases were partially offset by an increase in domestic wholesale sales of approximately $0.5 million, driven by increased demand from key national accounts during the quarter.</w:t>
      </w:r>
    </w:p>
    <w:p>
      <w:pPr>
        <w:spacing w:after="0" w:line="9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r>
      <w:tr>
        <w:trPr>
          <w:trHeight w:val="196"/>
        </w:trPr>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Segment operating income</w:t>
            </w: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7,710</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8,573</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rPr>
              <w:t>(863)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r>
      <w:tr>
        <w:trPr>
          <w:trHeight w:val="162"/>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Segment operating margin</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(0.4)%</w:t>
            </w:r>
          </w:p>
        </w:tc>
        <w:tc>
          <w:tcPr>
            <w:tcW w:w="78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for the three months ended March 31, 2026 was $7.7 million, a decrease of $0.9 million when compared to segment operating income of $8.6 million for the same period in 2025. The decline in operating income primarily reflects lower net sales, which resulted in reduced gross profit dollars, partially offset by an improvement in gross margin rate. These impacts were further offset by lower selling, general and administrative expenses, driven by a reduction in payroll as well as lower variable expenses, including marketing and fulfillment, in line with reduced revenue volume. Segment operating margin was 6.2% in the three months ended March 31, 2026 and 6.6% in the three months ended March 31, 2025.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BOA</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8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52,107</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48,877</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5"/>
                <w:szCs w:val="15"/>
                <w:color w:val="auto"/>
              </w:rPr>
              <w:t>3,230</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6.6 %</w:t>
            </w:r>
          </w:p>
        </w:tc>
      </w:tr>
    </w:tbl>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March 31, 2026 were $52.1 million as compared to net sales of $48.9 million for the three months ended March 31, 2025, an increase of $ 3.2 million, or 6.6%. BOA adult premium performance sales increased across key industries including Cycling, Workwear, Outdoor, and Snow Sports, offset by reduced kids-based business in China. This continued momentum was primarily a result of market share gains in many of BOA's key industries.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16,129</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13,655</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18.1 %</w:t>
            </w: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3"/>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27.9 %</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99"/>
              </w:rPr>
              <w:t>3.0%</w:t>
            </w: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three months ended March 31, 2026 was $16.1 million, an increase of $2.5 million when compared to segment operating income of $13.7 million for the same period in 2025. The increase in operating income was driven by an increase in net sales and improved gross profit margins, partially offset by an increase in selling, general, and administrative costs. Segment operating margin was 31.0% in the three months ended March 31, 2026 and 27.9% in the three months ended March 31,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PrimaLoft</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8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19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21,916</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23,645</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804"/>
              <w:spacing w:after="0"/>
              <w:rPr>
                <w:sz w:val="20"/>
                <w:szCs w:val="20"/>
                <w:color w:val="auto"/>
              </w:rPr>
            </w:pPr>
            <w:r>
              <w:rPr>
                <w:rFonts w:ascii="Arial" w:cs="Arial" w:eastAsia="Arial" w:hAnsi="Arial"/>
                <w:sz w:val="15"/>
                <w:szCs w:val="15"/>
                <w:color w:val="auto"/>
              </w:rPr>
              <w:t>(1,729)</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(7.3)%</w:t>
            </w: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March 31, 2026 were $21.9 million, a decrease of $1.7 million as compared to net sales of $23.6 million for the three months ended March 31, 2025. The decrease in net sales in the current period versus the three months ended March 31, 2025 is primarily attributable to timing effects, with a shift in the timing of seasonal demand to the prior year.</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2120" w:type="dxa"/>
            <w:vAlign w:val="bottom"/>
            <w:gridSpan w:val="2"/>
          </w:tcPr>
          <w:p>
            <w:pPr>
              <w:ind w:left="200"/>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 (loss)</w:t>
            </w: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(17,597)</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4,158</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(21,755)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(523.2)%</w:t>
            </w:r>
          </w:p>
        </w:tc>
      </w:tr>
      <w:tr>
        <w:trPr>
          <w:trHeight w:val="148"/>
        </w:trPr>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3"/>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(97.9)%</w:t>
            </w:r>
          </w:p>
        </w:tc>
        <w:tc>
          <w:tcPr>
            <w:tcW w:w="80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loss for the three months ended March 31, 2026 was $17.6 million, a decrease of $21.8 million when compared to segment operating income of $4.2 million for the same period in 2025. PrimaLoft recorded a goodwill impairment charge of $ 20.5 million in the first quarter of 2026, which was the primary driver of the decrease. The remainder of the decrease was attributable to lower sales volume, partially offset by higher gross margins in the first quarter of 2026 based on sales mix. Segment operating margin was (80.3)% in the three months ended March 31, 2026 as compared to 17.6% in the three months ended March 31,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Honey Pot Co.</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30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45,159</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36,191</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8,968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24.8 %</w:t>
            </w:r>
          </w:p>
        </w:tc>
      </w:tr>
    </w:tbl>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Net sales for the three months ended March 31, 2026 were $45.2 million, an increase of $9.0 million or 24.8% from net sales of $36.2 million for the three months ended March 31, 2025. The increase in net sales is primarily due to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1" w:name="page52"/>
    <w:bookmarkEnd w:id="51"/>
    <w:p>
      <w:pPr>
        <w:jc w:val="both"/>
        <w:ind w:right="20"/>
        <w:spacing w:after="0" w:line="287" w:lineRule="auto"/>
        <w:rPr>
          <w:sz w:val="20"/>
          <w:szCs w:val="20"/>
          <w:color w:val="auto"/>
        </w:rPr>
      </w:pPr>
      <w:r>
        <w:rPr>
          <w:rFonts w:ascii="Arial" w:cs="Arial" w:eastAsia="Arial" w:hAnsi="Arial"/>
          <w:sz w:val="18"/>
          <w:szCs w:val="18"/>
          <w:color w:val="auto"/>
        </w:rPr>
        <w:t>strong volume growth across retail channels, the benefits of price pack architecture optimization implemented in late 2025, and modestly lower trade investment versus the prior year.</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 (loss)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9,568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4,836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97.8 %</w:t>
            </w:r>
          </w:p>
        </w:tc>
      </w:tr>
      <w:tr>
        <w:trPr>
          <w:trHeight w:val="162"/>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21.2 %</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13.4 %</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99"/>
              </w:rPr>
              <w:t>7.8%</w:t>
            </w: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three months ended March 31, 2026 was $9.6 million, an increase of $4.7 million when compared to segment operating loss of $4.8 million for the same period in 2025. The increase was primarily driven by higher net sales and improved operating leverage, partially offset by increased investments in marketing and human capital. Segment operating margin in the three months ended March 31, 2026 was 21.2% as compared to 13.4% in the three months ended March 31,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200" w:lineRule="exact"/>
        <w:rPr>
          <w:sz w:val="20"/>
          <w:szCs w:val="20"/>
          <w:color w:val="auto"/>
        </w:rPr>
      </w:pP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r>
      <w:tr>
        <w:trPr>
          <w:trHeight w:val="196"/>
        </w:trPr>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13,826</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13,201</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5"/>
                <w:szCs w:val="15"/>
                <w:color w:val="auto"/>
              </w:rPr>
              <w:t>625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4.7 %</w:t>
            </w:r>
          </w:p>
        </w:tc>
      </w:tr>
    </w:tbl>
    <w:p>
      <w:pPr>
        <w:spacing w:after="0" w:line="3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March 31, 2026 were $13.8 million, an increase of $0.6 million or 4.7%, compared to net sales of $13.2 million in the same period in 2025. The increase in net sales for the three months ended March 31, 2026 was primarily driven by increases in King's Camo apparel sales and incremental increases in net sales of crossbows.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(1,122)</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(2,825)</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rPr>
              <w:t>1,703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(60.3)%</w:t>
            </w:r>
          </w:p>
        </w:tc>
      </w:tr>
      <w:tr>
        <w:trPr>
          <w:trHeight w:val="162"/>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13.3%</w:t>
            </w:r>
          </w:p>
        </w:tc>
        <w:tc>
          <w:tcPr>
            <w:tcW w:w="76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loss for the three months ended March 31, 2026 was $1.1 million compared to segment operating loss of $2.8 million for the same period in 2025. Segment operating margin was (8.1)% in the three months ended March 31, 2026 as compared to (21.4)% in the three months ended March 31, 2025. The improvement was driven by higher gross margins in the current quarter, with gross margins of 33.1% in the three months ended March 31, 2026 as compared to 25.5% in the three months ended March 31, 2025.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30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64,642</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76,257</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(11,615)</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w:t>
            </w:r>
          </w:p>
        </w:tc>
      </w:tr>
    </w:tbl>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three months ended March 31, 2026 were $64.6 million, a decrease of $11.6 million, or (15.2)%, compared to net sales of $76.3 million in the three months ended March 31, 2025. The decrease in net sales during the period was primarily attributable to reduced consumer demand in the industrial white goods market, the introduction of alternative shipping materials in the GLP-1 market, and a life science customer's transition from a direct supply model to third-party distribution. Net sales in the perishables market remained consistent with the prior year period.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2" w:name="page53"/>
    <w:bookmarkEnd w:id="52"/>
    <w:tbl>
      <w:tblPr>
        <w:tblLayout w:type="fixed"/>
        <w:tblInd w:w="58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1,182</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4,986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rPr>
              <w:t>(3,804)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w:t>
            </w:r>
          </w:p>
        </w:tc>
      </w:tr>
      <w:tr>
        <w:trPr>
          <w:trHeight w:val="162"/>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(4.7)%</w:t>
            </w:r>
          </w:p>
        </w:tc>
        <w:tc>
          <w:tcPr>
            <w:tcW w:w="76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was $1.2 million in the three months ended March 31, 2026, a decrease of $3.8 million as compared to the three months ended March 31, 2025. Segment operating margin was 1.8% in the first three months of 2026 as compared to 6.5% in the first three months of 2025, with the decrease driven by a reduced sales volumes and the deleveraging effect of fixed costs, which negatively impacted gross margins in the current period. Gross profit as a percentage of net sales was 20.3% in the three months ended March 31, 2026 and 25.0% in the three months ended March 31,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30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40,183</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34,008</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6,175</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18.2 %</w:t>
            </w:r>
          </w:p>
        </w:tc>
      </w:tr>
    </w:tbl>
    <w:p>
      <w:pPr>
        <w:spacing w:after="0" w:line="3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Net sales for the three months ended March 31, 2026 were approximately $40.2 million, an increase of $6.2 million compared to net sales of $34.0 million in the same period in 2025. The increase in net sales was primarily attributable to growing demand for non-China sourced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permanent magnets. The uncertain geopolitical climate and heightened licensing requirements to export certain rare earth and strategic</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minerals out of China is causing significant supply chain disruptions. As a result, Arnold is seeing increased demand from customers seeking more predictable and sustainable, non-China sourced magnet materials. Arnold also benefitted during the current quarter from a softer year over year comparison, with the first quarter of 2025 down 18% from the first quarter of 2024.</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2026</w:t>
            </w:r>
          </w:p>
        </w:tc>
        <w:tc>
          <w:tcPr>
            <w:tcW w:w="26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2,331</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(912)</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3,243</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(355.6)%</w:t>
            </w:r>
          </w:p>
        </w:tc>
      </w:tr>
      <w:tr>
        <w:trPr>
          <w:trHeight w:val="162"/>
        </w:trPr>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99"/>
              </w:rPr>
              <w:t>8.5%</w:t>
            </w: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three months ended March 31, 2026 was approximately $2.3 million, an increase of $3.2 million when compared to the same period in 2025. The improvement in segment operating results was driven primarily by strong sales growth and resulting operating leverage, combined with non-recurring costs incurred in the first quarter of 2025. Segment operating margin was 5.8% in the first three months of 2026 as compared to (2.7)% in the first three months of 2025.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78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2025</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19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65,050</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65,381</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804"/>
              <w:spacing w:after="0"/>
              <w:rPr>
                <w:sz w:val="20"/>
                <w:szCs w:val="20"/>
                <w:color w:val="auto"/>
              </w:rPr>
            </w:pPr>
            <w:r>
              <w:rPr>
                <w:rFonts w:ascii="Arial" w:cs="Arial" w:eastAsia="Arial" w:hAnsi="Arial"/>
                <w:sz w:val="15"/>
                <w:szCs w:val="15"/>
                <w:color w:val="auto"/>
              </w:rPr>
              <w:t>(331)</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(0.5)%</w:t>
            </w:r>
          </w:p>
        </w:tc>
      </w:tr>
    </w:tbl>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March 31, 2026 were approximately $65.1 million, a decrease of $0.3 million, or 0.5%, compared to net sales of $65.4 million in the same period in 2025. The net sales variance reflects an increase in the Sterno business unit related to distribution gains within most major channels that was more than offset by a decline in the Rimports business unit related to distribution losses in key channels.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53" w:name="page54"/>
    <w:bookmarkEnd w:id="53"/>
    <w:tbl>
      <w:tblPr>
        <w:tblLayout w:type="fixed"/>
        <w:tblInd w:w="580" w:type="dxa"/>
        <w:tblCellMar>
          <w:top w:w="0" w:type="dxa"/>
          <w:left w:w="0" w:type="dxa"/>
          <w:bottom w:w="0" w:type="dxa"/>
          <w:right w:w="0" w:type="dxa"/>
        </w:tblCellMar>
      </w:tblPr>
      <w:tr>
        <w:trPr>
          <w:trHeight w:val="208"/>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r>
        <w:trPr>
          <w:trHeight w:val="196"/>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2026</w:t>
            </w:r>
          </w:p>
        </w:tc>
        <w:tc>
          <w:tcPr>
            <w:tcW w:w="24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2025</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20" w:type="dxa"/>
            <w:vAlign w:val="bottom"/>
          </w:tcPr>
          <w:p>
            <w:pPr>
              <w:spacing w:after="0"/>
              <w:rPr>
                <w:sz w:val="17"/>
                <w:szCs w:val="17"/>
                <w:color w:val="auto"/>
              </w:rPr>
            </w:pPr>
          </w:p>
        </w:tc>
      </w:tr>
      <w:tr>
        <w:trPr>
          <w:trHeight w:val="19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7,223</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6,358</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rPr>
              <w:t>865</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13.6 %</w:t>
            </w:r>
          </w:p>
        </w:tc>
      </w:tr>
      <w:tr>
        <w:trPr>
          <w:trHeight w:val="162"/>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11.1 %</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9.7 %</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1.4 %</w:t>
            </w:r>
          </w:p>
        </w:tc>
        <w:tc>
          <w:tcPr>
            <w:tcW w:w="52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March 31, 2026 was approximately $ 7.2 million, an increase of $0.9 million compared to the three months ended March 31, 2025, driven primarily by improved gross profit due to productivity initiatives across manufactured and procured items and beneficial deflation across key input costs. Gross profit as a percentage of net sales was 28.4% in the three months ended March 31, 2026 as compared to 26.5% in the three months ended March 31, 2025. Segment operating margin was 11.1% in the first three months of 2026 as compared to 9.7% in the first three months of 2025.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 cash primarily from the operations of our subsidiaries, and we have the ability to borrow under our 2022 Credit Facility to fund our operating, investing and financing activities. Our principal uses of cash are operating expenses, management fees, capital expenditures, working capital needs, debt service, distributions on the preferred shares of the Trust and strategic growth initiatives, including acquisitions. In connection with the Lugano Investigation and the restatement of our previously issued financial statements, we incurred significant accounting, financing, legal and other professional costs, including costs related to litigation, governmental investigations, financing arrangements and internal control remediation. We also expect to continue to incur costs associated with ongoing securities litigation, derivative litigation, governmental investigations and efforts to remediate and strengthen internal controls.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2026, we had $ 1,029.4 million of indebtedness associated with our 5.250% Senior Notes due 2029, $308.8 million of indebtedness associated with our 5.000% Senior Notes due 2032, $534.0 million outstanding under the term loans under our 2022 Credit Facility, and no revolving borrowings outstanding under the 2022 Credit Facility. At March 31, 2026, net availability under the 2022 Credit Facility was $99.1 million after giving effect to approximately $0.9 million of outstanding letters of credit. Long-term debt liquidity requirements consist of payment in full of the Senior Notes upon their respective maturity dates, principal and interest payments under the term loans under the 2022 Credit Facility, and repayment of any revolving borrowings under the 2022 Credit Facility upon maturity. Amounts outstanding under the 2022 Credit Facility mature on July 12, 2027. In addition, on December 19, 2025, the LLC entered into a Fifth Amendment to the 2022 Credit Facility (the “Fifth Amendment”) and a related transaction letter (the “Transaction Letter”) and, pursuant to the Transaction Letter, if (i) the Consolidated Total Leverage Ratio is not less than 4.50:1.00 and (ii) the Consolidated Senior Secured Leverage Ratio is not less than 1:00 to 1:00, as of the last day of the fiscal quarters ending June 30, 2026, September 30, 2026, December 31, 2026 and March 31, 2027, respectively, the Company is required to pay to the Administrative Agent, for the ratable benefit of the Lenders, the milestone fees in the amount of $5,000,000, $6,500,000, $8,000,000 and $9,500,000, respectively, subject to certain conditions. At March 31, 2026, approximately 29% of our outstanding debt was subject to interest rate changes.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2026, we had approximately $65.2 million of cash and cash equivalents on hand, a decrease of $2.8 million as compared to the year ended December 31, 2025. The majority of our cash is held in non-interest bearing checking accounts or invested in short-term money market accounts in accordance with the Company’s investment policy, which identifies allowable investments and specifies credit quality standards.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Below is a summary of the change in cash and cash equivalents for the three months ended March 31, 2026 and 2025 is as follows :</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380" w:type="dxa"/>
            <w:vAlign w:val="bottom"/>
            <w:tcBorders>
              <w:top w:val="single" w:sz="8" w:color="auto"/>
              <w:bottom w:val="single" w:sz="8" w:color="auto"/>
            </w:tcBorders>
            <w:gridSpan w:val="4"/>
          </w:tcPr>
          <w:p>
            <w:pPr>
              <w:jc w:val="right"/>
              <w:ind w:right="14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2026</w:t>
            </w:r>
          </w:p>
        </w:tc>
        <w:tc>
          <w:tcPr>
            <w:tcW w:w="320" w:type="dxa"/>
            <w:vAlign w:val="bottom"/>
          </w:tcPr>
          <w:p>
            <w:pPr>
              <w:spacing w:after="0"/>
              <w:rPr>
                <w:sz w:val="18"/>
                <w:szCs w:val="18"/>
                <w:color w:val="auto"/>
              </w:rPr>
            </w:pPr>
          </w:p>
        </w:tc>
        <w:tc>
          <w:tcPr>
            <w:tcW w:w="1920" w:type="dxa"/>
            <w:vAlign w:val="bottom"/>
          </w:tcPr>
          <w:p>
            <w:pPr>
              <w:jc w:val="right"/>
              <w:ind w:right="479"/>
              <w:spacing w:after="0"/>
              <w:rPr>
                <w:sz w:val="20"/>
                <w:szCs w:val="20"/>
                <w:color w:val="auto"/>
              </w:rPr>
            </w:pPr>
            <w:r>
              <w:rPr>
                <w:rFonts w:ascii="Arial" w:cs="Arial" w:eastAsia="Arial" w:hAnsi="Arial"/>
                <w:sz w:val="16"/>
                <w:szCs w:val="16"/>
                <w:b w:val="1"/>
                <w:bCs w:val="1"/>
                <w:color w:val="auto"/>
              </w:rPr>
              <w:t>March 31, 2025</w:t>
            </w:r>
          </w:p>
        </w:tc>
      </w:tr>
      <w:tr>
        <w:trPr>
          <w:trHeight w:val="178"/>
        </w:trPr>
        <w:tc>
          <w:tcPr>
            <w:tcW w:w="54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r>
      <w:tr>
        <w:trPr>
          <w:trHeight w:val="22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5"/>
        </w:trPr>
        <w:tc>
          <w:tcPr>
            <w:tcW w:w="5400" w:type="dxa"/>
            <w:vAlign w:val="bottom"/>
          </w:tcPr>
          <w:p>
            <w:pPr>
              <w:ind w:left="34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23,914</w:t>
            </w:r>
          </w:p>
        </w:tc>
        <w:tc>
          <w:tcPr>
            <w:tcW w:w="2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(29,348)</w:t>
            </w:r>
          </w:p>
        </w:tc>
      </w:tr>
      <w:tr>
        <w:trPr>
          <w:trHeight w:val="217"/>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(12,922)</w:t>
            </w:r>
          </w:p>
        </w:tc>
      </w:tr>
      <w:tr>
        <w:trPr>
          <w:trHeight w:val="215"/>
        </w:trPr>
        <w:tc>
          <w:tcPr>
            <w:tcW w:w="5400" w:type="dxa"/>
            <w:vAlign w:val="bottom"/>
          </w:tcPr>
          <w:p>
            <w:pPr>
              <w:ind w:left="34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(32,809)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128,240</w:t>
            </w:r>
          </w:p>
        </w:tc>
      </w:tr>
      <w:tr>
        <w:trPr>
          <w:trHeight w:val="217"/>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exchange rates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09"/>
        </w:trPr>
        <w:tc>
          <w:tcPr>
            <w:tcW w:w="54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(2,832)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86,576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68,015</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59,659</w:t>
            </w:r>
          </w:p>
        </w:tc>
      </w:tr>
      <w:tr>
        <w:trPr>
          <w:trHeight w:val="210"/>
        </w:trPr>
        <w:tc>
          <w:tcPr>
            <w:tcW w:w="5400" w:type="dxa"/>
            <w:vAlign w:val="bottom"/>
          </w:tcPr>
          <w:p>
            <w:pPr>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65,183</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146,235</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March 31, 2026, net cash provided by operating activities totaled approximately $23.9 million, which represents a $53.3 million decrease in cash use compared to cash used in operating activities of $29.3 million during the three-month period ended March 31, 2025. This change reflects improvements in operating results and other operating cash flow drivers, including working capital activity. Cash provided by working capital for the three months ended March 31, 2026 was $7.7 million, as compared to cash used for working capital of $12.6 million for the three months ended March 31, 2025. We typically use more cash for working capital in the first half of the year as we build inventories following the fourth quarter of the prior year. During the prior year period, we accelerated certain inventory receipts ahead of anticipated tariff implementations, which increased inventory levels and contributed to higher working capital cash outflows. Exclusive of inventory, working capital usage at the LLC and the Company’s other operating segments was generally consistent with the prior year. The prior period working capital usage also reflects the operating activities of Lugano, which is no longer an operating segment of the Company after filing for bankruptcy in November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provided by investing activities for the three months ended March 31, 2026 totaled $6.2 million, compared to cash used in investing activities of $12.9 million in the same period of 2025. In the current year, cash provided by investing activities reflects cash proceeds from a sale leaseback transaction that occurred in the first quarter at our Altor business. The remainder of investing activities in the current year and investing activities in the prior year is primarily capital expenditures. Capital expenditures decreased $8.0 million during the three months ended March 31, 2026 as compared to the three months ended March 31, 2025, with $5.1 million in capital expenditures in 2026 and $13.1 million in capital expenditures in 2025. Capital expenditures in the prior year included expenditures at Lugano, which is no longer an operating segment of the Company after filing for bankruptcy in November 2025, and higher than usual capital expenditures at Arnold as they relocated two of their product divisions to a new facility in the United States. We expect capital expenditures for the full year of 2026 to be approximately $30 million to $40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used by financing activities totaled approximately $32.8 million during the three months ended March 31, 2026 compared to cash flows provided by financing activities of $128.2 million during the three months ended March 31, 2025. Financing activities in the current year reflected repayments of term loans under the 2022 Credit Facility of $18.5 million, payment of the Trust preferred share distribution of $9.7 million and transactions with noncontrolling shareholders at the Company's subsidiaries. In the prior year, we added an additional $200 million in outstanding term loan, a portion of which was used to repay amounts outstanding under our revolving credit facility. Financing activities in the first three months of 2025 also reflects $58.1 million in proceeds from the issuance of Trust preferred shares, the payment of the Company's preferred share distribution of $8.4 million and the payment of the Company's common share distribution of $18.8 million. The Company suspended common share distributions in May 2025, therefore no common distribution was made subsequent to May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5" w:name="page56"/>
    <w:bookmarkEnd w:id="55"/>
    <w:p>
      <w:pPr>
        <w:jc w:val="both"/>
        <w:spacing w:after="0" w:line="287" w:lineRule="auto"/>
        <w:rPr>
          <w:sz w:val="20"/>
          <w:szCs w:val="20"/>
          <w:color w:val="auto"/>
        </w:rPr>
      </w:pPr>
      <w:r>
        <w:rPr>
          <w:rFonts w:ascii="Arial" w:cs="Arial" w:eastAsia="Arial" w:hAnsi="Arial"/>
          <w:sz w:val="18"/>
          <w:szCs w:val="18"/>
          <w:color w:val="auto"/>
        </w:rPr>
        <w:t>Our Lugano business entered into various financing arrangements with third parties that resulted in debt being recorded. In the three months ended March 31, 2025, the net cash flows provided by these financing arrangements totaled $15.6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component of our acquisition financing strategy that we utilize in acquiring the subsidiary businesses we own and manage is to provide both equity capital and debt capital, raised at the parent level through our existing credit facility. Our strategy of providing intercompany debt financing within the capital structure of our subsidiaries allows us the ability to distribute cash to the parent company through monthly interest payments and amortization of the principal on these intercompany loans. Each loan to our subsidiary businesses has a scheduled maturity and each subsidiary business is entitled to repay all or a portion of the principal amount of the outstanding loans, without penalty, prior to maturity. Certain of our subsidiaries have paid down their respective intercompany debt balances through the cash flow generated by these subsidiaries and we have recapitalized, and expect to continue to recapitalize, these subsidiaries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will from time to time, amend the intercompany credit agreements to reflect changes in the business or funding needs of our businesses.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amendments have been made in the time period indicated:</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2025, Arnold was not in compliance with the fixed charge coverage ratio and leverage ratio covenants contained within its intercompany credit agreement. In the fourth quarter of 2025, we amended the Arnold credit agreement to increase the amount of availability under the revolving credit facility and to waive the covenant violations that existed as of September 30, 2025. Arnold was not in compliance with the fixed charge coverage ratio and leverage ratio covenants contained within its intercompany credit agreement at December 31, 2025, and was not in compliance with the fixed charge coverage ratio at March 31, 2026 and was granted a waiver for the covenant violations in each period.</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first quarter of 2025, we amended the Velocity intercompany credit agreement to amend the applicable fixed charge coverage ratio covenant and the applicable Total Debt to EBITDA ratio covenant. Velocity was not in compliance with the fixed charge coverage ratio or leverage ratio in their intercompany credit agreement at September 30, 2025, December 31, 2025 and March 31, 2026 and was granted a waiver for the covenant violations in each period.</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of our subsidiaries were in compliance with the financial covenants under their intercompany credit arrangements at March 31, 2026 except Velocity and Arnold, each of which received waivers for the applicable covenant violations.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intercompany loans eliminate in consolidation and are not reflected in the consolidated balance sheet. As of March 31, 2026, we had the following outstanding loans due from each of our subsidiary businesses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Subsidiary</w:t>
            </w:r>
          </w:p>
        </w:tc>
        <w:tc>
          <w:tcPr>
            <w:tcW w:w="74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Intercompany loan</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118,053</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BOA</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111,701</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PrimaLoft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144,626</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The Honey Pot Co.</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75,000</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55,775</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Altor</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158,996</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91,710</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Sterno</w:t>
            </w:r>
          </w:p>
        </w:tc>
        <w:tc>
          <w:tcPr>
            <w:tcW w:w="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31,213</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intercompany debt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787,074</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eliminations</w:t>
            </w:r>
          </w:p>
        </w:tc>
        <w:tc>
          <w:tcPr>
            <w:tcW w:w="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(787,074)</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139"/>
              <w:spacing w:after="0"/>
              <w:rPr>
                <w:sz w:val="20"/>
                <w:szCs w:val="20"/>
                <w:color w:val="auto"/>
              </w:rPr>
            </w:pPr>
            <w:r>
              <w:rPr>
                <w:rFonts w:ascii="Arial" w:cs="Arial" w:eastAsia="Arial" w:hAnsi="Arial"/>
                <w:sz w:val="16"/>
                <w:szCs w:val="16"/>
                <w:color w:val="auto"/>
              </w:rPr>
              <w:t>56</w:t>
            </w: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9A9A9A"/>
            </w:tcBorders>
          </w:tcPr>
          <w:p>
            <w:pPr>
              <w:spacing w:after="0"/>
              <w:rPr>
                <w:sz w:val="14"/>
                <w:szCs w:val="14"/>
                <w:color w:val="auto"/>
              </w:rPr>
            </w:pPr>
          </w:p>
        </w:tc>
        <w:tc>
          <w:tcPr>
            <w:tcW w:w="22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subsidiaries. Accordingly, we are dependent upon the earnings of and cash flow from these businesses, which are available for (i) operating expenses; (ii) payment of principal and interest under our applicable credit facility and interest on our Senior Notes; (iii) payments to CGM due pursuant to the MSA and payments to Sostratus LLC pursuant to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and Capital Structure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capital structure includes (i) the 2022 Credit Facility and (ii) the Senior Notes. See “</w:t>
      </w:r>
      <w:r>
        <w:rPr>
          <w:rFonts w:ascii="Arial" w:cs="Arial" w:eastAsia="Arial" w:hAnsi="Arial"/>
          <w:sz w:val="18"/>
          <w:szCs w:val="18"/>
          <w:u w:val="single" w:color="auto"/>
          <w:color w:val="0000FF"/>
        </w:rPr>
        <w:t>Note G — Debt</w:t>
      </w:r>
      <w:r>
        <w:rPr>
          <w:rFonts w:ascii="Arial" w:cs="Arial" w:eastAsia="Arial" w:hAnsi="Arial"/>
          <w:sz w:val="18"/>
          <w:szCs w:val="18"/>
          <w:color w:val="auto"/>
        </w:rPr>
        <w:t>” included in the "Notes to the Consolidated Financial Statements" in this Form 10-Q for additional detail regarding our debt instruments, including outstanding balances, borrowing terms, covenant requirements, and availability under the 2022 Credit Facility.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availability under the 2022 Revolving Credit Facility after giving effect to the Fifth Amendment was approximately $99.1 million at March 31, 2026. The outstanding borrowings under the 2022 Revolving Credit Facility include $0.9 million of outstanding letters of credit at March 31, 2026, which are not reflected on our balance sheet.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3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top w:val="single" w:sz="8" w:color="auto"/>
              <w:bottom w:val="single" w:sz="8" w:color="auto"/>
            </w:tcBorders>
          </w:tcPr>
          <w:p>
            <w:pPr>
              <w:spacing w:after="0"/>
              <w:rPr>
                <w:sz w:val="19"/>
                <w:szCs w:val="19"/>
                <w:color w:val="auto"/>
              </w:rPr>
            </w:pPr>
          </w:p>
        </w:tc>
      </w:tr>
      <w:tr>
        <w:trPr>
          <w:trHeight w:val="209"/>
        </w:trPr>
        <w:tc>
          <w:tcPr>
            <w:tcW w:w="53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credit facilities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9,582</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Interest on Senior Notes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17,391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16,875</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Unused fee on Revolving Credit Facility</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r>
      <w:tr>
        <w:trPr>
          <w:trHeight w:val="216"/>
        </w:trPr>
        <w:tc>
          <w:tcPr>
            <w:tcW w:w="5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interest expense </w:t>
            </w:r>
            <w:r>
              <w:rPr>
                <w:rFonts w:ascii="Arial" w:cs="Arial" w:eastAsia="Arial" w:hAnsi="Arial"/>
                <w:sz w:val="21"/>
                <w:szCs w:val="21"/>
                <w:b w:val="1"/>
                <w:bCs w:val="1"/>
                <w:color w:val="auto"/>
                <w:vertAlign w:val="superscript"/>
              </w:rPr>
              <w:t>(1)</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9,047</w:t>
            </w: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10"/>
        </w:trPr>
        <w:tc>
          <w:tcPr>
            <w:tcW w:w="5380" w:type="dxa"/>
            <w:vAlign w:val="bottom"/>
          </w:tcPr>
          <w:p>
            <w:pPr>
              <w:ind w:left="340"/>
              <w:spacing w:after="0"/>
              <w:rPr>
                <w:sz w:val="20"/>
                <w:szCs w:val="20"/>
                <w:color w:val="auto"/>
              </w:rPr>
            </w:pPr>
            <w:r>
              <w:rPr>
                <w:rFonts w:ascii="Arial" w:cs="Arial" w:eastAsia="Arial" w:hAnsi="Arial"/>
                <w:sz w:val="16"/>
                <w:szCs w:val="16"/>
                <w:color w:val="auto"/>
              </w:rPr>
              <w:t>Interest expense, net</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27,495</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35,851</w:t>
            </w:r>
          </w:p>
        </w:tc>
      </w:tr>
      <w:tr>
        <w:trPr>
          <w:trHeight w:val="20"/>
        </w:trPr>
        <w:tc>
          <w:tcPr>
            <w:tcW w:w="5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b w:val="1"/>
          <w:bCs w:val="1"/>
          <w:color w:val="auto"/>
          <w:vertAlign w:val="superscript"/>
        </w:rPr>
      </w:pPr>
      <w:r>
        <w:rPr>
          <w:rFonts w:ascii="Arial" w:cs="Arial" w:eastAsia="Arial" w:hAnsi="Arial"/>
          <w:sz w:val="16"/>
          <w:szCs w:val="16"/>
          <w:color w:val="auto"/>
        </w:rPr>
        <w:t>Other interest expense in the three months ended March 31, 2025 includes interest amounts related to Lugano financing arrangements.</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The following table provides the effective interest rate of the Company’s outstanding debt at March 31, 2026 and December 31, 2025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3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5"/>
                <w:szCs w:val="15"/>
                <w:b w:val="1"/>
                <w:bCs w:val="1"/>
                <w:color w:val="auto"/>
              </w:rPr>
              <w:t>March 31, 2026</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2025</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Effective Interest Rate</w:t>
            </w: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50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Effective Interest Rate</w:t>
            </w:r>
          </w:p>
        </w:tc>
        <w:tc>
          <w:tcPr>
            <w:tcW w:w="1020" w:type="dxa"/>
            <w:vAlign w:val="bottom"/>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w:t>
            </w: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1,029,371</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8.15%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1,029,371</w:t>
            </w:r>
          </w:p>
        </w:tc>
        <w:tc>
          <w:tcPr>
            <w:tcW w:w="0" w:type="dxa"/>
            <w:vAlign w:val="bottom"/>
          </w:tcPr>
          <w:p>
            <w:pPr>
              <w:spacing w:after="0"/>
              <w:rPr>
                <w:sz w:val="1"/>
                <w:szCs w:val="1"/>
                <w:color w:val="auto"/>
              </w:rPr>
            </w:pPr>
          </w:p>
        </w:tc>
      </w:tr>
      <w:tr>
        <w:trPr>
          <w:trHeight w:val="215"/>
        </w:trPr>
        <w:tc>
          <w:tcPr>
            <w:tcW w:w="400" w:type="dxa"/>
            <w:vAlign w:val="bottom"/>
          </w:tcPr>
          <w:p>
            <w:pPr>
              <w:ind w:left="20"/>
              <w:spacing w:after="0"/>
              <w:rPr>
                <w:sz w:val="20"/>
                <w:szCs w:val="20"/>
                <w:color w:val="auto"/>
              </w:rPr>
            </w:pPr>
            <w:r>
              <w:rPr>
                <w:rFonts w:ascii="Arial" w:cs="Arial" w:eastAsia="Arial" w:hAnsi="Arial"/>
                <w:sz w:val="16"/>
                <w:szCs w:val="16"/>
                <w:color w:val="auto"/>
              </w:rPr>
              <w:t>2032</w:t>
            </w:r>
          </w:p>
        </w:tc>
        <w:tc>
          <w:tcPr>
            <w:tcW w:w="3920" w:type="dxa"/>
            <w:vAlign w:val="bottom"/>
          </w:tcPr>
          <w:p>
            <w:pPr>
              <w:ind w:left="40"/>
              <w:spacing w:after="0"/>
              <w:rPr>
                <w:sz w:val="20"/>
                <w:szCs w:val="20"/>
                <w:color w:val="auto"/>
              </w:rPr>
            </w:pPr>
            <w:r>
              <w:rPr>
                <w:rFonts w:ascii="Arial" w:cs="Arial" w:eastAsia="Arial" w:hAnsi="Arial"/>
                <w:sz w:val="16"/>
                <w:szCs w:val="16"/>
                <w:color w:val="auto"/>
              </w:rPr>
              <w:t>Senior Notes</w:t>
            </w:r>
          </w:p>
        </w:tc>
        <w:tc>
          <w:tcPr>
            <w:tcW w:w="2000" w:type="dxa"/>
            <w:vAlign w:val="bottom"/>
          </w:tcPr>
          <w:p>
            <w:pPr>
              <w:jc w:val="center"/>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308,811</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308,811</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Facility - Term Loan</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534,000</w:t>
            </w:r>
          </w:p>
        </w:tc>
        <w:tc>
          <w:tcPr>
            <w:tcW w:w="2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552,500</w:t>
            </w:r>
          </w:p>
        </w:tc>
        <w:tc>
          <w:tcPr>
            <w:tcW w:w="0" w:type="dxa"/>
            <w:vAlign w:val="bottom"/>
          </w:tcPr>
          <w:p>
            <w:pPr>
              <w:spacing w:after="0"/>
              <w:rPr>
                <w:sz w:val="1"/>
                <w:szCs w:val="1"/>
                <w:color w:val="auto"/>
              </w:rPr>
            </w:pPr>
          </w:p>
        </w:tc>
      </w:tr>
      <w:tr>
        <w:trPr>
          <w:trHeight w:val="215"/>
        </w:trPr>
        <w:tc>
          <w:tcPr>
            <w:tcW w:w="400" w:type="dxa"/>
            <w:vAlign w:val="bottom"/>
          </w:tcPr>
          <w:p>
            <w:pPr>
              <w:ind w:left="20"/>
              <w:spacing w:after="0"/>
              <w:rPr>
                <w:sz w:val="20"/>
                <w:szCs w:val="20"/>
                <w:color w:val="auto"/>
              </w:rPr>
            </w:pPr>
            <w:r>
              <w:rPr>
                <w:rFonts w:ascii="Arial" w:cs="Arial" w:eastAsia="Arial" w:hAnsi="Arial"/>
                <w:sz w:val="16"/>
                <w:szCs w:val="16"/>
                <w:color w:val="auto"/>
              </w:rPr>
              <w:t>2022</w:t>
            </w:r>
          </w:p>
        </w:tc>
        <w:tc>
          <w:tcPr>
            <w:tcW w:w="3920" w:type="dxa"/>
            <w:vAlign w:val="bottom"/>
          </w:tcPr>
          <w:p>
            <w:pPr>
              <w:ind w:left="40"/>
              <w:spacing w:after="0"/>
              <w:rPr>
                <w:sz w:val="20"/>
                <w:szCs w:val="20"/>
                <w:color w:val="auto"/>
              </w:rPr>
            </w:pPr>
            <w:r>
              <w:rPr>
                <w:rFonts w:ascii="Arial" w:cs="Arial" w:eastAsia="Arial" w:hAnsi="Arial"/>
                <w:sz w:val="16"/>
                <w:szCs w:val="16"/>
                <w:color w:val="auto"/>
              </w:rPr>
              <w:t>Credit Facility -Revolving Loans</w:t>
            </w:r>
          </w:p>
        </w:tc>
        <w:tc>
          <w:tcPr>
            <w:tcW w:w="2320" w:type="dxa"/>
            <w:vAlign w:val="bottom"/>
            <w:gridSpan w:val="3"/>
          </w:tcPr>
          <w:p>
            <w:pPr>
              <w:jc w:val="center"/>
              <w:ind w:right="259"/>
              <w:spacing w:after="0"/>
              <w:rPr>
                <w:sz w:val="20"/>
                <w:szCs w:val="20"/>
                <w:color w:val="auto"/>
              </w:rPr>
            </w:pPr>
            <w:r>
              <w:rPr>
                <w:rFonts w:ascii="Arial" w:cs="Arial" w:eastAsia="Arial" w:hAnsi="Arial"/>
                <w:sz w:val="16"/>
                <w:szCs w:val="16"/>
                <w:color w:val="auto"/>
                <w:w w:val="9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500" w:type="dxa"/>
            <w:vAlign w:val="bottom"/>
            <w:gridSpan w:val="3"/>
          </w:tcPr>
          <w:p>
            <w:pPr>
              <w:jc w:val="center"/>
              <w:ind w:right="439"/>
              <w:spacing w:after="0"/>
              <w:rPr>
                <w:sz w:val="20"/>
                <w:szCs w:val="20"/>
                <w:color w:val="auto"/>
              </w:rPr>
            </w:pPr>
            <w:r>
              <w:rPr>
                <w:rFonts w:ascii="Arial" w:cs="Arial" w:eastAsia="Arial" w:hAnsi="Arial"/>
                <w:sz w:val="16"/>
                <w:szCs w:val="16"/>
                <w:color w:val="auto"/>
                <w:w w:val="9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(11,934)</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(13,365)</w:t>
            </w:r>
          </w:p>
        </w:tc>
        <w:tc>
          <w:tcPr>
            <w:tcW w:w="0" w:type="dxa"/>
            <w:vAlign w:val="bottom"/>
          </w:tcPr>
          <w:p>
            <w:pPr>
              <w:spacing w:after="0"/>
              <w:rPr>
                <w:sz w:val="1"/>
                <w:szCs w:val="1"/>
                <w:color w:val="auto"/>
              </w:rPr>
            </w:pPr>
          </w:p>
        </w:tc>
      </w:tr>
      <w:tr>
        <w:trPr>
          <w:trHeight w:val="209"/>
        </w:trPr>
        <w:tc>
          <w:tcPr>
            <w:tcW w:w="4320" w:type="dxa"/>
            <w:vAlign w:val="bottom"/>
            <w:gridSpan w:val="2"/>
          </w:tcPr>
          <w:p>
            <w:pPr>
              <w:ind w:left="360"/>
              <w:spacing w:after="0"/>
              <w:rPr>
                <w:sz w:val="20"/>
                <w:szCs w:val="20"/>
                <w:color w:val="auto"/>
              </w:rPr>
            </w:pPr>
            <w:r>
              <w:rPr>
                <w:rFonts w:ascii="Arial" w:cs="Arial" w:eastAsia="Arial" w:hAnsi="Arial"/>
                <w:sz w:val="16"/>
                <w:szCs w:val="16"/>
                <w:color w:val="auto"/>
              </w:rPr>
              <w:t>Total debt outstanding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1,860,248</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1,877,317</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0" w:type="dxa"/>
            <w:vAlign w:val="bottom"/>
            <w:vMerge w:val="restart"/>
          </w:tcPr>
          <w:p>
            <w:pPr>
              <w:jc w:val="right"/>
              <w:ind w:right="52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5"/>
        </w:trPr>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0" w:type="dxa"/>
            <w:vAlign w:val="bottom"/>
            <w:tcBorders>
              <w:bottom w:val="single" w:sz="8" w:color="9A9A9A"/>
            </w:tcBorders>
          </w:tcPr>
          <w:p>
            <w:pPr>
              <w:spacing w:after="0"/>
              <w:rPr>
                <w:sz w:val="13"/>
                <w:szCs w:val="13"/>
                <w:color w:val="auto"/>
              </w:rPr>
            </w:pPr>
          </w:p>
        </w:tc>
        <w:tc>
          <w:tcPr>
            <w:tcW w:w="39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included information to reconcile non-GAAP financial measures for the periods presented to the most directly comparable GAAP financial measure. We use non-GAAP information for financial and operational decision-making purposes and as a means to evaluate the underlying performance of our business and/or in forecasting our business. We believe that the presentation of such non-GAAP information, when considered in conjunction with the most directly comparable GAAP information, provides additional useful information for investors in their assessment of the underlying performance of our business. The presentation of these non-GAAP financial measures supplements other metrics we use to internally evaluate our subsidiary businesses and facilitate the comparison of past and present operations. These measures are not intended to replace the presentation of financial results in accordance with U.S. GAAP, and may be different from or otherwise inconsistent with non-GAAP financial measures used by other companies.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tables below reconcile the most directly comparable GAAP financial measures to Adjusted earnings before Interest, Income Taxes, Depreciation and Amortization ("Adjusted EBITDA") and Adjusted Earnings.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 EBITDA is calculated as net income (loss) from continuing operations before interest expense, income 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(benefit), depreciation expense and amortization expense. Amortization expenses consist of amortization of intangibles, amortization of inventory step-up associated with purchase price allocations of our acquisitions, and debt charges, including debt issuance costs. Adjusted EBITDA is calculated utilizing the same calculation as described in arriving at EBITDA further adjusted 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(iii) impairment charges, which reflect write downs to goodwill or other intangible assets;</w:t>
      </w:r>
    </w:p>
    <w:p>
      <w:pPr>
        <w:spacing w:after="0" w:line="3" w:lineRule="exact"/>
        <w:rPr>
          <w:sz w:val="20"/>
          <w:szCs w:val="20"/>
          <w:color w:val="auto"/>
        </w:rPr>
      </w:pPr>
    </w:p>
    <w:p>
      <w:pPr>
        <w:jc w:val="both"/>
        <w:ind w:firstLine="8"/>
        <w:spacing w:after="0" w:line="258" w:lineRule="auto"/>
        <w:tabs>
          <w:tab w:leader="none" w:pos="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subsequent to initial purchase accounting, (v) integration service fees, which reflect fees paid by newly acquired companies to the Manager for integration services performed during the first year of ownership; and (vi) items of other income or expense that are material to a subsidiary and non-recurring in nature.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Adjusted Earnings </w:t>
      </w:r>
      <w:r>
        <w:rPr>
          <w:rFonts w:ascii="Arial" w:cs="Arial" w:eastAsia="Arial" w:hAnsi="Arial"/>
          <w:sz w:val="18"/>
          <w:szCs w:val="18"/>
          <w:color w:val="auto"/>
        </w:rPr>
        <w:t>–– Adjusted earnings is calculated as net income (loss) adjusted to include the cost of the distributions to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and adjusted to exclude the impact of certain costs, expenses, gains and losses and other specified items the exclusion of which management believes provides insight regarding our ongoing operating performance. Depending on the period presented, these adjusted measures exclude the impact of certain of the following items: gains (losses) and income (loss) from discontinued operations, income (loss) from noncontrolling interest, amortization expense, subsidiary stock compensation expense, acquisition-related expenses and items of other income or expense that may be material to a subsidiary and non-recurring in nature.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and Adjusted Earnings are non-GAAP measures used by the Company to assess its performance. We believe that Adjusted EBITDA and Adjusted Earnings provide useful information to investors and reflect important financial measures that are used by management in the monthly analysis of our operating results and in preparation of our annual budgets. We believe that investors’ understanding of our performance is enhanced by disclosing these performance measures as this presentation allows investors to view the performance of our businesses in a manner similar to the methods used by us and the management of our subsidiary businesses, provides additional insight into our operating results and provides a measure for evaluating targeted businesses for acquisition.</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EBITDA and Adjusted Earnings exclude the effects of items which reflect the impact of long-term investment decisions, rather than the performance of near-term operations. When compared to net income (loss) and net income (loss) from continuing operations, Adjusted Earnings and Adjusted EBITDA, respectively, are each limited in that they do not reflect the periodic costs of certain capital assets used in generating revenues of our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8" w:name="page59"/>
    <w:bookmarkEnd w:id="58"/>
    <w:p>
      <w:pPr>
        <w:jc w:val="both"/>
        <w:spacing w:after="0" w:line="268" w:lineRule="auto"/>
        <w:rPr>
          <w:sz w:val="20"/>
          <w:szCs w:val="20"/>
          <w:color w:val="auto"/>
        </w:rPr>
      </w:pPr>
      <w:r>
        <w:rPr>
          <w:rFonts w:ascii="Arial" w:cs="Arial" w:eastAsia="Arial" w:hAnsi="Arial"/>
          <w:sz w:val="18"/>
          <w:szCs w:val="18"/>
          <w:color w:val="auto"/>
        </w:rPr>
        <w:t>subsidiary businesses or the non-cash charges associated with impairments, as well as certain cash charges. The presentation of Adjusted Earnings provides insight into our operating results. Adjusted EBITDA and Adjusted Earnings are not meant to be a substitute for GAAP, and may be different from or otherwise inconsistent with non-GAAP financial measures used by other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Net income (loss) from continuing operations to Adjusted EBITDA</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tables reconcile </w:t>
      </w:r>
      <w:r>
        <w:rPr>
          <w:rFonts w:ascii="Arial" w:cs="Arial" w:eastAsia="Arial" w:hAnsi="Arial"/>
          <w:sz w:val="18"/>
          <w:szCs w:val="18"/>
          <w:i w:val="1"/>
          <w:iCs w:val="1"/>
          <w:color w:val="auto"/>
        </w:rPr>
        <w:t>Adj</w:t>
      </w:r>
      <w:r>
        <w:rPr>
          <w:rFonts w:ascii="Arial" w:cs="Arial" w:eastAsia="Arial" w:hAnsi="Arial"/>
          <w:sz w:val="18"/>
          <w:szCs w:val="18"/>
          <w:color w:val="auto"/>
        </w:rPr>
        <w:t>u</w:t>
      </w:r>
      <w:r>
        <w:rPr>
          <w:rFonts w:ascii="Arial" w:cs="Arial" w:eastAsia="Arial" w:hAnsi="Arial"/>
          <w:sz w:val="18"/>
          <w:szCs w:val="18"/>
          <w:i w:val="1"/>
          <w:iCs w:val="1"/>
          <w:color w:val="auto"/>
        </w:rPr>
        <w:t>sted EBITDA</w:t>
      </w:r>
      <w:r>
        <w:rPr>
          <w:rFonts w:ascii="Arial" w:cs="Arial" w:eastAsia="Arial" w:hAnsi="Arial"/>
          <w:sz w:val="18"/>
          <w:szCs w:val="18"/>
          <w:color w:val="auto"/>
        </w:rPr>
        <w:t xml:space="preserve"> to net income (loss) from continuing operations,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9" w:name="page60"/>
    <w:bookmarkEnd w:id="59"/>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989330</wp:posOffset>
            </wp:positionV>
            <wp:extent cx="60947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jc w:val="center"/>
        <w:ind w:right="632"/>
        <w:spacing w:after="0"/>
        <w:rPr>
          <w:sz w:val="20"/>
          <w:szCs w:val="20"/>
          <w:color w:val="auto"/>
        </w:rPr>
      </w:pPr>
      <w:r>
        <w:rPr>
          <w:rFonts w:ascii="Arial" w:cs="Arial" w:eastAsia="Arial" w:hAnsi="Arial"/>
          <w:sz w:val="16"/>
          <w:szCs w:val="16"/>
          <w:b w:val="1"/>
          <w:bCs w:val="1"/>
          <w:color w:val="auto"/>
        </w:rPr>
        <w:t>Adjusted EBITDA</w:t>
      </w:r>
    </w:p>
    <w:p>
      <w:pPr>
        <w:spacing w:after="0" w:line="39" w:lineRule="exact"/>
        <w:rPr>
          <w:sz w:val="20"/>
          <w:szCs w:val="20"/>
          <w:color w:val="auto"/>
        </w:rPr>
      </w:pPr>
    </w:p>
    <w:p>
      <w:pPr>
        <w:jc w:val="center"/>
        <w:ind w:right="632"/>
        <w:spacing w:after="0"/>
        <w:rPr>
          <w:sz w:val="20"/>
          <w:szCs w:val="20"/>
          <w:color w:val="auto"/>
        </w:rPr>
      </w:pPr>
      <w:r>
        <w:rPr>
          <w:rFonts w:ascii="Arial" w:cs="Arial" w:eastAsia="Arial" w:hAnsi="Arial"/>
          <w:sz w:val="16"/>
          <w:szCs w:val="16"/>
          <w:b w:val="1"/>
          <w:bCs w:val="1"/>
          <w:color w:val="auto"/>
        </w:rPr>
        <w:t>Three months ended March 31, 2026</w:t>
      </w:r>
    </w:p>
    <w:p>
      <w:pPr>
        <w:spacing w:after="0" w:line="26" w:lineRule="exact"/>
        <w:rPr>
          <w:sz w:val="20"/>
          <w:szCs w:val="20"/>
          <w:color w:val="auto"/>
        </w:rPr>
      </w:pPr>
    </w:p>
    <w:tbl>
      <w:tblPr>
        <w:tblLayout w:type="fixed"/>
        <w:tblInd w:w="328" w:type="dxa"/>
        <w:tblCellMar>
          <w:top w:w="0" w:type="dxa"/>
          <w:left w:w="0" w:type="dxa"/>
          <w:bottom w:w="0" w:type="dxa"/>
          <w:right w:w="0" w:type="dxa"/>
        </w:tblCellMar>
      </w:tblPr>
      <w:tr>
        <w:trPr>
          <w:trHeight w:val="129"/>
        </w:trPr>
        <w:tc>
          <w:tcPr>
            <w:tcW w:w="1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3"/>
                <w:szCs w:val="13"/>
                <w:b w:val="1"/>
                <w:bCs w:val="1"/>
                <w:color w:val="auto"/>
              </w:rPr>
              <w:t>5.11</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BOA</w:t>
            </w:r>
          </w:p>
        </w:tc>
        <w:tc>
          <w:tcPr>
            <w:tcW w:w="8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rPr>
              <w:t>PrimaLoft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THP</w:t>
            </w:r>
          </w:p>
        </w:tc>
        <w:tc>
          <w:tcPr>
            <w:tcW w:w="80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Velocity</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Altor</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Arnold</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Sterno</w:t>
            </w:r>
          </w:p>
        </w:tc>
        <w:tc>
          <w:tcPr>
            <w:tcW w:w="9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Outdoor</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82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income (loss) from</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(38,969)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4,869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11,640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(21,408)</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5,828</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5,047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4,691</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(30,831)</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82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Provision (benefit) for</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7,064</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27,342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27,495</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Intercompany interest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w:t>
            </w:r>
          </w:p>
        </w:tc>
        <w:tc>
          <w:tcPr>
            <w:tcW w:w="700" w:type="dxa"/>
            <w:vAlign w:val="bottom"/>
            <w:vMerge w:val="restart"/>
          </w:tcPr>
          <w:p>
            <w:pPr>
              <w:jc w:val="right"/>
              <w:ind w:right="10"/>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5,267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5,325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4,153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6,584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4"/>
                <w:szCs w:val="14"/>
                <w:color w:val="auto"/>
              </w:rPr>
              <w:t>2,784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3,514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36,793</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amortization</w:t>
            </w: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21,178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40,521</w:t>
            </w: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Other (income) expense</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(10,336)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(7,705)</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Noncontrolling</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2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shareholder</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Impairment expense</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20,500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20,500</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b w:val="1"/>
                <w:bCs w:val="1"/>
                <w:color w:val="auto"/>
                <w:vertAlign w:val="superscript"/>
              </w:rPr>
              <w:t>(1)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Adjusted EBITDA</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(27,352)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14,563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22,200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8,469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13,943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8,296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5,091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11,038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56,521</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328" w:hanging="328"/>
        <w:spacing w:after="0" w:line="231" w:lineRule="auto"/>
        <w:tabs>
          <w:tab w:leader="none" w:pos="193" w:val="left"/>
        </w:tabs>
        <w:numPr>
          <w:ilvl w:val="0"/>
          <w:numId w:val="23"/>
        </w:numPr>
        <w:rPr>
          <w:rFonts w:ascii="Arial" w:cs="Arial" w:eastAsia="Arial" w:hAnsi="Arial"/>
          <w:sz w:val="23"/>
          <w:szCs w:val="23"/>
          <w:b w:val="1"/>
          <w:bCs w:val="1"/>
          <w:color w:val="auto"/>
          <w:vertAlign w:val="superscript"/>
        </w:rPr>
      </w:pPr>
      <w:r>
        <w:rPr>
          <w:rFonts w:ascii="Arial" w:cs="Arial" w:eastAsia="Arial" w:hAnsi="Arial"/>
          <w:sz w:val="18"/>
          <w:szCs w:val="18"/>
          <w:color w:val="auto"/>
        </w:rPr>
        <w:t>Other represents non-recurring operating expenses that are included by management in the calculation of Adjusted EBITDA when analyzing monthly operating results of our subsidiaries.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111125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1195070</wp:posOffset>
            </wp:positionV>
            <wp:extent cx="65919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Adjusted EBITDA</w:t>
      </w:r>
    </w:p>
    <w:p>
      <w:pPr>
        <w:spacing w:after="0" w:line="39"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Three months ended March 31,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7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3"/>
                <w:szCs w:val="13"/>
                <w:b w:val="1"/>
                <w:bCs w:val="1"/>
                <w:color w:val="auto"/>
              </w:rPr>
              <w:t>5.11</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BOA</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Lugano</w:t>
            </w:r>
          </w:p>
        </w:tc>
        <w:tc>
          <w:tcPr>
            <w:tcW w:w="8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rPr>
              <w:t>PrimaLoft</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THP</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Velocity</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Altor</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Arnold</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Sterno</w:t>
            </w:r>
          </w:p>
        </w:tc>
        <w:tc>
          <w:tcPr>
            <w:tcW w:w="9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18"/>
        </w:trPr>
        <w:tc>
          <w:tcPr>
            <w:tcW w:w="17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Outdoor</w:t>
            </w: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7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Net income (loss) from</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continuing operations</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1,754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(49,754)</w:t>
            </w:r>
          </w:p>
        </w:tc>
        <w:tc>
          <w:tcPr>
            <w:tcW w:w="0" w:type="dxa"/>
            <w:vAlign w:val="bottom"/>
          </w:tcPr>
          <w:p>
            <w:pPr>
              <w:spacing w:after="0"/>
              <w:rPr>
                <w:sz w:val="1"/>
                <w:szCs w:val="1"/>
                <w:color w:val="auto"/>
              </w:rPr>
            </w:pPr>
          </w:p>
        </w:tc>
      </w:tr>
      <w:tr>
        <w:trPr>
          <w:trHeight w:val="198"/>
        </w:trPr>
        <w:tc>
          <w:tcPr>
            <w:tcW w:w="1760" w:type="dxa"/>
            <w:vAlign w:val="bottom"/>
          </w:tcPr>
          <w:p>
            <w:pPr>
              <w:spacing w:after="0"/>
              <w:rPr>
                <w:sz w:val="20"/>
                <w:szCs w:val="20"/>
                <w:color w:val="auto"/>
              </w:rPr>
            </w:pPr>
            <w:r>
              <w:rPr>
                <w:rFonts w:ascii="Arial" w:cs="Arial" w:eastAsia="Arial" w:hAnsi="Arial"/>
                <w:sz w:val="14"/>
                <w:szCs w:val="14"/>
                <w:color w:val="auto"/>
              </w:rPr>
              <w:t>Adjusted for:</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CEEFF"/>
          </w:tcPr>
          <w:p>
            <w:pPr>
              <w:ind w:left="180"/>
              <w:spacing w:after="0" w:line="153" w:lineRule="exact"/>
              <w:rPr>
                <w:sz w:val="20"/>
                <w:szCs w:val="20"/>
                <w:color w:val="auto"/>
              </w:rPr>
            </w:pPr>
            <w:r>
              <w:rPr>
                <w:rFonts w:ascii="Arial" w:cs="Arial" w:eastAsia="Arial" w:hAnsi="Arial"/>
                <w:sz w:val="14"/>
                <w:szCs w:val="14"/>
                <w:color w:val="auto"/>
              </w:rPr>
              <w:t>Provision (benefit) for</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419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997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60" w:type="dxa"/>
            <w:vAlign w:val="bottom"/>
          </w:tcPr>
          <w:p>
            <w:pPr>
              <w:ind w:left="18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26,843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8,875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35,851</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interest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5,772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5,248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1,593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5,315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4"/>
                <w:szCs w:val="14"/>
                <w:color w:val="auto"/>
              </w:rPr>
              <w:t>4,160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4"/>
                <w:szCs w:val="14"/>
                <w:color w:val="auto"/>
              </w:rPr>
              <w:t>1,369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7,192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2,578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3,476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36,777</w:t>
            </w: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EBITDA</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18,640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8,933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25,412</w:t>
            </w:r>
          </w:p>
        </w:tc>
        <w:tc>
          <w:tcPr>
            <w:tcW w:w="0" w:type="dxa"/>
            <w:vAlign w:val="bottom"/>
          </w:tcPr>
          <w:p>
            <w:pPr>
              <w:spacing w:after="0"/>
              <w:rPr>
                <w:sz w:val="1"/>
                <w:szCs w:val="1"/>
                <w:color w:val="auto"/>
              </w:rPr>
            </w:pPr>
          </w:p>
        </w:tc>
      </w:tr>
      <w:tr>
        <w:trPr>
          <w:trHeight w:val="198"/>
        </w:trPr>
        <w:tc>
          <w:tcPr>
            <w:tcW w:w="1760" w:type="dxa"/>
            <w:vAlign w:val="bottom"/>
          </w:tcPr>
          <w:p>
            <w:pPr>
              <w:ind w:left="18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13,515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13,681</w:t>
            </w:r>
          </w:p>
        </w:tc>
        <w:tc>
          <w:tcPr>
            <w:tcW w:w="0" w:type="dxa"/>
            <w:vAlign w:val="bottom"/>
          </w:tcPr>
          <w:p>
            <w:pPr>
              <w:spacing w:after="0"/>
              <w:rPr>
                <w:sz w:val="1"/>
                <w:szCs w:val="1"/>
                <w:color w:val="auto"/>
              </w:rPr>
            </w:pPr>
          </w:p>
        </w:tc>
      </w:tr>
      <w:tr>
        <w:trPr>
          <w:trHeight w:val="153"/>
        </w:trPr>
        <w:tc>
          <w:tcPr>
            <w:tcW w:w="1760" w:type="dxa"/>
            <w:vAlign w:val="bottom"/>
            <w:shd w:val="clear" w:color="auto" w:fill="CCEEFF"/>
          </w:tcPr>
          <w:p>
            <w:pPr>
              <w:ind w:left="180"/>
              <w:spacing w:after="0" w:line="153" w:lineRule="exact"/>
              <w:rPr>
                <w:sz w:val="20"/>
                <w:szCs w:val="20"/>
                <w:color w:val="auto"/>
              </w:rPr>
            </w:pPr>
            <w:r>
              <w:rPr>
                <w:rFonts w:ascii="Arial" w:cs="Arial" w:eastAsia="Arial" w:hAnsi="Arial"/>
                <w:sz w:val="14"/>
                <w:szCs w:val="14"/>
                <w:color w:val="auto"/>
              </w:rPr>
              <w:t>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76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shareholder</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4,012</w:t>
            </w:r>
          </w:p>
        </w:tc>
        <w:tc>
          <w:tcPr>
            <w:tcW w:w="0" w:type="dxa"/>
            <w:vAlign w:val="bottom"/>
          </w:tcPr>
          <w:p>
            <w:pPr>
              <w:spacing w:after="0"/>
              <w:rPr>
                <w:sz w:val="1"/>
                <w:szCs w:val="1"/>
                <w:color w:val="auto"/>
              </w:rPr>
            </w:pPr>
          </w:p>
        </w:tc>
      </w:tr>
      <w:tr>
        <w:trPr>
          <w:trHeight w:val="198"/>
        </w:trPr>
        <w:tc>
          <w:tcPr>
            <w:tcW w:w="1760" w:type="dxa"/>
            <w:vAlign w:val="bottom"/>
          </w:tcPr>
          <w:p>
            <w:pPr>
              <w:ind w:left="180"/>
              <w:spacing w:after="0"/>
              <w:rPr>
                <w:sz w:val="20"/>
                <w:szCs w:val="20"/>
                <w:color w:val="auto"/>
              </w:rPr>
            </w:pPr>
            <w:r>
              <w:rPr>
                <w:rFonts w:ascii="Arial" w:cs="Arial" w:eastAsia="Arial" w:hAnsi="Arial"/>
                <w:sz w:val="14"/>
                <w:szCs w:val="14"/>
                <w:color w:val="auto"/>
              </w:rPr>
              <w:t>Integration services fee</w:t>
            </w: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b w:val="1"/>
                <w:bCs w:val="1"/>
                <w:color w:val="auto"/>
                <w:vertAlign w:val="superscript"/>
              </w:rPr>
              <w:t>(1)</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20"/>
                <w:szCs w:val="20"/>
                <w:color w:val="auto"/>
              </w:rPr>
            </w:pPr>
            <w:r>
              <w:rPr>
                <w:rFonts w:ascii="Arial" w:cs="Arial" w:eastAsia="Arial" w:hAnsi="Arial"/>
                <w:sz w:val="14"/>
                <w:szCs w:val="14"/>
                <w:b w:val="1"/>
                <w:bCs w:val="1"/>
                <w:i w:val="1"/>
                <w:iCs w:val="1"/>
                <w:color w:val="auto"/>
              </w:rPr>
              <w:t>Adjusted EBITDA</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(21,726)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14,817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20,049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(11,616)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9,944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9,830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10,167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45,526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328"/>
        <w:spacing w:after="0" w:line="242" w:lineRule="auto"/>
        <w:tabs>
          <w:tab w:leader="none" w:pos="245" w:val="left"/>
        </w:tabs>
        <w:numPr>
          <w:ilvl w:val="0"/>
          <w:numId w:val="24"/>
        </w:numPr>
        <w:rPr>
          <w:rFonts w:ascii="Arial" w:cs="Arial" w:eastAsia="Arial" w:hAnsi="Arial"/>
          <w:sz w:val="23"/>
          <w:szCs w:val="23"/>
          <w:b w:val="1"/>
          <w:bCs w:val="1"/>
          <w:color w:val="auto"/>
          <w:vertAlign w:val="superscript"/>
        </w:rPr>
      </w:pPr>
      <w:r>
        <w:rPr>
          <w:rFonts w:ascii="Arial" w:cs="Arial" w:eastAsia="Arial" w:hAnsi="Arial"/>
          <w:sz w:val="18"/>
          <w:szCs w:val="18"/>
          <w:color w:val="auto"/>
        </w:rPr>
        <w:t>Other represents non-recurring operating expenses that are included by management in the calculation of Adjusted EBITDA when analyzing monthly operating results of our subsidiaries. In the current year, the calculation of Adjusted EBITDA for Arnold includes the add-back of certain expenses that have been incurred related to the relocation of two of Arnold's facilities in the United States and costs related to the retirement of the chief executive officer at Arnold. For Altor, other includes the add-back of certain expenses incurred related to restructuring of their facilities after the acquisition of Lifoam.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111125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u w:val="single" w:color="auto"/>
          <w:color w:val="auto"/>
        </w:rPr>
        <w:t>Reconciliation of Net income (loss) to Adjusted Earnings and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Adjusted Earnings to Net income (loss), which we consider the most comparable GAAP financial measure,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Adjusted Earnings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7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(49,710)</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sale of discontinued operations, net of tax</w:t>
            </w: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(49,754)</w:t>
            </w:r>
          </w:p>
        </w:tc>
        <w:tc>
          <w:tcPr>
            <w:tcW w:w="0" w:type="dxa"/>
            <w:vAlign w:val="bottom"/>
          </w:tcPr>
          <w:p>
            <w:pPr>
              <w:spacing w:after="0"/>
              <w:rPr>
                <w:sz w:val="1"/>
                <w:szCs w:val="1"/>
                <w:color w:val="auto"/>
              </w:rPr>
            </w:pPr>
          </w:p>
        </w:tc>
      </w:tr>
      <w:tr>
        <w:trPr>
          <w:trHeight w:val="162"/>
        </w:trPr>
        <w:tc>
          <w:tcPr>
            <w:tcW w:w="5520" w:type="dxa"/>
            <w:vAlign w:val="bottom"/>
          </w:tcPr>
          <w:p>
            <w:pPr>
              <w:ind w:left="20"/>
              <w:spacing w:after="0" w:line="162" w:lineRule="exact"/>
              <w:rPr>
                <w:sz w:val="20"/>
                <w:szCs w:val="20"/>
                <w:color w:val="auto"/>
              </w:rPr>
            </w:pPr>
            <w:r>
              <w:rPr>
                <w:rFonts w:ascii="Arial" w:cs="Arial" w:eastAsia="Arial" w:hAnsi="Arial"/>
                <w:sz w:val="16"/>
                <w:szCs w:val="16"/>
                <w:color w:val="auto"/>
              </w:rPr>
              <w:t>Less: loss from continuing operations attributable to noncontrolling</w:t>
            </w:r>
          </w:p>
        </w:tc>
        <w:tc>
          <w:tcPr>
            <w:tcW w:w="1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(19,717)</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w:t>
            </w: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Holdings - continuing operations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(30,037)</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paid - preferred shares</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(8,434)</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Amortization expense - intangibles and inventory step-up</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22,844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23,351</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expense</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2,559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4,012</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Integration Services Fee</w:t>
            </w:r>
          </w:p>
        </w:tc>
        <w:tc>
          <w:tcPr>
            <w:tcW w:w="1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Earnings</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Plus (less):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expense</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12,301</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7,064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2,538</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35,851</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Amortization of debt issuance costs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2,047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163"/>
        </w:trPr>
        <w:tc>
          <w:tcPr>
            <w:tcW w:w="55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Income from continuing operations attributable to noncontrolling</w:t>
            </w:r>
          </w:p>
        </w:tc>
        <w:tc>
          <w:tcPr>
            <w:tcW w:w="1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(19,717)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1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Distributions paid - preferred shares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9,714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8,434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(7,705)</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56,521</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45,526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entered into the MSA with CGM effective May 16, 2006. The MSA provides for, among other things, CGM to perform services for the LLC in exchange for a management fee paid quarterly, as defined in the MSA. Our Chief Executive Officer is a partner of CGM.</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Amendment to Management Services Agreement</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23, 2026, the LLC and CGM entered into an Eighth Amended and Restated Management Services Agreement (the “MSA Amendment”), which amends and restates the parties’ MSA. The MSA Amendment, among other things, (i) establishes a repayment protocol for previously overpaid management fees, including permitting the Company, subject to interest, to fund all or a portion of otherwise payable quarterly fees while an overpayment balance remains outstanding, (ii) provides for a dollar-for-dollar reduction of fees payable under the MSA for certain services outsourced by the Company to third-party service providers and excludes such services from the scope of services to be provided by CGM, (iii) clarifies requirements and restrictions applicable to personnel seconded by CGM to the Company, and (iv) updates certain operational, governance, authority and indemnification provisions.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 the Company incurred the following management fees to CGM, by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103505</wp:posOffset>
            </wp:positionV>
            <wp:extent cx="22713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56" w:lineRule="exact"/>
        <w:rPr>
          <w:sz w:val="20"/>
          <w:szCs w:val="20"/>
          <w:color w:val="auto"/>
        </w:rPr>
      </w:pPr>
    </w:p>
    <w:p>
      <w:pPr>
        <w:ind w:left="62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2040" w:type="dxa"/>
        <w:tblCellMar>
          <w:top w:w="0" w:type="dxa"/>
          <w:left w:w="0" w:type="dxa"/>
          <w:bottom w:w="0" w:type="dxa"/>
          <w:right w:w="0" w:type="dxa"/>
        </w:tblCellMar>
      </w:tblPr>
      <w:tr>
        <w:trPr>
          <w:trHeight w:val="209"/>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BOA</w:t>
            </w:r>
          </w:p>
        </w:tc>
        <w:tc>
          <w:tcPr>
            <w:tcW w:w="400" w:type="dxa"/>
            <w:vAlign w:val="bottom"/>
          </w:tcPr>
          <w:p>
            <w:pPr>
              <w:spacing w:after="0"/>
              <w:rPr>
                <w:sz w:val="18"/>
                <w:szCs w:val="18"/>
                <w:color w:val="auto"/>
              </w:rPr>
            </w:pPr>
          </w:p>
        </w:tc>
        <w:tc>
          <w:tcPr>
            <w:tcW w:w="1340" w:type="dxa"/>
            <w:vAlign w:val="bottom"/>
          </w:tcPr>
          <w:p>
            <w:pPr>
              <w:jc w:val="center"/>
              <w:ind w:left="959"/>
              <w:spacing w:after="0"/>
              <w:rPr>
                <w:sz w:val="20"/>
                <w:szCs w:val="20"/>
                <w:color w:val="auto"/>
              </w:rPr>
            </w:pPr>
            <w:r>
              <w:rPr>
                <w:rFonts w:ascii="Arial" w:cs="Arial" w:eastAsia="Arial" w:hAnsi="Arial"/>
                <w:sz w:val="16"/>
                <w:szCs w:val="16"/>
                <w:color w:val="auto"/>
                <w:w w:val="97"/>
              </w:rPr>
              <w:t>250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36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Lugano </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839"/>
              <w:spacing w:after="0"/>
              <w:rPr>
                <w:sz w:val="20"/>
                <w:szCs w:val="20"/>
                <w:color w:val="auto"/>
              </w:rPr>
            </w:pPr>
            <w:r>
              <w:rPr>
                <w:rFonts w:ascii="Arial" w:cs="Arial" w:eastAsia="Arial" w:hAnsi="Arial"/>
                <w:sz w:val="16"/>
                <w:szCs w:val="16"/>
                <w:color w:val="auto"/>
                <w:w w:val="99"/>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PrimaLoft</w:t>
            </w:r>
          </w:p>
        </w:tc>
        <w:tc>
          <w:tcPr>
            <w:tcW w:w="400" w:type="dxa"/>
            <w:vAlign w:val="bottom"/>
          </w:tcPr>
          <w:p>
            <w:pPr>
              <w:spacing w:after="0"/>
              <w:rPr>
                <w:sz w:val="18"/>
                <w:szCs w:val="18"/>
                <w:color w:val="auto"/>
              </w:rPr>
            </w:pPr>
          </w:p>
        </w:tc>
        <w:tc>
          <w:tcPr>
            <w:tcW w:w="1340" w:type="dxa"/>
            <w:vAlign w:val="bottom"/>
          </w:tcPr>
          <w:p>
            <w:pPr>
              <w:jc w:val="center"/>
              <w:ind w:left="959"/>
              <w:spacing w:after="0"/>
              <w:rPr>
                <w:sz w:val="20"/>
                <w:szCs w:val="20"/>
                <w:color w:val="auto"/>
              </w:rPr>
            </w:pPr>
            <w:r>
              <w:rPr>
                <w:rFonts w:ascii="Arial" w:cs="Arial" w:eastAsia="Arial" w:hAnsi="Arial"/>
                <w:sz w:val="16"/>
                <w:szCs w:val="16"/>
                <w:color w:val="auto"/>
                <w:w w:val="97"/>
              </w:rPr>
              <w:t>250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Velocity</w:t>
            </w:r>
          </w:p>
        </w:tc>
        <w:tc>
          <w:tcPr>
            <w:tcW w:w="400" w:type="dxa"/>
            <w:vAlign w:val="bottom"/>
          </w:tcPr>
          <w:p>
            <w:pPr>
              <w:spacing w:after="0"/>
              <w:rPr>
                <w:sz w:val="18"/>
                <w:szCs w:val="18"/>
                <w:color w:val="auto"/>
              </w:rPr>
            </w:pPr>
          </w:p>
        </w:tc>
        <w:tc>
          <w:tcPr>
            <w:tcW w:w="1340" w:type="dxa"/>
            <w:vAlign w:val="bottom"/>
          </w:tcPr>
          <w:p>
            <w:pPr>
              <w:jc w:val="center"/>
              <w:ind w:left="959"/>
              <w:spacing w:after="0"/>
              <w:rPr>
                <w:sz w:val="20"/>
                <w:szCs w:val="20"/>
                <w:color w:val="auto"/>
              </w:rPr>
            </w:pPr>
            <w:r>
              <w:rPr>
                <w:rFonts w:ascii="Arial" w:cs="Arial" w:eastAsia="Arial" w:hAnsi="Arial"/>
                <w:sz w:val="16"/>
                <w:szCs w:val="16"/>
                <w:color w:val="auto"/>
                <w:w w:val="97"/>
              </w:rPr>
              <w:t>125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w w:val="97"/>
              </w:rPr>
              <w:t>188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Arnold Magnetics</w:t>
            </w:r>
          </w:p>
        </w:tc>
        <w:tc>
          <w:tcPr>
            <w:tcW w:w="400" w:type="dxa"/>
            <w:vAlign w:val="bottom"/>
          </w:tcPr>
          <w:p>
            <w:pPr>
              <w:spacing w:after="0"/>
              <w:rPr>
                <w:sz w:val="18"/>
                <w:szCs w:val="18"/>
                <w:color w:val="auto"/>
              </w:rPr>
            </w:pPr>
          </w:p>
        </w:tc>
        <w:tc>
          <w:tcPr>
            <w:tcW w:w="1340" w:type="dxa"/>
            <w:vAlign w:val="bottom"/>
          </w:tcPr>
          <w:p>
            <w:pPr>
              <w:jc w:val="center"/>
              <w:ind w:left="959"/>
              <w:spacing w:after="0"/>
              <w:rPr>
                <w:sz w:val="20"/>
                <w:szCs w:val="20"/>
                <w:color w:val="auto"/>
              </w:rPr>
            </w:pPr>
            <w:r>
              <w:rPr>
                <w:rFonts w:ascii="Arial" w:cs="Arial" w:eastAsia="Arial" w:hAnsi="Arial"/>
                <w:sz w:val="16"/>
                <w:szCs w:val="16"/>
                <w:color w:val="auto"/>
                <w:w w:val="97"/>
              </w:rPr>
              <w:t>125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w w:val="97"/>
              </w:rPr>
              <w:t>125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17,112</w:t>
            </w:r>
          </w:p>
        </w:tc>
      </w:tr>
      <w:tr>
        <w:trPr>
          <w:trHeight w:val="234"/>
        </w:trPr>
        <w:tc>
          <w:tcPr>
            <w:tcW w:w="36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18,863</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vertAlign w:val="superscript"/>
        </w:rPr>
        <w:t>(1)</w:t>
      </w:r>
      <w:r>
        <w:rPr>
          <w:rFonts w:ascii="Arial" w:cs="Arial" w:eastAsia="Arial" w:hAnsi="Arial"/>
          <w:sz w:val="16"/>
          <w:szCs w:val="16"/>
          <w:color w:val="auto"/>
        </w:rPr>
        <w:t xml:space="preserve"> Lugano ceased paying a management fee to CGM in June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Restatement on Management Fees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did not, prior to the MSA amendment, contain an express mechanism that permitted the Company to immediately clawback the overpayment of management fees during the aforementioned periods, the MSA provided that future payments under the MSA would be reduced, on a dollar-for-dollar basis, by the aggregate amount of all overpaid management fees. The Company calculated the total aggregate amount of excess management fees paid as a result of the restatement of the financial statements as $50.4 million. In 2025, restrictions in the Company’s forbearance and amendment arrangements under the 2022 Credit Facility limited the Company’s ability to pay management fees, resulting in management fee expense being incurred but not fully paid. As a result, the Company determined that the amount of management fees that had been overpaid at December 31, 2025 was $33.8 million, which was recorded as an asset (“Due from CGM”) and reduced management fee expense for the year ended December 31, 2025. For the three months ended March 31, 2026, the Company recorded management fee expense of $15.9 million. During the quarter, the Company applied the MSA’s repayment and netting provisions and, beginning February 23, 2026, the repayment protocol and elective interim funding mechanics under the MSA Amendment (including the Company’s ability, subject to interest, to pay all or a portion of the quarterly management fee otherwise payable while an overpayment balance remains outstanding). As of March 31, 2026, the Due from CGM balance of $ 11.5 million reflects amounts due from CGM, net of management fees accrued and amounts paid (or funded) in accordance with the MSA Amendment, and the Company expects to continue to reduce future management fee payments until the overpayment has been fully recouped.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 integration service fees were incurred during the three months ended March 31, 2026. During the three months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3" w:name="page64"/>
    <w:bookmarkEnd w:id="63"/>
    <w:p>
      <w:pPr>
        <w:jc w:val="both"/>
        <w:spacing w:after="0" w:line="268" w:lineRule="auto"/>
        <w:rPr>
          <w:sz w:val="20"/>
          <w:szCs w:val="20"/>
          <w:color w:val="auto"/>
        </w:rPr>
      </w:pPr>
      <w:r>
        <w:rPr>
          <w:rFonts w:ascii="Arial" w:cs="Arial" w:eastAsia="Arial" w:hAnsi="Arial"/>
          <w:sz w:val="18"/>
          <w:szCs w:val="18"/>
          <w:color w:val="auto"/>
        </w:rPr>
        <w:t>ended March 31, 2025, The Honey Pot Co. paid CGM $0.9 million in integration service fees under an integration services agreement that has since been fully paid. An amendment to the Management Services Agreement entered into in January 2025 eliminated integration service fees for future acquisitions.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Allocation Interests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issued Allocation Interests, governed by our LLC agreement, to Sostratus, LLC (the "Holder") to receive distributions pursuant to a profit allocation formula upon the occurrence of certain events. The Holder is entitled to receive, if due pursuant to the profit allocation formula, an allocation payment upon the sale of a business (a "Sale Event") and upon election of the Holder during the 30-day period following the fifth anniversary of the date upon which we acquired a controlling interest in a business (a "Holding Event"). Payments of profit allocation to the Holder are accounted for as dividends declared on Allocation Interests and recorded in stockholders' equity once they are approved by the Company’s board of directors.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Lugano Bankruptcy was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5.11 purchased approximately $0.1 million and $0.2 million during the three months ended March 31, 2026 and March 31, 2025, respectively in inventory from the vendor.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purchased approximately $11.1 million and $12.0 million from this supplier during the three months ended March 31, 2026 and March 31, 2025,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the 2025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 Testing</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Each of our subsidiary businesses represents a reporting unit.</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tested for impairment at least annually and more frequently when events or changes in circumstances indicate that it is more-likely-than-not that the fair value of a reporting unit is less than its carrying amount. The determination of whether goodwill is impaired is a critical accounting estimate because it requires management to make significant judgments and assumptions when estimating the fair value of a reporting unit, and small changes in those judgments and assumptions could result in materially different fair value estimates and impairment conclusions. When qualitative factors are not sufficient to conclude that fair value exceeds carrying amount, we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4" w:name="page65"/>
    <w:bookmarkEnd w:id="64"/>
    <w:p>
      <w:pPr>
        <w:jc w:val="both"/>
        <w:spacing w:after="0" w:line="255" w:lineRule="auto"/>
        <w:rPr>
          <w:sz w:val="20"/>
          <w:szCs w:val="20"/>
          <w:color w:val="auto"/>
        </w:rPr>
      </w:pPr>
      <w:r>
        <w:rPr>
          <w:rFonts w:ascii="Arial" w:cs="Arial" w:eastAsia="Arial" w:hAnsi="Arial"/>
          <w:sz w:val="18"/>
          <w:szCs w:val="18"/>
          <w:color w:val="auto"/>
        </w:rPr>
        <w:t>perform a quantitative goodwill impairment test and estimate reporting unit fair value using the income approach (discounted cash flow method), the market approach (guideline company multiples), or a weighting of the two methods. Key assumptions and estimates include projected revenue growth, operating margins, terminal growth rate, discount rate (including the weighted-average cost of capital and company-specific risk adjustments), and market multiples for comparable companies. These assumptions are based on historical performance, current and expected market and economic conditions, and our expectations regarding future operating performance; however, actual results may differ from those assumptions. Changes in the assumptions described above, including as a result of adverse changes in macroeconomic conditions, industry trends, competitive dynamics, customer demand, or our operating performance, could reduce the estimated fair value of a reporting unit and result in additional goodwill impairment charges in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Annual Impairment Testing</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Company’s annual goodwill impairment test as of March 31, 2026, the Company performed a qualitative assessment of its reporting units with goodwill balances to determine whether it was more-likely-than-not that the fair value of each reporting unit was less than its carrying amount. Based on this assessment, the Company concluded that it was more-likely-than-not that the fair value of each reporting unit exceeded its carrying amount, except for the PrimaLoft reporting unit. As a result, the Company performed a quantitative goodwill impairment test for the PrimaLoft reporting unit.</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estimated the fair value of the PrimaLoft reporting unit using a combination of the income approach (discounted cash flow method) and the market approach (guideline company multiples). Significant assumptions used in the quantitative test included, among others, projected revenue growth, operating margins, the terminal growth rate and the discount rate, each of which reflects management’s best estimates based on historical performance, current market conditions and expectations of future operating performance. The discount rate used in the income approach was 13.4%. The quantitative test indicated that the fair value of the PrimaLoft reporting unit was less than its carrying amount; accordingly, the Company recorded a goodwill impairment charge of $20.5 million during the quarter ended March 31, 2026, which is included in operating income/(loss) in the consolidated statements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Annual Impairment Testing</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annual impairment testing at March 31, 2025, we performed a qualitative assessment of our reporting units with goodwill balances. The results of the qualitative analysis indicated that it was more-likely-than-not that the fair value of each of our reporting units except PrimaLoft exceeded their carrying value. Based on our analysis, we determined that the PrimaLoft operating segment required quantitative testing because we could not conclude that the fair value of the reporting unit significantly exceeded the carrying value based on qualitative factors alone. We 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Interim Impairment Testing</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During 2025, Arnold was negatively impacted by both production delays related to facility transitions, and supply chain constraints caused by export controls and disruption in the market for rare earth minerals, a key component in certain of Arnold's products. As a result, the operating results of Arnold were below our forecast and prior year results for the business. While Arnold's backlog continued to grow, the production delays and supply chain disruption caused by the export controls led us to determine that a triggering event occurred in the fourth quarter of 2025 and we performed an interim impairment test of goodwill as of October 31, 2025. We performed the impairment test using an income approach. The prospective financial information used in the income approach considered macroeconomic and geopolitical factors, industry and reporting unit specific data, and our best estimate of operational results and cash flows for the Arnold reporting unit as of the date of the impairment testing. The discount rate used in the income approach was 14.2%. The results of the testing indicated that the fair value of Arnold exceeded the carrying value by 77%.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5" w:name="page66"/>
    <w:bookmarkEnd w:id="65"/>
    <w:p>
      <w:pPr>
        <w:jc w:val="both"/>
        <w:spacing w:after="0" w:line="268" w:lineRule="auto"/>
        <w:rPr>
          <w:sz w:val="20"/>
          <w:szCs w:val="20"/>
          <w:color w:val="auto"/>
        </w:rPr>
      </w:pPr>
      <w:r>
        <w:rPr>
          <w:rFonts w:ascii="Arial" w:cs="Arial" w:eastAsia="Arial" w:hAnsi="Arial"/>
          <w:sz w:val="18"/>
          <w:szCs w:val="18"/>
          <w:color w:val="auto"/>
        </w:rPr>
        <w:t>indefinite-lived intangible asset at March 31, 2026 consists of a trade name associated with the Sterno reporting unit with a carrying value of approximately $30.8 million. The indefinite-lived intangible asset is classified as held for sale at March 31, 2026. Refer to "</w:t>
      </w:r>
      <w:r>
        <w:rPr>
          <w:rFonts w:ascii="Arial" w:cs="Arial" w:eastAsia="Arial" w:hAnsi="Arial"/>
          <w:sz w:val="18"/>
          <w:szCs w:val="18"/>
          <w:u w:val="single" w:color="auto"/>
          <w:color w:val="0000FF"/>
        </w:rPr>
        <w:t>Note B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Dispositions</w:t>
      </w:r>
      <w:r>
        <w:rPr>
          <w:rFonts w:ascii="Arial" w:cs="Arial" w:eastAsia="Arial" w:hAnsi="Arial"/>
          <w:sz w:val="18"/>
          <w:szCs w:val="18"/>
          <w:color w:val="000000"/>
        </w:rPr>
        <w:t>" of the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A - "Presentation and Principles of Consolidation"</w:t>
      </w:r>
      <w:r>
        <w:rPr>
          <w:rFonts w:ascii="Arial" w:cs="Arial" w:eastAsia="Arial" w:hAnsi="Arial"/>
          <w:sz w:val="18"/>
          <w:szCs w:val="18"/>
          <w:color w:val="auto"/>
        </w:rPr>
        <w:t xml:space="preserve"> of the condensed consolidated financial statements for a discussion of 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have been no material changes to our market risk since December 31, 2025. For a further discussion of our exposure to market risk, refer to the section entitled "Quantitative and Qualitative Disclosures about Market Risk" that was disclosed in Part II, Item 7A of our 2025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the Company’s Chief Executive Officer and Chief Financial Officer, evaluated the effectiveness of the Company’s disclosure controls and procedures as of the end of the period covered by this Form 10-Q. As previously disclosed in the 2025 Form 10-K, management identified material weaknesses in internal control over financial reporting. Because these material weaknesses described in the 2025 Form 10-K had not been fully remediated as of March 31, 2026, management concluded that the Company’s disclosure controls and procedures were not effective as of that date.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identified material weaknesses, management, including the Chief Executive Officer and Chief Financial Officer, believes that the condensed consolidated financial statements included in this Quarterly Report fairly present, in all material respects, the Company’s financial position, results of operations and cash flows for the periods presented, in accordance with accounting principles generally accepted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the 2025 Form 10-K, management developed a remediation plan to address the material weaknesses in the Company’s internal control over financial reporting. During the quarter ended March 31, 2026, the Company continued remediation activities, including the remediation activities described in the 2025 Form 10-K. These remediation activities were ongoing as of March 31, 2026 and had not fully remediated the material weaknesses as of that date. Except for the ongoing remediation activities described above, there were no changes in the Company’s internal control over financial reporting during the quarter ended March 31, 2026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Information regarding the Company's legal proceedings can be found in </w:t>
      </w:r>
      <w:r>
        <w:rPr>
          <w:rFonts w:ascii="Arial" w:cs="Arial" w:eastAsia="Arial" w:hAnsi="Arial"/>
          <w:sz w:val="18"/>
          <w:szCs w:val="18"/>
          <w:u w:val="single" w:color="auto"/>
          <w:color w:val="0000FF"/>
        </w:rPr>
        <w:t>Note M - Commitments and Contingencies</w:t>
      </w:r>
      <w:r>
        <w:rPr>
          <w:rFonts w:ascii="Arial" w:cs="Arial" w:eastAsia="Arial" w:hAnsi="Arial"/>
          <w:sz w:val="18"/>
          <w:szCs w:val="18"/>
          <w:color w:val="auto"/>
        </w:rPr>
        <w:t xml:space="preserve"> of the accompanying Notes to the condensed consolidated financial statements and in the section entitled "Legal Proceedings" that was disclosed in Part I, Item 3 of the 2025 Form 10-K, as filed with the SEC on February 27,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 factors disclosed in our 2025 Form 10-K for the fiscal year ended December 31, 2025 should be considered together with information included in this Quarterly Report on Form 10-Q for the quarter ended March 31, 2026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ITEM 6.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920" w:type="dxa"/>
            <w:vAlign w:val="bottom"/>
            <w:gridSpan w:val="3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2.1</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6">
              <w:r>
                <w:rPr>
                  <w:rFonts w:ascii="Arial" w:cs="Arial" w:eastAsia="Arial" w:hAnsi="Arial"/>
                  <w:sz w:val="16"/>
                  <w:szCs w:val="16"/>
                  <w:color w:val="0000FF"/>
                </w:rPr>
                <w:t>Agreement and Plan of Merger, dated March 28, 2026, by and among (i) SternoCandleLamp Holdings, Inc., (ii) WCHG</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Buyer, Inc., (iii) WCHG Heat Merger Sub, Inc., and (iv) Compass Group Diversified Holdings LLC, as the Stockholder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920" w:type="dxa"/>
            <w:vAlign w:val="bottom"/>
            <w:gridSpan w:val="32"/>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Representative and for the limited purposes of Section 6.20 therein (incorporated by reference to Exhibit 2.1 of the Form 8-</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5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K filed on March 30, 2026 (File No. 001-34927))**</w:t>
              </w:r>
            </w:hyperlink>
          </w:p>
        </w:tc>
        <w:tc>
          <w:tcPr>
            <w:tcW w:w="52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7">
              <w:r>
                <w:rPr>
                  <w:rFonts w:ascii="Arial" w:cs="Arial" w:eastAsia="Arial" w:hAnsi="Arial"/>
                  <w:sz w:val="16"/>
                  <w:szCs w:val="16"/>
                  <w:color w:val="0000FF"/>
                </w:rPr>
                <w:t>Third Amended and Restated Trust Agreement of the Trust (incorporated by reference to Exhibit 3.1 of the Form 8-K filed on</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August 4, 2021 (File No. 001-34927)).</w:t>
              </w:r>
            </w:hyperlink>
          </w:p>
        </w:tc>
        <w:tc>
          <w:tcPr>
            <w:tcW w:w="6180" w:type="dxa"/>
            <w:vAlign w:val="bottom"/>
            <w:tcBorders>
              <w:top w:val="single" w:sz="8" w:color="0000FF"/>
            </w:tcBorders>
            <w:gridSpan w:val="28"/>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8">
              <w:r>
                <w:rPr>
                  <w:rFonts w:ascii="Arial" w:cs="Arial" w:eastAsia="Arial" w:hAnsi="Arial"/>
                  <w:sz w:val="16"/>
                  <w:szCs w:val="16"/>
                  <w:color w:val="0000FF"/>
                </w:rPr>
                <w:t>First amendment to Third Amended and Restated Trust Agreement of the Trust (incorporated by reference to Exhibit 3.1 of</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the Form 8-K filed on September 3, 2024 (File No. 001-34926)).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3.3</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7">
              <w:r>
                <w:rPr>
                  <w:rFonts w:ascii="Arial" w:cs="Arial" w:eastAsia="Arial" w:hAnsi="Arial"/>
                  <w:sz w:val="16"/>
                  <w:szCs w:val="16"/>
                  <w:color w:val="0000FF"/>
                </w:rPr>
                <w:t>Sixth Amended and Restated Operating Agreement of the Company (incorporated by reference to Exhibit 3.2 of the Form 8-</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K filed on August 4, 2021 (File No. 001-34927)).</w:t>
              </w:r>
            </w:hyperlink>
          </w:p>
        </w:tc>
        <w:tc>
          <w:tcPr>
            <w:tcW w:w="5440" w:type="dxa"/>
            <w:vAlign w:val="bottom"/>
            <w:tcBorders>
              <w:top w:val="single" w:sz="8" w:color="0000FF"/>
            </w:tcBorders>
            <w:gridSpan w:val="26"/>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8"/>
        </w:trPr>
        <w:tc>
          <w:tcPr>
            <w:tcW w:w="1200" w:type="dxa"/>
            <w:vAlign w:val="bottom"/>
          </w:tcPr>
          <w:p>
            <w:pPr>
              <w:ind w:left="120"/>
              <w:spacing w:after="0"/>
              <w:rPr>
                <w:sz w:val="20"/>
                <w:szCs w:val="20"/>
                <w:color w:val="auto"/>
              </w:rPr>
            </w:pPr>
            <w:r>
              <w:rPr>
                <w:rFonts w:ascii="Arial" w:cs="Arial" w:eastAsia="Arial" w:hAnsi="Arial"/>
                <w:sz w:val="16"/>
                <w:szCs w:val="16"/>
                <w:color w:val="auto"/>
              </w:rPr>
              <w:t>3.4</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9">
              <w:r>
                <w:rPr>
                  <w:rFonts w:ascii="Arial" w:cs="Arial" w:eastAsia="Arial" w:hAnsi="Arial"/>
                  <w:sz w:val="16"/>
                  <w:szCs w:val="16"/>
                  <w:color w:val="0000FF"/>
                </w:rPr>
                <w:t>First Amendment to the Sixth Amended and Restated Operating Agreement of the Company (incorporated by reference to</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Exhibit 3.1 of the Form 8-K filed on February 14, 2022 (File No. 001-34927)).</w:t>
              </w:r>
            </w:hyperlink>
          </w:p>
        </w:tc>
        <w:tc>
          <w:tcPr>
            <w:tcW w:w="326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3.5</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8">
              <w:r>
                <w:rPr>
                  <w:rFonts w:ascii="Arial" w:cs="Arial" w:eastAsia="Arial" w:hAnsi="Arial"/>
                  <w:sz w:val="16"/>
                  <w:szCs w:val="16"/>
                  <w:color w:val="0000FF"/>
                </w:rPr>
                <w:t>Second Amendment to the Sixth Amended and Restated Trust agreement of the Trust (incorporated by reference to Exhibit</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3.</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of the Form 8-K filed on September 3, 2024 (File No. 001-34926)).</w:t>
              </w:r>
            </w:hyperlink>
          </w:p>
        </w:tc>
        <w:tc>
          <w:tcPr>
            <w:tcW w:w="3840" w:type="dxa"/>
            <w:vAlign w:val="bottom"/>
            <w:tcBorders>
              <w:top w:val="single" w:sz="8" w:color="0000FF"/>
            </w:tcBorders>
            <w:gridSpan w:val="2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3.6</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7">
              <w:r>
                <w:rPr>
                  <w:rFonts w:ascii="Arial" w:cs="Arial" w:eastAsia="Arial" w:hAnsi="Arial"/>
                  <w:sz w:val="16"/>
                  <w:szCs w:val="16"/>
                  <w:color w:val="0000FF"/>
                </w:rPr>
                <w:t>Amended and Restated Share Designation of Compass Diversified Holdings with respect to Series A Preferred Shares</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3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(incorporated by reference to Exhibit 3.3 of the Form 8-K filed on August 4, 2021 (File No. 001-34927))</w:t>
              </w:r>
            </w:hyperlink>
          </w:p>
        </w:tc>
        <w:tc>
          <w:tcPr>
            <w:tcW w:w="11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399"/>
        </w:trPr>
        <w:tc>
          <w:tcPr>
            <w:tcW w:w="1200" w:type="dxa"/>
            <w:vAlign w:val="bottom"/>
          </w:tcPr>
          <w:p>
            <w:pPr>
              <w:ind w:left="120"/>
              <w:spacing w:after="0"/>
              <w:rPr>
                <w:sz w:val="20"/>
                <w:szCs w:val="20"/>
                <w:color w:val="auto"/>
              </w:rPr>
            </w:pPr>
            <w:r>
              <w:rPr>
                <w:rFonts w:ascii="Arial" w:cs="Arial" w:eastAsia="Arial" w:hAnsi="Arial"/>
                <w:sz w:val="16"/>
                <w:szCs w:val="16"/>
                <w:color w:val="auto"/>
              </w:rPr>
              <w:t>3.7</w:t>
            </w:r>
          </w:p>
        </w:tc>
        <w:tc>
          <w:tcPr>
            <w:tcW w:w="1020" w:type="dxa"/>
            <w:vAlign w:val="bottom"/>
          </w:tcPr>
          <w:p>
            <w:pPr>
              <w:spacing w:after="0"/>
              <w:rPr>
                <w:sz w:val="24"/>
                <w:szCs w:val="24"/>
                <w:color w:val="auto"/>
              </w:rPr>
            </w:pPr>
          </w:p>
        </w:tc>
        <w:tc>
          <w:tcPr>
            <w:tcW w:w="8680" w:type="dxa"/>
            <w:vAlign w:val="bottom"/>
            <w:tcBorders>
              <w:bottom w:val="single" w:sz="8" w:color="0000FF"/>
            </w:tcBorders>
            <w:gridSpan w:val="20"/>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Amended and Restated Share Designation of Compass Diversified Holdings with respect to Series A</w:t>
              </w:r>
            </w:hyperlink>
          </w:p>
        </w:tc>
        <w:tc>
          <w:tcPr>
            <w:tcW w:w="240" w:type="dxa"/>
            <w:vAlign w:val="bottom"/>
            <w:gridSpan w:val="12"/>
          </w:tcPr>
          <w:p>
            <w:pPr>
              <w:spacing w:after="0"/>
              <w:rPr>
                <w:sz w:val="24"/>
                <w:szCs w:val="24"/>
                <w:color w:val="auto"/>
              </w:rPr>
            </w:pPr>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20" w:type="dxa"/>
            <w:vAlign w:val="bottom"/>
            <w:tcBorders>
              <w:bottom w:val="single" w:sz="8" w:color="0000FF"/>
            </w:tcBorders>
            <w:gridSpan w:val="22"/>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Preferred Shares (incorporated by reference to Exhibit 3.1 of the Form 8-K filed on March 20, 2024 (File No. 001-34926)).</w:t>
              </w:r>
            </w:hyperlink>
          </w:p>
        </w:tc>
        <w:tc>
          <w:tcPr>
            <w:tcW w:w="200" w:type="dxa"/>
            <w:vAlign w:val="bottom"/>
            <w:gridSpan w:val="10"/>
          </w:tcPr>
          <w:p>
            <w:pPr>
              <w:spacing w:after="0"/>
              <w:rPr>
                <w:sz w:val="12"/>
                <w:szCs w:val="12"/>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3.8</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1">
              <w:r>
                <w:rPr>
                  <w:rFonts w:ascii="Arial" w:cs="Arial" w:eastAsia="Arial" w:hAnsi="Arial"/>
                  <w:sz w:val="16"/>
                  <w:szCs w:val="16"/>
                  <w:color w:val="0000FF"/>
                </w:rPr>
                <w:t>Second Amendment to Amended and Restated Share Designation of Compass Diversified Holdings with respect to Series</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A Preferred Shares (incorporated by reference Exhibit 4.11 of the Form S-3 filed on September 4, 2024 (File No. 333-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11">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3.9</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2">
              <w:r>
                <w:rPr>
                  <w:rFonts w:ascii="Arial" w:cs="Arial" w:eastAsia="Arial" w:hAnsi="Arial"/>
                  <w:sz w:val="16"/>
                  <w:szCs w:val="16"/>
                  <w:color w:val="0000FF"/>
                </w:rPr>
                <w:t>Compass Group Diversified Holdings LLC Trust Interest Designation of Series A Trust Preferred Interests (incorporated by</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reference to Exhibit 3.2 of the Form 8-K filed on June 28, 2017 (File No. 001-34927))</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60" w:type="dxa"/>
            <w:vAlign w:val="bottom"/>
            <w:gridSpan w:val="9"/>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98"/>
        </w:trPr>
        <w:tc>
          <w:tcPr>
            <w:tcW w:w="1200" w:type="dxa"/>
            <w:vAlign w:val="bottom"/>
          </w:tcPr>
          <w:p>
            <w:pPr>
              <w:ind w:left="120"/>
              <w:spacing w:after="0"/>
              <w:rPr>
                <w:sz w:val="20"/>
                <w:szCs w:val="20"/>
                <w:color w:val="auto"/>
              </w:rPr>
            </w:pPr>
            <w:r>
              <w:rPr>
                <w:rFonts w:ascii="Arial" w:cs="Arial" w:eastAsia="Arial" w:hAnsi="Arial"/>
                <w:sz w:val="16"/>
                <w:szCs w:val="16"/>
                <w:color w:val="auto"/>
              </w:rPr>
              <w:t>3.10</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Trust Interest Designation of Compass Group Diversified Holdings LLC with respect to Series A Trust</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Preferred Interests (incorporated by reference to Exhibit 3.4 of the Form 8-K filed on March 20, 2024 (File No. 001-34926))</w:t>
              </w:r>
            </w:hyperlink>
          </w:p>
        </w:tc>
        <w:tc>
          <w:tcPr>
            <w:tcW w:w="140" w:type="dxa"/>
            <w:vAlign w:val="bottom"/>
            <w:tcBorders>
              <w:bottom w:val="single" w:sz="8" w:color="0000FF"/>
            </w:tcBorders>
            <w:gridSpan w:val="7"/>
          </w:tcPr>
          <w:p>
            <w:pPr>
              <w:jc w:val="right"/>
              <w:ind w:right="40"/>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w:t>
              </w:r>
            </w:hyperlink>
          </w:p>
        </w:tc>
        <w:tc>
          <w:tcPr>
            <w:tcW w:w="80" w:type="dxa"/>
            <w:vAlign w:val="bottom"/>
            <w:gridSpan w:val="4"/>
          </w:tcPr>
          <w:p>
            <w:pPr>
              <w:spacing w:after="0"/>
              <w:rPr>
                <w:sz w:val="12"/>
                <w:szCs w:val="12"/>
                <w:color w:val="auto"/>
              </w:rPr>
            </w:pPr>
          </w:p>
        </w:tc>
      </w:tr>
      <w:tr>
        <w:trPr>
          <w:trHeight w:val="398"/>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3">
              <w:r>
                <w:rPr>
                  <w:rFonts w:ascii="Arial" w:cs="Arial" w:eastAsia="Arial" w:hAnsi="Arial"/>
                  <w:sz w:val="16"/>
                  <w:szCs w:val="16"/>
                  <w:color w:val="0000FF"/>
                </w:rPr>
                <w:t>Second Amendment to Trust Interest Designation of Compass Group Diversified Holdings LLC with respect to Series A</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Trust Preferred Interests (incorporated by reference Exhibit 4.14 of the Form S-3 filed on September 4, 2024 (File No.</w:t>
              </w:r>
            </w:hyperlink>
          </w:p>
        </w:tc>
        <w:tc>
          <w:tcPr>
            <w:tcW w:w="280" w:type="dxa"/>
            <w:vAlign w:val="bottom"/>
            <w:gridSpan w:val="8"/>
          </w:tcPr>
          <w:p>
            <w:pPr>
              <w:jc w:val="right"/>
              <w:ind w:right="20"/>
              <w:spacing w:after="0" w:line="142" w:lineRule="exact"/>
              <w:rPr>
                <w:rFonts w:ascii="Arial" w:cs="Arial" w:eastAsia="Arial" w:hAnsi="Arial"/>
                <w:sz w:val="16"/>
                <w:szCs w:val="16"/>
                <w:color w:val="0000FF"/>
                <w:w w:val="74"/>
              </w:rPr>
            </w:pPr>
            <w:hyperlink r:id="rId113">
              <w:r>
                <w:rPr>
                  <w:rFonts w:ascii="Arial" w:cs="Arial" w:eastAsia="Arial" w:hAnsi="Arial"/>
                  <w:sz w:val="16"/>
                  <w:szCs w:val="16"/>
                  <w:color w:val="0000FF"/>
                  <w:w w:val="74"/>
                </w:rPr>
                <w:t>333-</w:t>
              </w:r>
            </w:hyperlink>
          </w:p>
        </w:tc>
        <w:tc>
          <w:tcPr>
            <w:tcW w:w="120" w:type="dxa"/>
            <w:vAlign w:val="bottom"/>
            <w:gridSpan w:val="6"/>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13">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8"/>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7">
              <w:r>
                <w:rPr>
                  <w:rFonts w:ascii="Arial" w:cs="Arial" w:eastAsia="Arial" w:hAnsi="Arial"/>
                  <w:sz w:val="16"/>
                  <w:szCs w:val="16"/>
                  <w:color w:val="0000FF"/>
                </w:rPr>
                <w:t>Amended and Restated Share Designation of Compass Diversified Holdings with respect to Series B Preferred Shares</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(incorporated by reference to Exhibit 3.4 of the Form 8-K filed on August 4, 2021 (File No. 001-34927)).</w:t>
              </w:r>
            </w:hyperlink>
          </w:p>
        </w:tc>
        <w:tc>
          <w:tcPr>
            <w:tcW w:w="120" w:type="dxa"/>
            <w:vAlign w:val="bottom"/>
            <w:gridSpan w:val="2"/>
          </w:tcPr>
          <w:p>
            <w:pPr>
              <w:spacing w:after="0"/>
              <w:rPr>
                <w:sz w:val="12"/>
                <w:szCs w:val="12"/>
                <w:color w:val="auto"/>
              </w:rPr>
            </w:pPr>
          </w:p>
        </w:tc>
        <w:tc>
          <w:tcPr>
            <w:tcW w:w="300" w:type="dxa"/>
            <w:vAlign w:val="bottom"/>
            <w:gridSpan w:val="13"/>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8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r>
      <w:tr>
        <w:trPr>
          <w:trHeight w:val="398"/>
        </w:trPr>
        <w:tc>
          <w:tcPr>
            <w:tcW w:w="1200" w:type="dxa"/>
            <w:vAlign w:val="bottom"/>
          </w:tcPr>
          <w:p>
            <w:pPr>
              <w:ind w:left="120"/>
              <w:spacing w:after="0"/>
              <w:rPr>
                <w:sz w:val="20"/>
                <w:szCs w:val="20"/>
                <w:color w:val="auto"/>
              </w:rPr>
            </w:pPr>
            <w:r>
              <w:rPr>
                <w:rFonts w:ascii="Arial" w:cs="Arial" w:eastAsia="Arial" w:hAnsi="Arial"/>
                <w:sz w:val="16"/>
                <w:szCs w:val="16"/>
                <w:color w:val="auto"/>
              </w:rPr>
              <w:t>3.13</w:t>
            </w:r>
          </w:p>
        </w:tc>
        <w:tc>
          <w:tcPr>
            <w:tcW w:w="1020" w:type="dxa"/>
            <w:vAlign w:val="bottom"/>
          </w:tcPr>
          <w:p>
            <w:pPr>
              <w:spacing w:after="0"/>
              <w:rPr>
                <w:sz w:val="24"/>
                <w:szCs w:val="24"/>
                <w:color w:val="auto"/>
              </w:rPr>
            </w:pPr>
          </w:p>
        </w:tc>
        <w:tc>
          <w:tcPr>
            <w:tcW w:w="8680" w:type="dxa"/>
            <w:vAlign w:val="bottom"/>
            <w:tcBorders>
              <w:bottom w:val="single" w:sz="8" w:color="0000FF"/>
            </w:tcBorders>
            <w:gridSpan w:val="20"/>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Amended and Restated Share Designation of Compass Diversified Holdings with respect to Series B</w:t>
              </w:r>
            </w:hyperlink>
          </w:p>
        </w:tc>
        <w:tc>
          <w:tcPr>
            <w:tcW w:w="240" w:type="dxa"/>
            <w:vAlign w:val="bottom"/>
            <w:gridSpan w:val="12"/>
          </w:tcPr>
          <w:p>
            <w:pPr>
              <w:spacing w:after="0"/>
              <w:rPr>
                <w:sz w:val="24"/>
                <w:szCs w:val="24"/>
                <w:color w:val="auto"/>
              </w:rPr>
            </w:pPr>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20" w:type="dxa"/>
            <w:vAlign w:val="bottom"/>
            <w:tcBorders>
              <w:bottom w:val="single" w:sz="8" w:color="0000FF"/>
            </w:tcBorders>
            <w:gridSpan w:val="22"/>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Preferred Shares (incorporated by reference to Exhibit 3.2 of the Form 8-K filed on March 20, 2024 (File No. 001-34926)).</w:t>
              </w:r>
            </w:hyperlink>
          </w:p>
        </w:tc>
        <w:tc>
          <w:tcPr>
            <w:tcW w:w="200" w:type="dxa"/>
            <w:vAlign w:val="bottom"/>
            <w:gridSpan w:val="10"/>
          </w:tcPr>
          <w:p>
            <w:pPr>
              <w:spacing w:after="0"/>
              <w:rPr>
                <w:sz w:val="12"/>
                <w:szCs w:val="12"/>
                <w:color w:val="auto"/>
              </w:rPr>
            </w:pPr>
          </w:p>
        </w:tc>
      </w:tr>
      <w:tr>
        <w:trPr>
          <w:trHeight w:val="398"/>
        </w:trPr>
        <w:tc>
          <w:tcPr>
            <w:tcW w:w="1200" w:type="dxa"/>
            <w:vAlign w:val="bottom"/>
          </w:tcPr>
          <w:p>
            <w:pPr>
              <w:ind w:left="120"/>
              <w:spacing w:after="0"/>
              <w:rPr>
                <w:sz w:val="20"/>
                <w:szCs w:val="20"/>
                <w:color w:val="auto"/>
              </w:rPr>
            </w:pPr>
            <w:r>
              <w:rPr>
                <w:rFonts w:ascii="Arial" w:cs="Arial" w:eastAsia="Arial" w:hAnsi="Arial"/>
                <w:sz w:val="16"/>
                <w:szCs w:val="16"/>
                <w:color w:val="auto"/>
              </w:rPr>
              <w:t>3.14</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4">
              <w:r>
                <w:rPr>
                  <w:rFonts w:ascii="Arial" w:cs="Arial" w:eastAsia="Arial" w:hAnsi="Arial"/>
                  <w:sz w:val="16"/>
                  <w:szCs w:val="16"/>
                  <w:color w:val="0000FF"/>
                </w:rPr>
                <w:t>Second Amendment to Amended and Restated Share Designation of Compass Diversified Holdings with respect to Series</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B Preferred Shares (incorporated by reference Exhibit 4.17 of the Form S-3 filed on September 4, 2024 (File No. 333-</w:t>
              </w:r>
            </w:hyperlink>
          </w:p>
        </w:tc>
        <w:tc>
          <w:tcPr>
            <w:tcW w:w="140" w:type="dxa"/>
            <w:vAlign w:val="bottom"/>
            <w:gridSpan w:val="7"/>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14">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8"/>
        </w:trPr>
        <w:tc>
          <w:tcPr>
            <w:tcW w:w="1200" w:type="dxa"/>
            <w:vAlign w:val="bottom"/>
          </w:tcPr>
          <w:p>
            <w:pPr>
              <w:ind w:left="120"/>
              <w:spacing w:after="0"/>
              <w:rPr>
                <w:sz w:val="20"/>
                <w:szCs w:val="20"/>
                <w:color w:val="auto"/>
              </w:rPr>
            </w:pPr>
            <w:r>
              <w:rPr>
                <w:rFonts w:ascii="Arial" w:cs="Arial" w:eastAsia="Arial" w:hAnsi="Arial"/>
                <w:sz w:val="16"/>
                <w:szCs w:val="16"/>
                <w:color w:val="auto"/>
              </w:rPr>
              <w:t>3.15</w:t>
            </w:r>
          </w:p>
        </w:tc>
        <w:tc>
          <w:tcPr>
            <w:tcW w:w="102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5">
              <w:r>
                <w:rPr>
                  <w:rFonts w:ascii="Arial" w:cs="Arial" w:eastAsia="Arial" w:hAnsi="Arial"/>
                  <w:sz w:val="16"/>
                  <w:szCs w:val="16"/>
                  <w:color w:val="0000FF"/>
                </w:rPr>
                <w:t>Trust Interest Designation of Compass Group Diversified Holdings LLC with respect to Series B Trust Preferred Interests</w:t>
              </w:r>
            </w:hyperlink>
          </w:p>
        </w:tc>
      </w:tr>
      <w:tr>
        <w:trPr>
          <w:trHeight w:val="142"/>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2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(incorporated by reference to Exhibit 3.2 of the Form 8-K filed on March 13, 2018 (File No. 001-34927)),</w:t>
              </w:r>
            </w:hyperlink>
          </w:p>
        </w:tc>
        <w:tc>
          <w:tcPr>
            <w:tcW w:w="1200" w:type="dxa"/>
            <w:vAlign w:val="bottom"/>
            <w:tcBorders>
              <w:top w:val="single" w:sz="8" w:color="0000FF"/>
            </w:tcBorders>
            <w:gridSpan w:val="7"/>
          </w:tcPr>
          <w:p>
            <w:pPr>
              <w:spacing w:after="0"/>
              <w:rPr>
                <w:sz w:val="12"/>
                <w:szCs w:val="12"/>
                <w:color w:val="auto"/>
              </w:rPr>
            </w:pPr>
          </w:p>
        </w:tc>
        <w:tc>
          <w:tcPr>
            <w:tcW w:w="300" w:type="dxa"/>
            <w:vAlign w:val="bottom"/>
            <w:gridSpan w:val="13"/>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102235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22" w:right="4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2240" w:type="dxa"/>
            <w:vAlign w:val="bottom"/>
          </w:tcPr>
          <w:p>
            <w:pPr>
              <w:ind w:left="140"/>
              <w:spacing w:after="0"/>
              <w:rPr>
                <w:sz w:val="20"/>
                <w:szCs w:val="20"/>
                <w:color w:val="auto"/>
              </w:rPr>
            </w:pPr>
            <w:r>
              <w:rPr>
                <w:rFonts w:ascii="Arial" w:cs="Arial" w:eastAsia="Arial" w:hAnsi="Arial"/>
                <w:sz w:val="16"/>
                <w:szCs w:val="16"/>
                <w:color w:val="auto"/>
              </w:rPr>
              <w:t>3.16</w:t>
            </w:r>
          </w:p>
        </w:tc>
        <w:tc>
          <w:tcPr>
            <w:tcW w:w="9000" w:type="dxa"/>
            <w:vAlign w:val="bottom"/>
            <w:gridSpan w:val="24"/>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Trust Interest Designation of Compass Group Diversified Holdings LLC with respect to Series B Trust</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68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Preferred Interests (incorporated by reference to Exhibit 3.5 of the Form 8-K filed on March 20, 2024 (File No. 001-34926))</w:t>
              </w:r>
            </w:hyperlink>
          </w:p>
        </w:tc>
        <w:tc>
          <w:tcPr>
            <w:tcW w:w="120" w:type="dxa"/>
            <w:vAlign w:val="bottom"/>
            <w:tcBorders>
              <w:bottom w:val="single" w:sz="8" w:color="0000FF"/>
            </w:tcBorders>
            <w:gridSpan w:val="5"/>
          </w:tcPr>
          <w:p>
            <w:pPr>
              <w:jc w:val="right"/>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w:t>
              </w:r>
            </w:hyperlink>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40" w:type="dxa"/>
            <w:vAlign w:val="bottom"/>
          </w:tcPr>
          <w:p>
            <w:pPr>
              <w:ind w:left="140"/>
              <w:spacing w:after="0"/>
              <w:rPr>
                <w:sz w:val="20"/>
                <w:szCs w:val="20"/>
                <w:color w:val="auto"/>
              </w:rPr>
            </w:pPr>
            <w:r>
              <w:rPr>
                <w:rFonts w:ascii="Arial" w:cs="Arial" w:eastAsia="Arial" w:hAnsi="Arial"/>
                <w:sz w:val="16"/>
                <w:szCs w:val="16"/>
                <w:color w:val="auto"/>
              </w:rPr>
              <w:t>3.17</w:t>
            </w:r>
          </w:p>
        </w:tc>
        <w:tc>
          <w:tcPr>
            <w:tcW w:w="9000" w:type="dxa"/>
            <w:vAlign w:val="bottom"/>
            <w:gridSpan w:val="24"/>
          </w:tcPr>
          <w:p>
            <w:pPr>
              <w:spacing w:after="0"/>
              <w:rPr>
                <w:rFonts w:ascii="Arial" w:cs="Arial" w:eastAsia="Arial" w:hAnsi="Arial"/>
                <w:sz w:val="16"/>
                <w:szCs w:val="16"/>
                <w:color w:val="0000FF"/>
              </w:rPr>
            </w:pPr>
            <w:hyperlink r:id="rId117">
              <w:r>
                <w:rPr>
                  <w:rFonts w:ascii="Arial" w:cs="Arial" w:eastAsia="Arial" w:hAnsi="Arial"/>
                  <w:sz w:val="16"/>
                  <w:szCs w:val="16"/>
                  <w:color w:val="0000FF"/>
                </w:rPr>
                <w:t>Second Amendment to Trust Interest Designation of Compass Group Diversified Holdings LLC with respect to Series B</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5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Trust Preferred Interests (incorporated by reference Exhibit 4.20 of the Form S-3 filed on September 4, 2024 (File No.</w:t>
              </w:r>
            </w:hyperlink>
          </w:p>
        </w:tc>
        <w:tc>
          <w:tcPr>
            <w:tcW w:w="240" w:type="dxa"/>
            <w:vAlign w:val="bottom"/>
            <w:tcBorders>
              <w:bottom w:val="single" w:sz="8" w:color="0000FF"/>
            </w:tcBorders>
            <w:gridSpan w:val="9"/>
          </w:tcPr>
          <w:p>
            <w:pPr>
              <w:jc w:val="right"/>
              <w:spacing w:after="0" w:line="142" w:lineRule="exact"/>
              <w:rPr>
                <w:rFonts w:ascii="Arial" w:cs="Arial" w:eastAsia="Arial" w:hAnsi="Arial"/>
                <w:sz w:val="15"/>
                <w:szCs w:val="15"/>
                <w:color w:val="0000FF"/>
                <w:w w:val="73"/>
              </w:rPr>
            </w:pPr>
            <w:hyperlink r:id="rId117">
              <w:r>
                <w:rPr>
                  <w:rFonts w:ascii="Arial" w:cs="Arial" w:eastAsia="Arial" w:hAnsi="Arial"/>
                  <w:sz w:val="15"/>
                  <w:szCs w:val="15"/>
                  <w:color w:val="0000FF"/>
                  <w:w w:val="73"/>
                </w:rPr>
                <w:t>333-</w:t>
              </w:r>
            </w:hyperlink>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0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117">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40" w:type="dxa"/>
            <w:vAlign w:val="bottom"/>
          </w:tcPr>
          <w:p>
            <w:pPr>
              <w:ind w:left="140"/>
              <w:spacing w:after="0"/>
              <w:rPr>
                <w:sz w:val="20"/>
                <w:szCs w:val="20"/>
                <w:color w:val="auto"/>
              </w:rPr>
            </w:pPr>
            <w:r>
              <w:rPr>
                <w:rFonts w:ascii="Arial" w:cs="Arial" w:eastAsia="Arial" w:hAnsi="Arial"/>
                <w:sz w:val="16"/>
                <w:szCs w:val="16"/>
                <w:color w:val="auto"/>
              </w:rPr>
              <w:t>3.18</w:t>
            </w:r>
          </w:p>
        </w:tc>
        <w:tc>
          <w:tcPr>
            <w:tcW w:w="9000" w:type="dxa"/>
            <w:vAlign w:val="bottom"/>
            <w:gridSpan w:val="24"/>
          </w:tcPr>
          <w:p>
            <w:pPr>
              <w:spacing w:after="0"/>
              <w:rPr>
                <w:rFonts w:ascii="Arial" w:cs="Arial" w:eastAsia="Arial" w:hAnsi="Arial"/>
                <w:sz w:val="16"/>
                <w:szCs w:val="16"/>
                <w:color w:val="0000FF"/>
              </w:rPr>
            </w:pPr>
            <w:hyperlink r:id="rId107">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4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(incorporated by reference to Exhibit 3.5 of the Form 8-K filed on August 4, 2021 (File No. 001-34927)).</w:t>
              </w:r>
            </w:hyperlink>
          </w:p>
        </w:tc>
        <w:tc>
          <w:tcPr>
            <w:tcW w:w="1120" w:type="dxa"/>
            <w:vAlign w:val="bottom"/>
            <w:tcBorders>
              <w:top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40" w:type="dxa"/>
            <w:vAlign w:val="bottom"/>
          </w:tcPr>
          <w:p>
            <w:pPr>
              <w:ind w:left="140"/>
              <w:spacing w:after="0"/>
              <w:rPr>
                <w:sz w:val="20"/>
                <w:szCs w:val="20"/>
                <w:color w:val="auto"/>
              </w:rPr>
            </w:pPr>
            <w:r>
              <w:rPr>
                <w:rFonts w:ascii="Arial" w:cs="Arial" w:eastAsia="Arial" w:hAnsi="Arial"/>
                <w:sz w:val="16"/>
                <w:szCs w:val="16"/>
                <w:color w:val="auto"/>
              </w:rPr>
              <w:t>3.19</w:t>
            </w:r>
          </w:p>
        </w:tc>
        <w:tc>
          <w:tcPr>
            <w:tcW w:w="8680" w:type="dxa"/>
            <w:vAlign w:val="bottom"/>
            <w:tcBorders>
              <w:bottom w:val="single" w:sz="8" w:color="0000FF"/>
            </w:tcBorders>
            <w:gridSpan w:val="17"/>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Amended and Restated Share Designation of Compass Diversified Holdings with respect to Series C</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720" w:type="dxa"/>
            <w:vAlign w:val="bottom"/>
            <w:tcBorders>
              <w:bottom w:val="single" w:sz="8" w:color="0000FF"/>
            </w:tcBorders>
            <w:gridSpan w:val="19"/>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Preferred Shares (incorporated by reference to Exhibit 3.3 of the Form 8-K filed on March 20, 2024 (File No. 001-34926)).</w:t>
              </w:r>
            </w:hyperlink>
          </w:p>
        </w:tc>
        <w:tc>
          <w:tcPr>
            <w:tcW w:w="2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40" w:type="dxa"/>
            <w:vAlign w:val="bottom"/>
          </w:tcPr>
          <w:p>
            <w:pPr>
              <w:ind w:left="140"/>
              <w:spacing w:after="0"/>
              <w:rPr>
                <w:sz w:val="20"/>
                <w:szCs w:val="20"/>
                <w:color w:val="auto"/>
              </w:rPr>
            </w:pPr>
            <w:r>
              <w:rPr>
                <w:rFonts w:ascii="Arial" w:cs="Arial" w:eastAsia="Arial" w:hAnsi="Arial"/>
                <w:sz w:val="16"/>
                <w:szCs w:val="16"/>
                <w:color w:val="auto"/>
              </w:rPr>
              <w:t>3.20</w:t>
            </w:r>
          </w:p>
        </w:tc>
        <w:tc>
          <w:tcPr>
            <w:tcW w:w="9000" w:type="dxa"/>
            <w:vAlign w:val="bottom"/>
            <w:gridSpan w:val="24"/>
          </w:tcPr>
          <w:p>
            <w:pPr>
              <w:spacing w:after="0"/>
              <w:rPr>
                <w:rFonts w:ascii="Arial" w:cs="Arial" w:eastAsia="Arial" w:hAnsi="Arial"/>
                <w:sz w:val="16"/>
                <w:szCs w:val="16"/>
                <w:color w:val="0000FF"/>
              </w:rPr>
            </w:pPr>
            <w:hyperlink r:id="rId118">
              <w:r>
                <w:rPr>
                  <w:rFonts w:ascii="Arial" w:cs="Arial" w:eastAsia="Arial" w:hAnsi="Arial"/>
                  <w:sz w:val="16"/>
                  <w:szCs w:val="16"/>
                  <w:color w:val="0000FF"/>
                </w:rPr>
                <w:t>Second Amendment to Amended and Restated Share Designation of Compass Diversified Holdings with respect to Series</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7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C Preferred Shares (incorporated by reference Exhibit 4.23 of the Form S-3 filed on September 4, 2024 (File No. 333-</w:t>
              </w:r>
            </w:hyperlink>
          </w:p>
        </w:tc>
        <w:tc>
          <w:tcPr>
            <w:tcW w:w="1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18">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17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7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40" w:type="dxa"/>
            <w:vAlign w:val="bottom"/>
          </w:tcPr>
          <w:p>
            <w:pPr>
              <w:ind w:left="140"/>
              <w:spacing w:after="0"/>
              <w:rPr>
                <w:sz w:val="20"/>
                <w:szCs w:val="20"/>
                <w:color w:val="auto"/>
              </w:rPr>
            </w:pPr>
            <w:r>
              <w:rPr>
                <w:rFonts w:ascii="Arial" w:cs="Arial" w:eastAsia="Arial" w:hAnsi="Arial"/>
                <w:sz w:val="16"/>
                <w:szCs w:val="16"/>
                <w:color w:val="auto"/>
              </w:rPr>
              <w:t>3.21</w:t>
            </w:r>
          </w:p>
        </w:tc>
        <w:tc>
          <w:tcPr>
            <w:tcW w:w="9000" w:type="dxa"/>
            <w:vAlign w:val="bottom"/>
            <w:gridSpan w:val="24"/>
          </w:tcPr>
          <w:p>
            <w:pPr>
              <w:spacing w:after="0"/>
              <w:rPr>
                <w:rFonts w:ascii="Arial" w:cs="Arial" w:eastAsia="Arial" w:hAnsi="Arial"/>
                <w:sz w:val="16"/>
                <w:szCs w:val="16"/>
                <w:color w:val="0000FF"/>
              </w:rPr>
            </w:pPr>
            <w:hyperlink r:id="rId119">
              <w:r>
                <w:rPr>
                  <w:rFonts w:ascii="Arial" w:cs="Arial" w:eastAsia="Arial" w:hAnsi="Arial"/>
                  <w:sz w:val="16"/>
                  <w:szCs w:val="16"/>
                  <w:color w:val="0000FF"/>
                </w:rPr>
                <w:t>Trust Interest Designation of Compass Group Diversified Holdings LLC with respect to Series C Trust Preferred Interests</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(incorporated by reference to Exhibit 3.2 of the Form 8-K filed on November 20, 2019 (File No. 001-34927)).</w:t>
              </w:r>
            </w:hyperlink>
          </w:p>
        </w:tc>
        <w:tc>
          <w:tcPr>
            <w:tcW w:w="920" w:type="dxa"/>
            <w:vAlign w:val="bottom"/>
            <w:tcBorders>
              <w:top w:val="single" w:sz="8" w:color="0000FF"/>
            </w:tcBorders>
            <w:gridSpan w:val="8"/>
          </w:tcPr>
          <w:p>
            <w:pPr>
              <w:spacing w:after="0"/>
              <w:rPr>
                <w:sz w:val="12"/>
                <w:szCs w:val="12"/>
                <w:color w:val="auto"/>
              </w:rPr>
            </w:pPr>
          </w:p>
        </w:tc>
        <w:tc>
          <w:tcPr>
            <w:tcW w:w="60" w:type="dxa"/>
            <w:vAlign w:val="bottom"/>
            <w:gridSpan w:val="2"/>
          </w:tcPr>
          <w:p>
            <w:pPr>
              <w:spacing w:after="0"/>
              <w:rPr>
                <w:sz w:val="12"/>
                <w:szCs w:val="12"/>
                <w:color w:val="auto"/>
              </w:rPr>
            </w:pPr>
          </w:p>
        </w:tc>
        <w:tc>
          <w:tcPr>
            <w:tcW w:w="18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40" w:type="dxa"/>
            <w:vAlign w:val="bottom"/>
          </w:tcPr>
          <w:p>
            <w:pPr>
              <w:ind w:left="140"/>
              <w:spacing w:after="0"/>
              <w:rPr>
                <w:sz w:val="20"/>
                <w:szCs w:val="20"/>
                <w:color w:val="auto"/>
              </w:rPr>
            </w:pPr>
            <w:r>
              <w:rPr>
                <w:rFonts w:ascii="Arial" w:cs="Arial" w:eastAsia="Arial" w:hAnsi="Arial"/>
                <w:sz w:val="16"/>
                <w:szCs w:val="16"/>
                <w:color w:val="auto"/>
              </w:rPr>
              <w:t>3.22</w:t>
            </w:r>
          </w:p>
        </w:tc>
        <w:tc>
          <w:tcPr>
            <w:tcW w:w="9000" w:type="dxa"/>
            <w:vAlign w:val="bottom"/>
            <w:gridSpan w:val="24"/>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Trust Interest Designation of Compass Group Diversified Holdings LLC with respect to Series C Trust</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7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Preferred Interests (incorporated by reference to Exhibit 3.6 of the Form 8-K filed on March 20, 2024 (File No. 001-34926))</w:t>
              </w:r>
            </w:hyperlink>
          </w:p>
        </w:tc>
        <w:tc>
          <w:tcPr>
            <w:tcW w:w="180" w:type="dxa"/>
            <w:vAlign w:val="bottom"/>
            <w:gridSpan w:val="5"/>
          </w:tcPr>
          <w:p>
            <w:pPr>
              <w:jc w:val="right"/>
              <w:ind w:right="80"/>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w:t>
              </w:r>
            </w:hyperlink>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40" w:type="dxa"/>
            <w:vAlign w:val="bottom"/>
          </w:tcPr>
          <w:p>
            <w:pPr>
              <w:ind w:left="140"/>
              <w:spacing w:after="0"/>
              <w:rPr>
                <w:sz w:val="20"/>
                <w:szCs w:val="20"/>
                <w:color w:val="auto"/>
              </w:rPr>
            </w:pPr>
            <w:r>
              <w:rPr>
                <w:rFonts w:ascii="Arial" w:cs="Arial" w:eastAsia="Arial" w:hAnsi="Arial"/>
                <w:sz w:val="16"/>
                <w:szCs w:val="16"/>
                <w:color w:val="auto"/>
              </w:rPr>
              <w:t>3.23</w:t>
            </w:r>
          </w:p>
        </w:tc>
        <w:tc>
          <w:tcPr>
            <w:tcW w:w="8560" w:type="dxa"/>
            <w:vAlign w:val="bottom"/>
            <w:tcBorders>
              <w:top w:val="single" w:sz="8" w:color="0000FF"/>
              <w:bottom w:val="single" w:sz="8" w:color="0000FF"/>
            </w:tcBorders>
            <w:gridSpan w:val="13"/>
          </w:tcPr>
          <w:p>
            <w:pPr>
              <w:spacing w:after="0"/>
              <w:rPr>
                <w:rFonts w:ascii="Arial" w:cs="Arial" w:eastAsia="Arial" w:hAnsi="Arial"/>
                <w:sz w:val="16"/>
                <w:szCs w:val="16"/>
                <w:color w:val="0000FF"/>
              </w:rPr>
            </w:pPr>
            <w:hyperlink r:id="rId120">
              <w:r>
                <w:rPr>
                  <w:rFonts w:ascii="Arial" w:cs="Arial" w:eastAsia="Arial" w:hAnsi="Arial"/>
                  <w:sz w:val="16"/>
                  <w:szCs w:val="16"/>
                  <w:color w:val="0000FF"/>
                </w:rPr>
                <w:t>Second Amendment to Trust Interest Designation of Compass Group Diversified Holdings LLC with respect to Series C</w:t>
              </w:r>
            </w:hyperlink>
          </w:p>
        </w:tc>
        <w:tc>
          <w:tcPr>
            <w:tcW w:w="240" w:type="dxa"/>
            <w:vAlign w:val="bottom"/>
            <w:tcBorders>
              <w:top w:val="single" w:sz="8" w:color="0000FF"/>
            </w:tcBorders>
            <w:gridSpan w:val="9"/>
          </w:tcPr>
          <w:p>
            <w:pPr>
              <w:spacing w:after="0"/>
              <w:rPr>
                <w:sz w:val="24"/>
                <w:szCs w:val="24"/>
                <w:color w:val="auto"/>
              </w:rPr>
            </w:pPr>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9000" w:type="dxa"/>
            <w:vAlign w:val="bottom"/>
            <w:gridSpan w:val="24"/>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Trust Preferred Interests (incorporated by reference Exhibit 4.26 of the Form S-3 filed on September 4, 2024 (File No. 333-</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20">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17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7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40" w:type="dxa"/>
            <w:vAlign w:val="bottom"/>
          </w:tcPr>
          <w:p>
            <w:pPr>
              <w:ind w:left="140"/>
              <w:spacing w:after="0"/>
              <w:rPr>
                <w:sz w:val="20"/>
                <w:szCs w:val="20"/>
                <w:color w:val="auto"/>
              </w:rPr>
            </w:pPr>
            <w:r>
              <w:rPr>
                <w:rFonts w:ascii="Arial" w:cs="Arial" w:eastAsia="Arial" w:hAnsi="Arial"/>
                <w:sz w:val="16"/>
                <w:szCs w:val="16"/>
                <w:color w:val="auto"/>
              </w:rPr>
              <w:t>10.1</w:t>
            </w:r>
          </w:p>
        </w:tc>
        <w:tc>
          <w:tcPr>
            <w:tcW w:w="9000" w:type="dxa"/>
            <w:vAlign w:val="bottom"/>
            <w:gridSpan w:val="24"/>
          </w:tcPr>
          <w:p>
            <w:pPr>
              <w:spacing w:after="0"/>
              <w:rPr>
                <w:rFonts w:ascii="Arial" w:cs="Arial" w:eastAsia="Arial" w:hAnsi="Arial"/>
                <w:sz w:val="16"/>
                <w:szCs w:val="16"/>
                <w:color w:val="0000FF"/>
              </w:rPr>
            </w:pPr>
            <w:hyperlink r:id="rId121">
              <w:r>
                <w:rPr>
                  <w:rFonts w:ascii="Arial" w:cs="Arial" w:eastAsia="Arial" w:hAnsi="Arial"/>
                  <w:sz w:val="16"/>
                  <w:szCs w:val="16"/>
                  <w:color w:val="0000FF"/>
                </w:rPr>
                <w:t>Eighth Amended and Restated Management Services Agreement by and between Compass Group Diversified Holdings</w:t>
              </w:r>
            </w:hyperlink>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6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LLC and Compass Group Management LLC, dated as of February 23, 2026 and originally effective as of May 16, 2006</w:t>
              </w:r>
            </w:hyperlink>
          </w:p>
        </w:tc>
        <w:tc>
          <w:tcPr>
            <w:tcW w:w="20" w:type="dxa"/>
            <w:vAlign w:val="bottom"/>
          </w:tcPr>
          <w:p>
            <w:pPr>
              <w:spacing w:after="0"/>
              <w:rPr>
                <w:sz w:val="12"/>
                <w:szCs w:val="12"/>
                <w:color w:val="auto"/>
              </w:rPr>
            </w:pPr>
          </w:p>
        </w:tc>
        <w:tc>
          <w:tcPr>
            <w:tcW w:w="260" w:type="dxa"/>
            <w:vAlign w:val="bottom"/>
            <w:gridSpan w:val="8"/>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50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(incorporated by reference to Exhibit 10.1 of the Form 8-K filed on February 24, 2026 (File No. 001-34927)).</w:t>
              </w:r>
            </w:hyperlink>
          </w:p>
        </w:tc>
        <w:tc>
          <w:tcPr>
            <w:tcW w:w="120" w:type="dxa"/>
            <w:vAlign w:val="bottom"/>
            <w:gridSpan w:val="5"/>
          </w:tcPr>
          <w:p>
            <w:pPr>
              <w:spacing w:after="0"/>
              <w:rPr>
                <w:sz w:val="12"/>
                <w:szCs w:val="12"/>
                <w:color w:val="auto"/>
              </w:rPr>
            </w:pPr>
          </w:p>
        </w:tc>
        <w:tc>
          <w:tcPr>
            <w:tcW w:w="260" w:type="dxa"/>
            <w:vAlign w:val="bottom"/>
            <w:gridSpan w:val="8"/>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40" w:type="dxa"/>
            <w:vAlign w:val="bottom"/>
          </w:tcPr>
          <w:p>
            <w:pPr>
              <w:ind w:left="140"/>
              <w:spacing w:after="0"/>
              <w:rPr>
                <w:sz w:val="20"/>
                <w:szCs w:val="20"/>
                <w:color w:val="auto"/>
              </w:rPr>
            </w:pPr>
            <w:r>
              <w:rPr>
                <w:rFonts w:ascii="Arial" w:cs="Arial" w:eastAsia="Arial" w:hAnsi="Arial"/>
                <w:sz w:val="16"/>
                <w:szCs w:val="16"/>
                <w:color w:val="auto"/>
              </w:rPr>
              <w:t>31.1*</w:t>
            </w:r>
          </w:p>
        </w:tc>
        <w:tc>
          <w:tcPr>
            <w:tcW w:w="77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Rule 13a-14(a)/15d-14(a) Certification of Chief Executive Officer of Registrant</w:t>
            </w:r>
          </w:p>
        </w:tc>
        <w:tc>
          <w:tcPr>
            <w:tcW w:w="13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40" w:type="dxa"/>
            <w:vAlign w:val="bottom"/>
          </w:tcPr>
          <w:p>
            <w:pPr>
              <w:ind w:left="140"/>
              <w:spacing w:after="0"/>
              <w:rPr>
                <w:sz w:val="20"/>
                <w:szCs w:val="20"/>
                <w:color w:val="auto"/>
              </w:rPr>
            </w:pPr>
            <w:r>
              <w:rPr>
                <w:rFonts w:ascii="Arial" w:cs="Arial" w:eastAsia="Arial" w:hAnsi="Arial"/>
                <w:sz w:val="16"/>
                <w:szCs w:val="16"/>
                <w:color w:val="auto"/>
              </w:rPr>
              <w:t>31.2*</w:t>
            </w:r>
          </w:p>
        </w:tc>
        <w:tc>
          <w:tcPr>
            <w:tcW w:w="9000" w:type="dxa"/>
            <w:vAlign w:val="bottom"/>
            <w:gridSpan w:val="24"/>
          </w:tcPr>
          <w:p>
            <w:pPr>
              <w:spacing w:after="0"/>
              <w:rPr>
                <w:sz w:val="20"/>
                <w:szCs w:val="20"/>
                <w:color w:val="auto"/>
              </w:rPr>
            </w:pPr>
            <w:r>
              <w:rPr>
                <w:rFonts w:ascii="Arial" w:cs="Arial" w:eastAsia="Arial" w:hAnsi="Arial"/>
                <w:sz w:val="16"/>
                <w:szCs w:val="16"/>
                <w:color w:val="0000FF"/>
              </w:rPr>
              <w:t>Rule 13a-14(a)/15d-14(a) Rule 13a-14(a)/15d-14(a) Certification of Chief Financial Officer of Registrant</w:t>
            </w:r>
          </w:p>
        </w:tc>
        <w:tc>
          <w:tcPr>
            <w:tcW w:w="0" w:type="dxa"/>
            <w:vAlign w:val="bottom"/>
          </w:tcPr>
          <w:p>
            <w:pPr>
              <w:spacing w:after="0"/>
              <w:rPr>
                <w:sz w:val="1"/>
                <w:szCs w:val="1"/>
                <w:color w:val="auto"/>
              </w:rPr>
            </w:pPr>
          </w:p>
        </w:tc>
      </w:tr>
      <w:tr>
        <w:trPr>
          <w:trHeight w:val="20"/>
        </w:trPr>
        <w:tc>
          <w:tcPr>
            <w:tcW w:w="2240" w:type="dxa"/>
            <w:vAlign w:val="bottom"/>
            <w:vMerge w:val="restart"/>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24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40" w:type="dxa"/>
            <w:vAlign w:val="bottom"/>
            <w:vMerge w:val="continue"/>
          </w:tcPr>
          <w:p>
            <w:pPr>
              <w:spacing w:after="0"/>
              <w:rPr>
                <w:sz w:val="24"/>
                <w:szCs w:val="24"/>
                <w:color w:val="auto"/>
              </w:rPr>
            </w:pPr>
          </w:p>
        </w:tc>
        <w:tc>
          <w:tcPr>
            <w:tcW w:w="9000" w:type="dxa"/>
            <w:vAlign w:val="bottom"/>
            <w:gridSpan w:val="24"/>
          </w:tcPr>
          <w:p>
            <w:pPr>
              <w:spacing w:after="0"/>
              <w:rPr>
                <w:sz w:val="20"/>
                <w:szCs w:val="20"/>
                <w:color w:val="auto"/>
              </w:rPr>
            </w:pPr>
            <w:r>
              <w:rPr>
                <w:rFonts w:ascii="Arial" w:cs="Arial" w:eastAsia="Arial" w:hAnsi="Arial"/>
                <w:sz w:val="16"/>
                <w:szCs w:val="16"/>
                <w:color w:val="0000FF"/>
              </w:rPr>
              <w:t>Certification of Chief Executive Officer of Registrant pursuant to 18 U.S.C. Section 1350, as adopted pursuant to Section</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5820" w:type="dxa"/>
            <w:vAlign w:val="bottom"/>
            <w:tcBorders>
              <w:top w:val="single" w:sz="8" w:color="0000FF"/>
            </w:tcBorders>
            <w:gridSpan w:val="12"/>
          </w:tcPr>
          <w:p>
            <w:pPr>
              <w:spacing w:after="0"/>
              <w:rPr>
                <w:sz w:val="12"/>
                <w:szCs w:val="12"/>
                <w:color w:val="auto"/>
              </w:rPr>
            </w:pPr>
          </w:p>
        </w:tc>
        <w:tc>
          <w:tcPr>
            <w:tcW w:w="260" w:type="dxa"/>
            <w:vAlign w:val="bottom"/>
            <w:gridSpan w:val="8"/>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4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9000" w:type="dxa"/>
            <w:vAlign w:val="bottom"/>
            <w:gridSpan w:val="24"/>
          </w:tcPr>
          <w:p>
            <w:pPr>
              <w:spacing w:after="0"/>
              <w:rPr>
                <w:sz w:val="20"/>
                <w:szCs w:val="20"/>
                <w:color w:val="auto"/>
              </w:rPr>
            </w:pPr>
            <w:r>
              <w:rPr>
                <w:rFonts w:ascii="Arial" w:cs="Arial" w:eastAsia="Arial" w:hAnsi="Arial"/>
                <w:sz w:val="16"/>
                <w:szCs w:val="16"/>
                <w:color w:val="0000FF"/>
              </w:rPr>
              <w:t>Certification of Chief Financial Officer of Registrant pursuant to 18 U.S.C. Section 1350, as adopted pursuant to Section 906</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48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of the Sarbanes-Oxley Act of 2002</w:t>
            </w:r>
          </w:p>
        </w:tc>
        <w:tc>
          <w:tcPr>
            <w:tcW w:w="6400" w:type="dxa"/>
            <w:vAlign w:val="bottom"/>
            <w:tcBorders>
              <w:top w:val="single" w:sz="8" w:color="0000FF"/>
            </w:tcBorders>
            <w:gridSpan w:val="21"/>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240" w:type="dxa"/>
            <w:vAlign w:val="bottom"/>
          </w:tcPr>
          <w:p>
            <w:pPr>
              <w:ind w:left="20"/>
              <w:spacing w:after="0"/>
              <w:rPr>
                <w:sz w:val="20"/>
                <w:szCs w:val="20"/>
                <w:color w:val="auto"/>
              </w:rPr>
            </w:pPr>
            <w:r>
              <w:rPr>
                <w:rFonts w:ascii="Arial" w:cs="Arial" w:eastAsia="Arial" w:hAnsi="Arial"/>
                <w:sz w:val="16"/>
                <w:szCs w:val="16"/>
                <w:color w:val="auto"/>
              </w:rPr>
              <w:t>101.INS*</w:t>
            </w:r>
          </w:p>
        </w:tc>
        <w:tc>
          <w:tcPr>
            <w:tcW w:w="9000" w:type="dxa"/>
            <w:vAlign w:val="bottom"/>
            <w:gridSpan w:val="24"/>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9000" w:type="dxa"/>
            <w:vAlign w:val="bottom"/>
            <w:gridSpan w:val="24"/>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377"/>
        </w:trPr>
        <w:tc>
          <w:tcPr>
            <w:tcW w:w="2240" w:type="dxa"/>
            <w:vAlign w:val="bottom"/>
          </w:tcPr>
          <w:p>
            <w:pPr>
              <w:ind w:left="20"/>
              <w:spacing w:after="0"/>
              <w:rPr>
                <w:sz w:val="20"/>
                <w:szCs w:val="20"/>
                <w:color w:val="auto"/>
              </w:rPr>
            </w:pPr>
            <w:r>
              <w:rPr>
                <w:rFonts w:ascii="Arial" w:cs="Arial" w:eastAsia="Arial" w:hAnsi="Arial"/>
                <w:sz w:val="16"/>
                <w:szCs w:val="16"/>
                <w:color w:val="auto"/>
              </w:rPr>
              <w:t>101.SCH*</w:t>
            </w:r>
          </w:p>
        </w:tc>
        <w:tc>
          <w:tcPr>
            <w:tcW w:w="9000" w:type="dxa"/>
            <w:vAlign w:val="bottom"/>
            <w:gridSpan w:val="24"/>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18"/>
        </w:trPr>
        <w:tc>
          <w:tcPr>
            <w:tcW w:w="2240" w:type="dxa"/>
            <w:vAlign w:val="bottom"/>
          </w:tcPr>
          <w:p>
            <w:pPr>
              <w:ind w:left="20"/>
              <w:spacing w:after="0"/>
              <w:rPr>
                <w:sz w:val="20"/>
                <w:szCs w:val="20"/>
                <w:color w:val="auto"/>
              </w:rPr>
            </w:pPr>
            <w:r>
              <w:rPr>
                <w:rFonts w:ascii="Arial" w:cs="Arial" w:eastAsia="Arial" w:hAnsi="Arial"/>
                <w:sz w:val="16"/>
                <w:szCs w:val="16"/>
                <w:color w:val="auto"/>
              </w:rPr>
              <w:t>101.CAL*</w:t>
            </w:r>
          </w:p>
        </w:tc>
        <w:tc>
          <w:tcPr>
            <w:tcW w:w="9000" w:type="dxa"/>
            <w:vAlign w:val="bottom"/>
            <w:gridSpan w:val="2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2240" w:type="dxa"/>
            <w:vAlign w:val="bottom"/>
          </w:tcPr>
          <w:p>
            <w:pPr>
              <w:ind w:left="20"/>
              <w:spacing w:after="0"/>
              <w:rPr>
                <w:sz w:val="20"/>
                <w:szCs w:val="20"/>
                <w:color w:val="auto"/>
              </w:rPr>
            </w:pPr>
            <w:r>
              <w:rPr>
                <w:rFonts w:ascii="Arial" w:cs="Arial" w:eastAsia="Arial" w:hAnsi="Arial"/>
                <w:sz w:val="16"/>
                <w:szCs w:val="16"/>
                <w:color w:val="auto"/>
              </w:rPr>
              <w:t>101.DEF*</w:t>
            </w:r>
          </w:p>
        </w:tc>
        <w:tc>
          <w:tcPr>
            <w:tcW w:w="9000" w:type="dxa"/>
            <w:vAlign w:val="bottom"/>
            <w:gridSpan w:val="24"/>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2240" w:type="dxa"/>
            <w:vAlign w:val="bottom"/>
          </w:tcPr>
          <w:p>
            <w:pPr>
              <w:ind w:left="20"/>
              <w:spacing w:after="0"/>
              <w:rPr>
                <w:sz w:val="20"/>
                <w:szCs w:val="20"/>
                <w:color w:val="auto"/>
              </w:rPr>
            </w:pPr>
            <w:r>
              <w:rPr>
                <w:rFonts w:ascii="Arial" w:cs="Arial" w:eastAsia="Arial" w:hAnsi="Arial"/>
                <w:sz w:val="16"/>
                <w:szCs w:val="16"/>
                <w:color w:val="auto"/>
              </w:rPr>
              <w:t>101.LAB*</w:t>
            </w:r>
          </w:p>
        </w:tc>
        <w:tc>
          <w:tcPr>
            <w:tcW w:w="9000" w:type="dxa"/>
            <w:vAlign w:val="bottom"/>
            <w:gridSpan w:val="2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18"/>
        </w:trPr>
        <w:tc>
          <w:tcPr>
            <w:tcW w:w="2240" w:type="dxa"/>
            <w:vAlign w:val="bottom"/>
          </w:tcPr>
          <w:p>
            <w:pPr>
              <w:ind w:left="20"/>
              <w:spacing w:after="0"/>
              <w:rPr>
                <w:sz w:val="20"/>
                <w:szCs w:val="20"/>
                <w:color w:val="auto"/>
              </w:rPr>
            </w:pPr>
            <w:r>
              <w:rPr>
                <w:rFonts w:ascii="Arial" w:cs="Arial" w:eastAsia="Arial" w:hAnsi="Arial"/>
                <w:sz w:val="16"/>
                <w:szCs w:val="16"/>
                <w:color w:val="auto"/>
              </w:rPr>
              <w:t>101.PRE*</w:t>
            </w:r>
          </w:p>
        </w:tc>
        <w:tc>
          <w:tcPr>
            <w:tcW w:w="9000" w:type="dxa"/>
            <w:vAlign w:val="bottom"/>
            <w:gridSpan w:val="24"/>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18"/>
        </w:trPr>
        <w:tc>
          <w:tcPr>
            <w:tcW w:w="2240" w:type="dxa"/>
            <w:vAlign w:val="bottom"/>
          </w:tcPr>
          <w:p>
            <w:pPr>
              <w:ind w:left="20"/>
              <w:spacing w:after="0"/>
              <w:rPr>
                <w:sz w:val="20"/>
                <w:szCs w:val="20"/>
                <w:color w:val="auto"/>
              </w:rPr>
            </w:pPr>
            <w:r>
              <w:rPr>
                <w:rFonts w:ascii="Arial" w:cs="Arial" w:eastAsia="Arial" w:hAnsi="Arial"/>
                <w:sz w:val="16"/>
                <w:szCs w:val="16"/>
                <w:color w:val="auto"/>
              </w:rPr>
              <w:t>104</w:t>
            </w:r>
          </w:p>
        </w:tc>
        <w:tc>
          <w:tcPr>
            <w:tcW w:w="9000" w:type="dxa"/>
            <w:vAlign w:val="bottom"/>
            <w:gridSpan w:val="24"/>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r>
        <w:trPr>
          <w:trHeight w:val="810"/>
        </w:trPr>
        <w:tc>
          <w:tcPr>
            <w:tcW w:w="2240" w:type="dxa"/>
            <w:vAlign w:val="bottom"/>
          </w:tcPr>
          <w:p>
            <w:pPr>
              <w:spacing w:after="0"/>
              <w:rPr>
                <w:sz w:val="24"/>
                <w:szCs w:val="24"/>
                <w:color w:val="auto"/>
              </w:rPr>
            </w:pPr>
          </w:p>
        </w:tc>
        <w:tc>
          <w:tcPr>
            <w:tcW w:w="5560" w:type="dxa"/>
            <w:vAlign w:val="bottom"/>
            <w:gridSpan w:val="4"/>
          </w:tcPr>
          <w:p>
            <w:pPr>
              <w:ind w:left="3300"/>
              <w:spacing w:after="0"/>
              <w:rPr>
                <w:sz w:val="20"/>
                <w:szCs w:val="20"/>
                <w:color w:val="auto"/>
              </w:rPr>
            </w:pPr>
            <w:r>
              <w:rPr>
                <w:rFonts w:ascii="Arial" w:cs="Arial" w:eastAsia="Arial" w:hAnsi="Arial"/>
                <w:sz w:val="16"/>
                <w:szCs w:val="16"/>
                <w:color w:val="auto"/>
              </w:rPr>
              <w:t>69</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7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9" w:name="page70"/>
    <w:bookmarkEnd w:id="69"/>
    <w:p>
      <w:pPr>
        <w:ind w:left="1394" w:hanging="1394"/>
        <w:spacing w:after="0"/>
        <w:tabs>
          <w:tab w:leader="none" w:pos="13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jc w:val="both"/>
        <w:ind w:left="1394" w:hanging="1394"/>
        <w:spacing w:after="0" w:line="228" w:lineRule="auto"/>
        <w:tabs>
          <w:tab w:leader="none" w:pos="1394"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3" w:lineRule="exact"/>
        <w:rPr>
          <w:sz w:val="20"/>
          <w:szCs w:val="20"/>
          <w:color w:val="auto"/>
        </w:rPr>
      </w:pPr>
    </w:p>
    <w:p>
      <w:pPr>
        <w:ind w:left="1394" w:hanging="1394"/>
        <w:spacing w:after="0" w:line="251" w:lineRule="auto"/>
        <w:tabs>
          <w:tab w:leader="none" w:pos="13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Schedules and similar attachments have been omitted in reliance on Item 601(a)(5) of Regulation S-K. The registrant will provide, on a supplemental basis, a copy of any omitted schedule or attachment to the SEC or its staff upon request.</w:t>
      </w:r>
    </w:p>
    <w:p>
      <w:pPr>
        <w:spacing w:after="0" w:line="200" w:lineRule="exact"/>
        <w:rPr>
          <w:sz w:val="20"/>
          <w:szCs w:val="20"/>
          <w:color w:val="auto"/>
        </w:rPr>
      </w:pPr>
    </w:p>
    <w:p>
      <w:pPr>
        <w:spacing w:after="0" w:line="387" w:lineRule="exact"/>
        <w:rPr>
          <w:sz w:val="20"/>
          <w:szCs w:val="20"/>
          <w:color w:val="auto"/>
        </w:rPr>
      </w:pPr>
    </w:p>
    <w:p>
      <w:pPr>
        <w:jc w:val="center"/>
        <w:ind w:right="-273"/>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111125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14"/>
          </w:cols>
          <w:pgMar w:left="346" w:top="935" w:right="6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r>
              <w:rPr>
                <w:rFonts w:ascii="Arial" w:cs="Arial" w:eastAsia="Arial" w:hAnsi="Arial"/>
                <w:sz w:val="18"/>
                <w:szCs w:val="18"/>
                <w:color w:val="auto"/>
              </w:rPr>
              <w:t>Date: May 6, 2026</w:t>
            </w:r>
          </w:p>
        </w:tc>
        <w:tc>
          <w:tcPr>
            <w:tcW w:w="7460" w:type="dxa"/>
            <w:vAlign w:val="bottom"/>
            <w:gridSpan w:val="2"/>
          </w:tcPr>
          <w:p>
            <w:pPr>
              <w:ind w:left="2240"/>
              <w:spacing w:after="0"/>
              <w:rPr>
                <w:sz w:val="20"/>
                <w:szCs w:val="20"/>
                <w:color w:val="auto"/>
              </w:rPr>
            </w:pPr>
            <w:r>
              <w:rPr>
                <w:rFonts w:ascii="Arial" w:cs="Arial" w:eastAsia="Arial" w:hAnsi="Arial"/>
                <w:sz w:val="16"/>
                <w:szCs w:val="16"/>
                <w:color w:val="auto"/>
              </w:rPr>
              <w:t>COMPASS DIVERSIFIED HOLDINGS</w:t>
            </w:r>
          </w:p>
        </w:tc>
      </w:tr>
      <w:tr>
        <w:trPr>
          <w:trHeight w:val="481"/>
        </w:trPr>
        <w:tc>
          <w:tcPr>
            <w:tcW w:w="3720" w:type="dxa"/>
            <w:vAlign w:val="bottom"/>
          </w:tcPr>
          <w:p>
            <w:pPr>
              <w:spacing w:after="0"/>
              <w:rPr>
                <w:sz w:val="24"/>
                <w:szCs w:val="24"/>
                <w:color w:val="auto"/>
              </w:rPr>
            </w:pPr>
          </w:p>
        </w:tc>
        <w:tc>
          <w:tcPr>
            <w:tcW w:w="3300" w:type="dxa"/>
            <w:vAlign w:val="bottom"/>
          </w:tcPr>
          <w:p>
            <w:pPr>
              <w:ind w:left="224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Keller</w:t>
            </w:r>
          </w:p>
        </w:tc>
      </w:tr>
      <w:tr>
        <w:trPr>
          <w:trHeight w:val="209"/>
        </w:trPr>
        <w:tc>
          <w:tcPr>
            <w:tcW w:w="37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Stephen Keller</w:t>
            </w:r>
          </w:p>
        </w:tc>
      </w:tr>
      <w:tr>
        <w:trPr>
          <w:trHeight w:val="215"/>
        </w:trPr>
        <w:tc>
          <w:tcPr>
            <w:tcW w:w="37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r>
              <w:rPr>
                <w:rFonts w:ascii="Arial" w:cs="Arial" w:eastAsia="Arial" w:hAnsi="Arial"/>
                <w:sz w:val="18"/>
                <w:szCs w:val="18"/>
                <w:color w:val="auto"/>
              </w:rPr>
              <w:t>Date: May 6, 2026</w:t>
            </w:r>
          </w:p>
        </w:tc>
        <w:tc>
          <w:tcPr>
            <w:tcW w:w="7460" w:type="dxa"/>
            <w:vAlign w:val="bottom"/>
            <w:gridSpan w:val="2"/>
          </w:tcPr>
          <w:p>
            <w:pPr>
              <w:ind w:left="2240"/>
              <w:spacing w:after="0"/>
              <w:rPr>
                <w:sz w:val="20"/>
                <w:szCs w:val="20"/>
                <w:color w:val="auto"/>
              </w:rPr>
            </w:pPr>
            <w:r>
              <w:rPr>
                <w:rFonts w:ascii="Arial" w:cs="Arial" w:eastAsia="Arial" w:hAnsi="Arial"/>
                <w:sz w:val="16"/>
                <w:szCs w:val="16"/>
                <w:color w:val="auto"/>
              </w:rPr>
              <w:t>COMPASS GROUP DIVERSIFIED HOLDINGS LLC</w:t>
            </w:r>
          </w:p>
        </w:tc>
      </w:tr>
      <w:tr>
        <w:trPr>
          <w:trHeight w:val="481"/>
        </w:trPr>
        <w:tc>
          <w:tcPr>
            <w:tcW w:w="3720" w:type="dxa"/>
            <w:vAlign w:val="bottom"/>
          </w:tcPr>
          <w:p>
            <w:pPr>
              <w:spacing w:after="0"/>
              <w:rPr>
                <w:sz w:val="24"/>
                <w:szCs w:val="24"/>
                <w:color w:val="auto"/>
              </w:rPr>
            </w:pPr>
          </w:p>
        </w:tc>
        <w:tc>
          <w:tcPr>
            <w:tcW w:w="3300" w:type="dxa"/>
            <w:vAlign w:val="bottom"/>
          </w:tcPr>
          <w:p>
            <w:pPr>
              <w:ind w:left="224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Keller</w:t>
            </w:r>
          </w:p>
        </w:tc>
      </w:tr>
      <w:tr>
        <w:trPr>
          <w:trHeight w:val="209"/>
        </w:trPr>
        <w:tc>
          <w:tcPr>
            <w:tcW w:w="37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Stephen Keller</w:t>
            </w:r>
          </w:p>
        </w:tc>
      </w:tr>
    </w:tbl>
    <w:p>
      <w:pPr>
        <w:ind w:left="7060"/>
        <w:spacing w:after="0" w:line="233" w:lineRule="auto"/>
        <w:rPr>
          <w:sz w:val="20"/>
          <w:szCs w:val="20"/>
          <w:color w:val="auto"/>
        </w:rPr>
      </w:pPr>
      <w:r>
        <w:rPr>
          <w:rFonts w:ascii="Arial" w:cs="Arial" w:eastAsia="Arial" w:hAnsi="Arial"/>
          <w:sz w:val="16"/>
          <w:szCs w:val="16"/>
          <w:i w:val="1"/>
          <w:iCs w:val="1"/>
          <w:color w:val="auto"/>
        </w:rPr>
        <w:t>Chief Financial Officer</w:t>
      </w:r>
    </w:p>
    <w:p>
      <w:pPr>
        <w:ind w:left="70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00" w:type="dxa"/>
            <w:vAlign w:val="bottom"/>
            <w:gridSpan w:val="28"/>
          </w:tcPr>
          <w:p>
            <w:pPr>
              <w:ind w:left="1660"/>
              <w:spacing w:after="0"/>
              <w:rPr>
                <w:sz w:val="20"/>
                <w:szCs w:val="20"/>
                <w:color w:val="auto"/>
              </w:rPr>
            </w:pPr>
            <w:r>
              <w:rPr>
                <w:rFonts w:ascii="Arial" w:cs="Arial" w:eastAsia="Arial" w:hAnsi="Arial"/>
                <w:sz w:val="17"/>
                <w:szCs w:val="17"/>
                <w:b w:val="1"/>
                <w:bCs w:val="1"/>
                <w:color w:val="auto"/>
              </w:rPr>
              <w:t>EXHIBIT INDEX</w:t>
            </w:r>
          </w:p>
        </w:tc>
      </w:tr>
      <w:tr>
        <w:trPr>
          <w:trHeight w:val="287"/>
        </w:trPr>
        <w:tc>
          <w:tcPr>
            <w:tcW w:w="2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920" w:type="dxa"/>
            <w:vAlign w:val="bottom"/>
            <w:gridSpan w:val="3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200" w:type="dxa"/>
            <w:vAlign w:val="bottom"/>
          </w:tcPr>
          <w:p>
            <w:pPr>
              <w:ind w:left="120"/>
              <w:spacing w:after="0"/>
              <w:rPr>
                <w:sz w:val="20"/>
                <w:szCs w:val="20"/>
                <w:color w:val="auto"/>
              </w:rPr>
            </w:pPr>
            <w:r>
              <w:rPr>
                <w:rFonts w:ascii="Arial" w:cs="Arial" w:eastAsia="Arial" w:hAnsi="Arial"/>
                <w:sz w:val="16"/>
                <w:szCs w:val="16"/>
                <w:color w:val="auto"/>
              </w:rPr>
              <w:t>2.1</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6">
              <w:r>
                <w:rPr>
                  <w:rFonts w:ascii="Arial" w:cs="Arial" w:eastAsia="Arial" w:hAnsi="Arial"/>
                  <w:sz w:val="16"/>
                  <w:szCs w:val="16"/>
                  <w:color w:val="0000FF"/>
                </w:rPr>
                <w:t>Agreement and Plan of Merger, dated March 28, 2026, by and among (i) SternoCandleLamp Holdings, Inc., (ii) WCHG</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Buyer, Inc., (iii) WCHG Heat Merger Sub, Inc., and (iv) Compass Group Diversified Holdings LLC, as the Stockholder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Representative and for the limited purposes of Section 6.20 therein (incorporated by reference to Exhibit 2.1 of the</w:t>
              </w:r>
            </w:hyperlink>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1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Form 8-K filed on March 30, 2026 (File No. 001-34927))**</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1"/>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7">
              <w:r>
                <w:rPr>
                  <w:rFonts w:ascii="Arial" w:cs="Arial" w:eastAsia="Arial" w:hAnsi="Arial"/>
                  <w:sz w:val="16"/>
                  <w:szCs w:val="16"/>
                  <w:color w:val="0000FF"/>
                </w:rPr>
                <w:t>Third Amended and Restated Trust Agreement of the Trust (incorporated by reference to Exhibit 3.1 of the Form 8-K</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filed on August 4, 2021 (File No. 001-34927)).</w:t>
              </w:r>
            </w:hyperlink>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3.2</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8">
              <w:r>
                <w:rPr>
                  <w:rFonts w:ascii="Arial" w:cs="Arial" w:eastAsia="Arial" w:hAnsi="Arial"/>
                  <w:sz w:val="16"/>
                  <w:szCs w:val="16"/>
                  <w:color w:val="0000FF"/>
                </w:rPr>
                <w:t>First amendment to Third Amended and Restated Trust Agreement of the Trust (incorporated by reference to Exhibit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3.</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Form 8-K filed on September 3, 2024 (File No. 001-34926)).</w:t>
              </w:r>
            </w:hyperlink>
          </w:p>
        </w:tc>
        <w:tc>
          <w:tcPr>
            <w:tcW w:w="3300" w:type="dxa"/>
            <w:vAlign w:val="bottom"/>
            <w:tcBorders>
              <w:top w:val="single" w:sz="8" w:color="0000FF"/>
            </w:tcBorders>
            <w:gridSpan w:val="14"/>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3.3</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7">
              <w:r>
                <w:rPr>
                  <w:rFonts w:ascii="Arial" w:cs="Arial" w:eastAsia="Arial" w:hAnsi="Arial"/>
                  <w:sz w:val="16"/>
                  <w:szCs w:val="16"/>
                  <w:color w:val="0000FF"/>
                </w:rPr>
                <w:t>Sixth Amended and Restated Operating Agreement of the Company (incorporated by reference to Exhibit 3.2 of the</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Form 8-K filed on August 4, 2021 (File No. 001-34927)).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3.4</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9">
              <w:r>
                <w:rPr>
                  <w:rFonts w:ascii="Arial" w:cs="Arial" w:eastAsia="Arial" w:hAnsi="Arial"/>
                  <w:sz w:val="16"/>
                  <w:szCs w:val="16"/>
                  <w:color w:val="0000FF"/>
                </w:rPr>
                <w:t>First Amendment to the Sixth Amended and Restated Operating Agreement of the Company (incorporated by</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reference to Exhibit 3.1 of the Form 8-K filed on February 14, 2022 (File No. 001-34927)).</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3.5</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8">
              <w:r>
                <w:rPr>
                  <w:rFonts w:ascii="Arial" w:cs="Arial" w:eastAsia="Arial" w:hAnsi="Arial"/>
                  <w:sz w:val="16"/>
                  <w:szCs w:val="16"/>
                  <w:color w:val="0000FF"/>
                </w:rPr>
                <w:t>Second Amendment to the Sixth Amended and Restated Trust agreement of the Trust (incorporated by reference to</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Exhibit 3.2 of the Form 8-K filed on September 3, 2024 (File No. 001-34926)).</w:t>
              </w:r>
            </w:hyperlink>
          </w:p>
        </w:tc>
        <w:tc>
          <w:tcPr>
            <w:tcW w:w="10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3.6</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7">
              <w:r>
                <w:rPr>
                  <w:rFonts w:ascii="Arial" w:cs="Arial" w:eastAsia="Arial" w:hAnsi="Arial"/>
                  <w:sz w:val="16"/>
                  <w:szCs w:val="16"/>
                  <w:color w:val="0000FF"/>
                </w:rPr>
                <w:t>Amended and Restated Share Designation of Compass Diversified Holdings with respect to Series A Preferred Shares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3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(incorporated by reference to Exhibit 3.3 of the Form 8-K filed on August 4, 2021 (File No. 001-34927))</w:t>
              </w:r>
            </w:hyperlink>
          </w:p>
        </w:tc>
        <w:tc>
          <w:tcPr>
            <w:tcW w:w="116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3.7</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Amended and Restated Share Designation of Compass Diversified Holdings with respect to Series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A Preferred Shares (incorporated by reference to Exhibit 3.1 of the Form 8-K filed on March 20, 2024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10">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466"/>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3.8</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1">
              <w:r>
                <w:rPr>
                  <w:rFonts w:ascii="Arial" w:cs="Arial" w:eastAsia="Arial" w:hAnsi="Arial"/>
                  <w:sz w:val="16"/>
                  <w:szCs w:val="16"/>
                  <w:color w:val="0000FF"/>
                </w:rPr>
                <w:t>Second Amendment to Amended and Restated Share Designation of Compass Diversified Holdings with respect to</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Series A Preferred Shares (incorporated by reference Exhibit 4.11 of the Form S-3 filed on September 4, 2024 (File</w:t>
              </w:r>
            </w:hyperlink>
          </w:p>
        </w:tc>
        <w:tc>
          <w:tcPr>
            <w:tcW w:w="40" w:type="dxa"/>
            <w:vAlign w:val="bottom"/>
            <w:gridSpan w:val="2"/>
          </w:tcPr>
          <w:p>
            <w:pPr>
              <w:spacing w:after="0"/>
              <w:rPr>
                <w:sz w:val="12"/>
                <w:szCs w:val="12"/>
                <w:color w:val="auto"/>
              </w:rPr>
            </w:pPr>
          </w:p>
        </w:tc>
        <w:tc>
          <w:tcPr>
            <w:tcW w:w="640" w:type="dxa"/>
            <w:vAlign w:val="bottom"/>
            <w:gridSpan w:val="12"/>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No.</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11">
              <w:r>
                <w:rPr>
                  <w:rFonts w:ascii="Arial" w:cs="Arial" w:eastAsia="Arial" w:hAnsi="Arial"/>
                  <w:sz w:val="16"/>
                  <w:szCs w:val="16"/>
                  <w:color w:val="0000FF"/>
                  <w:w w:val="99"/>
                </w:rPr>
                <w:t>333-281931)).</w:t>
              </w:r>
            </w:hyperlink>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3.9</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2">
              <w:r>
                <w:rPr>
                  <w:rFonts w:ascii="Arial" w:cs="Arial" w:eastAsia="Arial" w:hAnsi="Arial"/>
                  <w:sz w:val="16"/>
                  <w:szCs w:val="16"/>
                  <w:color w:val="0000FF"/>
                </w:rPr>
                <w:t>Compass Group Diversified Holdings LLC Trust Interest Designation of Series A Trust Preferred Interests (incorporated</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by reference to Exhibit 3.2 of the Form 8-K filed on June 28, 2017 (File No. 001-34927))</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360" w:type="dxa"/>
            <w:vAlign w:val="bottom"/>
            <w:gridSpan w:val="7"/>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3.10</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Trust Interest Designation of Compass Group Diversified Holdings LLC with respect to Series A</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Trust Preferred Interests (incorporated by reference to Exhibit 3.4 of the Form 8-K filed on March 20, 2024 (File No.</w:t>
              </w:r>
            </w:hyperlink>
          </w:p>
        </w:tc>
        <w:tc>
          <w:tcPr>
            <w:tcW w:w="120" w:type="dxa"/>
            <w:vAlign w:val="bottom"/>
            <w:gridSpan w:val="5"/>
          </w:tcPr>
          <w:p>
            <w:pPr>
              <w:spacing w:after="0"/>
              <w:rPr>
                <w:sz w:val="12"/>
                <w:szCs w:val="12"/>
                <w:color w:val="auto"/>
              </w:rPr>
            </w:pPr>
          </w:p>
        </w:tc>
        <w:tc>
          <w:tcPr>
            <w:tcW w:w="1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3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10">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3.11</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3">
              <w:r>
                <w:rPr>
                  <w:rFonts w:ascii="Arial" w:cs="Arial" w:eastAsia="Arial" w:hAnsi="Arial"/>
                  <w:sz w:val="16"/>
                  <w:szCs w:val="16"/>
                  <w:color w:val="0000FF"/>
                </w:rPr>
                <w:t>Second Amendment to Trust Interest Designation of Compass Group Diversified Holdings LLC with respect to Series A</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Trust Preferred Interests (incorporated by reference Exhibit 4.14 of the Form S-3 filed on September 4, 2024 (File No.</w:t>
              </w:r>
            </w:hyperlink>
          </w:p>
        </w:tc>
        <w:tc>
          <w:tcPr>
            <w:tcW w:w="60" w:type="dxa"/>
            <w:vAlign w:val="bottom"/>
            <w:gridSpan w:val="3"/>
          </w:tcPr>
          <w:p>
            <w:pPr>
              <w:spacing w:after="0"/>
              <w:rPr>
                <w:sz w:val="12"/>
                <w:szCs w:val="12"/>
                <w:color w:val="auto"/>
              </w:rPr>
            </w:pPr>
          </w:p>
        </w:tc>
        <w:tc>
          <w:tcPr>
            <w:tcW w:w="3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13">
              <w:r>
                <w:rPr>
                  <w:rFonts w:ascii="Arial" w:cs="Arial" w:eastAsia="Arial" w:hAnsi="Arial"/>
                  <w:sz w:val="16"/>
                  <w:szCs w:val="16"/>
                  <w:color w:val="0000FF"/>
                  <w:w w:val="99"/>
                </w:rPr>
                <w:t>333-281931)).</w:t>
              </w:r>
            </w:hyperlink>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466"/>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3.12</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07">
              <w:r>
                <w:rPr>
                  <w:rFonts w:ascii="Arial" w:cs="Arial" w:eastAsia="Arial" w:hAnsi="Arial"/>
                  <w:sz w:val="16"/>
                  <w:szCs w:val="16"/>
                  <w:color w:val="0000FF"/>
                </w:rPr>
                <w:t>Amended and Restated Share Designation of Compass Diversified Holdings with respect to Series B Preferred Shares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(incorporated by reference to Exhibit 3.4 of the Form 8-K filed on August 4, 2021 (File No. 001-34927)).</w:t>
              </w:r>
            </w:hyperlink>
          </w:p>
        </w:tc>
        <w:tc>
          <w:tcPr>
            <w:tcW w:w="80" w:type="dxa"/>
            <w:vAlign w:val="bottom"/>
            <w:gridSpan w:val="4"/>
          </w:tcPr>
          <w:p>
            <w:pPr>
              <w:spacing w:after="0"/>
              <w:rPr>
                <w:sz w:val="12"/>
                <w:szCs w:val="12"/>
                <w:color w:val="auto"/>
              </w:rPr>
            </w:pPr>
          </w:p>
        </w:tc>
        <w:tc>
          <w:tcPr>
            <w:tcW w:w="340" w:type="dxa"/>
            <w:vAlign w:val="bottom"/>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80" w:type="dxa"/>
            <w:vAlign w:val="bottom"/>
            <w:gridSpan w:val="1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3.13</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Amended and Restated Share Designation of Compass Diversified Holdings with respect to Series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B Preferred Shares (incorporated by reference to Exhibit 3.2 of the Form 8-K filed on March 20, 2024 (File No. 001-</w:t>
              </w:r>
            </w:hyperlink>
          </w:p>
        </w:tc>
        <w:tc>
          <w:tcPr>
            <w:tcW w:w="4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10">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3.14</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4">
              <w:r>
                <w:rPr>
                  <w:rFonts w:ascii="Arial" w:cs="Arial" w:eastAsia="Arial" w:hAnsi="Arial"/>
                  <w:sz w:val="16"/>
                  <w:szCs w:val="16"/>
                  <w:color w:val="0000FF"/>
                </w:rPr>
                <w:t>Second Amendment to Amended and Restated Share Designation of Compass Diversified Holdings with respect to</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Series B Preferred Shares (incorporated by reference Exhibit 4.17 of the Form S-3 filed on September 4, 2024 (File</w:t>
              </w:r>
            </w:hyperlink>
          </w:p>
        </w:tc>
        <w:tc>
          <w:tcPr>
            <w:tcW w:w="680" w:type="dxa"/>
            <w:vAlign w:val="bottom"/>
            <w:gridSpan w:val="14"/>
          </w:tcPr>
          <w:p>
            <w:pPr>
              <w:ind w:left="60"/>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No.</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14">
              <w:r>
                <w:rPr>
                  <w:rFonts w:ascii="Arial" w:cs="Arial" w:eastAsia="Arial" w:hAnsi="Arial"/>
                  <w:sz w:val="16"/>
                  <w:szCs w:val="16"/>
                  <w:color w:val="0000FF"/>
                  <w:w w:val="99"/>
                </w:rPr>
                <w:t>333-281931)).</w:t>
              </w:r>
            </w:hyperlink>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3.15</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5">
              <w:r>
                <w:rPr>
                  <w:rFonts w:ascii="Arial" w:cs="Arial" w:eastAsia="Arial" w:hAnsi="Arial"/>
                  <w:sz w:val="16"/>
                  <w:szCs w:val="16"/>
                  <w:color w:val="0000FF"/>
                </w:rPr>
                <w:t>Trust Interest Designation of Compass Group Diversified Holdings LLC with respect to Series B Trust Preferred</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9"/>
              </w:rPr>
            </w:pPr>
            <w:hyperlink r:id="rId115">
              <w:r>
                <w:rPr>
                  <w:rFonts w:ascii="Arial" w:cs="Arial" w:eastAsia="Arial" w:hAnsi="Arial"/>
                  <w:sz w:val="16"/>
                  <w:szCs w:val="16"/>
                  <w:color w:val="0000FF"/>
                  <w:w w:val="99"/>
                </w:rPr>
                <w:t>Interests (incorporated by reference to Exhibit 3.2 of the Form 8-K filed on March 13, 2018 (File No. 001-34927)),</w:t>
              </w:r>
            </w:hyperlink>
          </w:p>
        </w:tc>
        <w:tc>
          <w:tcPr>
            <w:tcW w:w="140" w:type="dxa"/>
            <w:vAlign w:val="bottom"/>
            <w:tcBorders>
              <w:bottom w:val="single" w:sz="8" w:color="0000FF"/>
            </w:tcBorders>
          </w:tcPr>
          <w:p>
            <w:pPr>
              <w:spacing w:after="0"/>
              <w:rPr>
                <w:sz w:val="12"/>
                <w:szCs w:val="12"/>
                <w:color w:val="auto"/>
              </w:rPr>
            </w:pPr>
          </w:p>
        </w:tc>
        <w:tc>
          <w:tcPr>
            <w:tcW w:w="840" w:type="dxa"/>
            <w:vAlign w:val="bottom"/>
            <w:gridSpan w:val="16"/>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3.16</w:t>
            </w:r>
          </w:p>
        </w:tc>
        <w:tc>
          <w:tcPr>
            <w:tcW w:w="1100" w:type="dxa"/>
            <w:vAlign w:val="bottom"/>
          </w:tcPr>
          <w:p>
            <w:pPr>
              <w:spacing w:after="0"/>
              <w:rPr>
                <w:sz w:val="24"/>
                <w:szCs w:val="24"/>
                <w:color w:val="auto"/>
              </w:rPr>
            </w:pPr>
          </w:p>
        </w:tc>
        <w:tc>
          <w:tcPr>
            <w:tcW w:w="8920" w:type="dxa"/>
            <w:vAlign w:val="bottom"/>
            <w:gridSpan w:val="32"/>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Trust Interest Designation of Compass Group Diversified Holdings LLC with respect to Series B</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Trust Preferred Interests (incorporated by reference to Exhibit 3.5 of the Form 8-K filed on March 20, 2024 (File No.</w:t>
              </w:r>
            </w:hyperlink>
          </w:p>
        </w:tc>
        <w:tc>
          <w:tcPr>
            <w:tcW w:w="640" w:type="dxa"/>
            <w:vAlign w:val="bottom"/>
            <w:gridSpan w:val="1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10">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82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0" w:type="dxa"/>
            <w:vAlign w:val="bottom"/>
            <w:gridSpan w:val="6"/>
          </w:tcPr>
          <w:p>
            <w:pPr>
              <w:ind w:left="322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71"/>
        </w:trPr>
        <w:tc>
          <w:tcPr>
            <w:tcW w:w="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2300" w:type="dxa"/>
            <w:vAlign w:val="bottom"/>
          </w:tcPr>
          <w:p>
            <w:pPr>
              <w:ind w:left="120"/>
              <w:spacing w:after="0"/>
              <w:rPr>
                <w:sz w:val="20"/>
                <w:szCs w:val="20"/>
                <w:color w:val="auto"/>
              </w:rPr>
            </w:pPr>
            <w:r>
              <w:rPr>
                <w:rFonts w:ascii="Arial" w:cs="Arial" w:eastAsia="Arial" w:hAnsi="Arial"/>
                <w:sz w:val="16"/>
                <w:szCs w:val="16"/>
                <w:color w:val="auto"/>
              </w:rPr>
              <w:t>3.17</w:t>
            </w:r>
          </w:p>
        </w:tc>
        <w:tc>
          <w:tcPr>
            <w:tcW w:w="8600" w:type="dxa"/>
            <w:vAlign w:val="bottom"/>
            <w:gridSpan w:val="23"/>
          </w:tcPr>
          <w:p>
            <w:pPr>
              <w:spacing w:after="0"/>
              <w:rPr>
                <w:rFonts w:ascii="Arial" w:cs="Arial" w:eastAsia="Arial" w:hAnsi="Arial"/>
                <w:sz w:val="16"/>
                <w:szCs w:val="16"/>
                <w:color w:val="0000FF"/>
              </w:rPr>
            </w:pPr>
            <w:hyperlink r:id="rId117">
              <w:r>
                <w:rPr>
                  <w:rFonts w:ascii="Arial" w:cs="Arial" w:eastAsia="Arial" w:hAnsi="Arial"/>
                  <w:sz w:val="16"/>
                  <w:szCs w:val="16"/>
                  <w:color w:val="0000FF"/>
                </w:rPr>
                <w:t>Second Amendment to Trust Interest Designation of Compass Group Diversified Holdings LLC with respect to Series B</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Trust Preferred Interests (incorporated by reference Exhibit 4.20 of the Form S-3 filed on September 4, 2024 (File No.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117">
              <w:r>
                <w:rPr>
                  <w:rFonts w:ascii="Arial" w:cs="Arial" w:eastAsia="Arial" w:hAnsi="Arial"/>
                  <w:sz w:val="16"/>
                  <w:szCs w:val="16"/>
                  <w:color w:val="0000FF"/>
                  <w:w w:val="99"/>
                </w:rPr>
                <w:t>333-281931)).</w:t>
              </w:r>
            </w:hyperlink>
          </w:p>
        </w:tc>
        <w:tc>
          <w:tcPr>
            <w:tcW w:w="30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3.18</w:t>
            </w:r>
          </w:p>
        </w:tc>
        <w:tc>
          <w:tcPr>
            <w:tcW w:w="8600" w:type="dxa"/>
            <w:vAlign w:val="bottom"/>
            <w:gridSpan w:val="23"/>
          </w:tcPr>
          <w:p>
            <w:pPr>
              <w:spacing w:after="0"/>
              <w:rPr>
                <w:rFonts w:ascii="Arial" w:cs="Arial" w:eastAsia="Arial" w:hAnsi="Arial"/>
                <w:sz w:val="16"/>
                <w:szCs w:val="16"/>
                <w:color w:val="0000FF"/>
              </w:rPr>
            </w:pPr>
            <w:hyperlink r:id="rId107">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(incorporated by reference to Exhibit 3.5 of the Form 8-K filed on August 4, 2021 (File No. 001-34927)).</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3.19</w:t>
            </w:r>
          </w:p>
        </w:tc>
        <w:tc>
          <w:tcPr>
            <w:tcW w:w="8600" w:type="dxa"/>
            <w:vAlign w:val="bottom"/>
            <w:gridSpan w:val="23"/>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Amended and Restated Share Designation of Compass Diversified Holdings with respect to Series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C Preferred Shares (incorporated by reference to Exhibit 3.3 of the Form 8-K filed on March 20, 2024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10">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3.20</w:t>
            </w:r>
          </w:p>
        </w:tc>
        <w:tc>
          <w:tcPr>
            <w:tcW w:w="8600" w:type="dxa"/>
            <w:vAlign w:val="bottom"/>
            <w:gridSpan w:val="23"/>
          </w:tcPr>
          <w:p>
            <w:pPr>
              <w:spacing w:after="0"/>
              <w:rPr>
                <w:rFonts w:ascii="Arial" w:cs="Arial" w:eastAsia="Arial" w:hAnsi="Arial"/>
                <w:sz w:val="16"/>
                <w:szCs w:val="16"/>
                <w:color w:val="0000FF"/>
              </w:rPr>
            </w:pPr>
            <w:hyperlink r:id="rId118">
              <w:r>
                <w:rPr>
                  <w:rFonts w:ascii="Arial" w:cs="Arial" w:eastAsia="Arial" w:hAnsi="Arial"/>
                  <w:sz w:val="16"/>
                  <w:szCs w:val="16"/>
                  <w:color w:val="0000FF"/>
                </w:rPr>
                <w:t>Second Amendment to Amended and Restated Share Designation of Compass Diversified Holdings with respect to</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2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Series C Preferred Shares (incorporated by reference Exhibit 4.23 of the Form S-3 filed on September 4, 2024 (File</w:t>
              </w:r>
            </w:hyperlink>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No. 333-281931)).</w:t>
              </w:r>
            </w:hyperlink>
          </w:p>
        </w:tc>
        <w:tc>
          <w:tcPr>
            <w:tcW w:w="69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3.21</w:t>
            </w:r>
          </w:p>
        </w:tc>
        <w:tc>
          <w:tcPr>
            <w:tcW w:w="7960" w:type="dxa"/>
            <w:vAlign w:val="bottom"/>
            <w:tcBorders>
              <w:bottom w:val="single" w:sz="8" w:color="0000FF"/>
            </w:tcBorders>
            <w:gridSpan w:val="10"/>
          </w:tcPr>
          <w:p>
            <w:pPr>
              <w:spacing w:after="0"/>
              <w:rPr>
                <w:rFonts w:ascii="Arial" w:cs="Arial" w:eastAsia="Arial" w:hAnsi="Arial"/>
                <w:sz w:val="16"/>
                <w:szCs w:val="16"/>
                <w:color w:val="0000FF"/>
              </w:rPr>
            </w:pPr>
            <w:hyperlink r:id="rId119">
              <w:r>
                <w:rPr>
                  <w:rFonts w:ascii="Arial" w:cs="Arial" w:eastAsia="Arial" w:hAnsi="Arial"/>
                  <w:sz w:val="16"/>
                  <w:szCs w:val="16"/>
                  <w:color w:val="0000FF"/>
                </w:rPr>
                <w:t>Trust Interest Designation of Compass Group Diversified Holdings LLC with respect to Series C Trust Preferred</w:t>
              </w:r>
            </w:hyperlink>
          </w:p>
        </w:tc>
        <w:tc>
          <w:tcPr>
            <w:tcW w:w="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600" w:type="dxa"/>
            <w:vAlign w:val="bottom"/>
            <w:gridSpan w:val="23"/>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Interests (incorporated by reference to Exhibit 3.2 of the Form 8-K filed on November 20, 2019 (File No. 001-34927)).</w:t>
              </w:r>
            </w:hyperlink>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3.22</w:t>
            </w:r>
          </w:p>
        </w:tc>
        <w:tc>
          <w:tcPr>
            <w:tcW w:w="8380" w:type="dxa"/>
            <w:vAlign w:val="bottom"/>
            <w:tcBorders>
              <w:top w:val="single" w:sz="8" w:color="0000FF"/>
            </w:tcBorders>
            <w:gridSpan w:val="16"/>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First Amendment to Trust Interest Designation of Compass Group Diversified Holdings LLC with respect to Series C</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2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Trust Preferred Interests (incorporated by reference to Exhibit 3.6 of the Form 8-K filed on March 20, 2024 (File No.</w:t>
              </w:r>
            </w:hyperlink>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110">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3.23</w:t>
            </w:r>
          </w:p>
        </w:tc>
        <w:tc>
          <w:tcPr>
            <w:tcW w:w="8600" w:type="dxa"/>
            <w:vAlign w:val="bottom"/>
            <w:gridSpan w:val="23"/>
          </w:tcPr>
          <w:p>
            <w:pPr>
              <w:spacing w:after="0"/>
              <w:rPr>
                <w:rFonts w:ascii="Arial" w:cs="Arial" w:eastAsia="Arial" w:hAnsi="Arial"/>
                <w:sz w:val="16"/>
                <w:szCs w:val="16"/>
                <w:color w:val="0000FF"/>
              </w:rPr>
            </w:pPr>
            <w:hyperlink r:id="rId120">
              <w:r>
                <w:rPr>
                  <w:rFonts w:ascii="Arial" w:cs="Arial" w:eastAsia="Arial" w:hAnsi="Arial"/>
                  <w:sz w:val="16"/>
                  <w:szCs w:val="16"/>
                  <w:color w:val="0000FF"/>
                </w:rPr>
                <w:t>Second Amendment to Trust Interest Designation of Compass Group Diversified Holdings LLC with respect to Series C</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Trust Preferred Interests (incorporated by reference Exhibit 4.26 of the Form S-3 filed on September 4, 2024 (File No.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120">
              <w:r>
                <w:rPr>
                  <w:rFonts w:ascii="Arial" w:cs="Arial" w:eastAsia="Arial" w:hAnsi="Arial"/>
                  <w:sz w:val="16"/>
                  <w:szCs w:val="16"/>
                  <w:color w:val="0000FF"/>
                  <w:w w:val="99"/>
                </w:rPr>
                <w:t>333-281931)).</w:t>
              </w:r>
            </w:hyperlink>
          </w:p>
        </w:tc>
        <w:tc>
          <w:tcPr>
            <w:tcW w:w="30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10.1</w:t>
            </w:r>
          </w:p>
        </w:tc>
        <w:tc>
          <w:tcPr>
            <w:tcW w:w="7920" w:type="dxa"/>
            <w:vAlign w:val="bottom"/>
            <w:tcBorders>
              <w:bottom w:val="single" w:sz="8" w:color="0000FF"/>
            </w:tcBorders>
            <w:gridSpan w:val="9"/>
          </w:tcPr>
          <w:p>
            <w:pPr>
              <w:spacing w:after="0"/>
              <w:rPr>
                <w:rFonts w:ascii="Arial" w:cs="Arial" w:eastAsia="Arial" w:hAnsi="Arial"/>
                <w:sz w:val="16"/>
                <w:szCs w:val="16"/>
                <w:color w:val="0000FF"/>
              </w:rPr>
            </w:pPr>
            <w:hyperlink r:id="rId121">
              <w:r>
                <w:rPr>
                  <w:rFonts w:ascii="Arial" w:cs="Arial" w:eastAsia="Arial" w:hAnsi="Arial"/>
                  <w:sz w:val="16"/>
                  <w:szCs w:val="16"/>
                  <w:color w:val="0000FF"/>
                </w:rPr>
                <w:t>Eighth Amended and Restated Management Services Agreement by and between Compass Group Diversified</w:t>
              </w:r>
            </w:hyperlink>
          </w:p>
        </w:tc>
        <w:tc>
          <w:tcPr>
            <w:tcW w:w="6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600" w:type="dxa"/>
            <w:vAlign w:val="bottom"/>
            <w:gridSpan w:val="23"/>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Holdings LLC and Compass Group Management LLC, dated as of February 23, 2026 and originally effective as of May</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16, 2006 (incorporated by reference to Exhibit 10.1 of the Form 8-K filed on February 24, 2026 (File No. 001-34927)).</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300" w:type="dxa"/>
            <w:vAlign w:val="bottom"/>
          </w:tcPr>
          <w:p>
            <w:pPr>
              <w:ind w:left="120"/>
              <w:spacing w:after="0"/>
              <w:rPr>
                <w:sz w:val="20"/>
                <w:szCs w:val="20"/>
                <w:color w:val="auto"/>
              </w:rPr>
            </w:pPr>
            <w:r>
              <w:rPr>
                <w:rFonts w:ascii="Arial" w:cs="Arial" w:eastAsia="Arial" w:hAnsi="Arial"/>
                <w:sz w:val="16"/>
                <w:szCs w:val="16"/>
                <w:color w:val="auto"/>
              </w:rPr>
              <w:t>31.1*</w:t>
            </w:r>
          </w:p>
        </w:tc>
        <w:tc>
          <w:tcPr>
            <w:tcW w:w="838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Rule 13a-14(a)/15d-14(a) Certification of Chief Executive Officer of Registrant</w:t>
            </w:r>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300" w:type="dxa"/>
            <w:vAlign w:val="bottom"/>
          </w:tcPr>
          <w:p>
            <w:pPr>
              <w:ind w:left="120"/>
              <w:spacing w:after="0"/>
              <w:rPr>
                <w:sz w:val="20"/>
                <w:szCs w:val="20"/>
                <w:color w:val="auto"/>
              </w:rPr>
            </w:pPr>
            <w:r>
              <w:rPr>
                <w:rFonts w:ascii="Arial" w:cs="Arial" w:eastAsia="Arial" w:hAnsi="Arial"/>
                <w:sz w:val="16"/>
                <w:szCs w:val="16"/>
                <w:color w:val="auto"/>
              </w:rPr>
              <w:t>31.2*</w:t>
            </w:r>
          </w:p>
        </w:tc>
        <w:tc>
          <w:tcPr>
            <w:tcW w:w="556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Rule 13a-14(a)/15d-14(a) Certification of Chief Financial Officer of Registrant</w:t>
            </w:r>
          </w:p>
        </w:tc>
        <w:tc>
          <w:tcPr>
            <w:tcW w:w="30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3380" w:type="dxa"/>
            <w:vAlign w:val="bottom"/>
            <w:gridSpan w:val="5"/>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300" w:type="dxa"/>
            <w:vAlign w:val="bottom"/>
            <w:vMerge w:val="continue"/>
          </w:tcPr>
          <w:p>
            <w:pPr>
              <w:spacing w:after="0"/>
              <w:rPr>
                <w:sz w:val="24"/>
                <w:szCs w:val="24"/>
                <w:color w:val="auto"/>
              </w:rPr>
            </w:pPr>
          </w:p>
        </w:tc>
        <w:tc>
          <w:tcPr>
            <w:tcW w:w="8600" w:type="dxa"/>
            <w:vAlign w:val="bottom"/>
            <w:gridSpan w:val="23"/>
          </w:tcPr>
          <w:p>
            <w:pPr>
              <w:spacing w:after="0"/>
              <w:rPr>
                <w:sz w:val="20"/>
                <w:szCs w:val="20"/>
                <w:color w:val="auto"/>
              </w:rPr>
            </w:pPr>
            <w:r>
              <w:rPr>
                <w:rFonts w:ascii="Arial" w:cs="Arial" w:eastAsia="Arial" w:hAnsi="Arial"/>
                <w:sz w:val="16"/>
                <w:szCs w:val="16"/>
                <w:color w:val="0000FF"/>
              </w:rPr>
              <w:t>Certification of Chief Executive Officer of Registrant pursuant to 18 U.S.C. Section 1350, as adopted pursuant to</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4660" w:type="dxa"/>
            <w:vAlign w:val="bottom"/>
            <w:tcBorders>
              <w:top w:val="single" w:sz="8" w:color="0000FF"/>
            </w:tcBorders>
            <w:gridSpan w:val="7"/>
          </w:tcPr>
          <w:p>
            <w:pPr>
              <w:spacing w:after="0"/>
              <w:rPr>
                <w:sz w:val="12"/>
                <w:szCs w:val="12"/>
                <w:color w:val="auto"/>
              </w:rPr>
            </w:pPr>
          </w:p>
        </w:tc>
        <w:tc>
          <w:tcPr>
            <w:tcW w:w="56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3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8600" w:type="dxa"/>
            <w:vAlign w:val="bottom"/>
            <w:gridSpan w:val="23"/>
          </w:tcPr>
          <w:p>
            <w:pPr>
              <w:spacing w:after="0"/>
              <w:rPr>
                <w:sz w:val="20"/>
                <w:szCs w:val="20"/>
                <w:color w:val="auto"/>
              </w:rPr>
            </w:pPr>
            <w:r>
              <w:rPr>
                <w:rFonts w:ascii="Arial" w:cs="Arial" w:eastAsia="Arial" w:hAnsi="Arial"/>
                <w:sz w:val="16"/>
                <w:szCs w:val="16"/>
                <w:color w:val="0000FF"/>
              </w:rPr>
              <w:t>Certification of Chief Financial Officer of Registrant pursuant to 18 U.S.C. Section 1350, as adopted pursuant to</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4600" w:type="dxa"/>
            <w:vAlign w:val="bottom"/>
            <w:tcBorders>
              <w:top w:val="single" w:sz="8" w:color="0000FF"/>
            </w:tcBorders>
            <w:gridSpan w:val="6"/>
          </w:tcPr>
          <w:p>
            <w:pPr>
              <w:spacing w:after="0"/>
              <w:rPr>
                <w:sz w:val="12"/>
                <w:szCs w:val="12"/>
                <w:color w:val="auto"/>
              </w:rPr>
            </w:pPr>
          </w:p>
        </w:tc>
        <w:tc>
          <w:tcPr>
            <w:tcW w:w="62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300" w:type="dxa"/>
            <w:vAlign w:val="bottom"/>
          </w:tcPr>
          <w:p>
            <w:pPr>
              <w:spacing w:after="0"/>
              <w:rPr>
                <w:sz w:val="20"/>
                <w:szCs w:val="20"/>
                <w:color w:val="auto"/>
              </w:rPr>
            </w:pPr>
            <w:r>
              <w:rPr>
                <w:rFonts w:ascii="Arial" w:cs="Arial" w:eastAsia="Arial" w:hAnsi="Arial"/>
                <w:sz w:val="16"/>
                <w:szCs w:val="16"/>
                <w:color w:val="auto"/>
              </w:rPr>
              <w:t>101.INS*</w:t>
            </w:r>
          </w:p>
        </w:tc>
        <w:tc>
          <w:tcPr>
            <w:tcW w:w="8600" w:type="dxa"/>
            <w:vAlign w:val="bottom"/>
            <w:gridSpan w:val="23"/>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8600" w:type="dxa"/>
            <w:vAlign w:val="bottom"/>
            <w:gridSpan w:val="23"/>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485"/>
        </w:trPr>
        <w:tc>
          <w:tcPr>
            <w:tcW w:w="2300" w:type="dxa"/>
            <w:vAlign w:val="bottom"/>
          </w:tcPr>
          <w:p>
            <w:pPr>
              <w:spacing w:after="0"/>
              <w:rPr>
                <w:sz w:val="20"/>
                <w:szCs w:val="20"/>
                <w:color w:val="auto"/>
              </w:rPr>
            </w:pPr>
            <w:r>
              <w:rPr>
                <w:rFonts w:ascii="Arial" w:cs="Arial" w:eastAsia="Arial" w:hAnsi="Arial"/>
                <w:sz w:val="16"/>
                <w:szCs w:val="16"/>
                <w:color w:val="auto"/>
              </w:rPr>
              <w:t>101.SCH*</w:t>
            </w:r>
          </w:p>
        </w:tc>
        <w:tc>
          <w:tcPr>
            <w:tcW w:w="8600" w:type="dxa"/>
            <w:vAlign w:val="bottom"/>
            <w:gridSpan w:val="23"/>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101.CAL*</w:t>
            </w:r>
          </w:p>
        </w:tc>
        <w:tc>
          <w:tcPr>
            <w:tcW w:w="8600" w:type="dxa"/>
            <w:vAlign w:val="bottom"/>
            <w:gridSpan w:val="23"/>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101.DEF*</w:t>
            </w:r>
          </w:p>
        </w:tc>
        <w:tc>
          <w:tcPr>
            <w:tcW w:w="8600" w:type="dxa"/>
            <w:vAlign w:val="bottom"/>
            <w:gridSpan w:val="23"/>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101.LAB*</w:t>
            </w:r>
          </w:p>
        </w:tc>
        <w:tc>
          <w:tcPr>
            <w:tcW w:w="8600" w:type="dxa"/>
            <w:vAlign w:val="bottom"/>
            <w:gridSpan w:val="23"/>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101.PRE*</w:t>
            </w:r>
          </w:p>
        </w:tc>
        <w:tc>
          <w:tcPr>
            <w:tcW w:w="8600" w:type="dxa"/>
            <w:vAlign w:val="bottom"/>
            <w:gridSpan w:val="23"/>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73"/>
        </w:trPr>
        <w:tc>
          <w:tcPr>
            <w:tcW w:w="2300" w:type="dxa"/>
            <w:vAlign w:val="bottom"/>
          </w:tcPr>
          <w:p>
            <w:pPr>
              <w:spacing w:after="0"/>
              <w:rPr>
                <w:sz w:val="20"/>
                <w:szCs w:val="20"/>
                <w:color w:val="auto"/>
              </w:rPr>
            </w:pPr>
            <w:r>
              <w:rPr>
                <w:rFonts w:ascii="Arial" w:cs="Arial" w:eastAsia="Arial" w:hAnsi="Arial"/>
                <w:sz w:val="16"/>
                <w:szCs w:val="16"/>
                <w:color w:val="auto"/>
              </w:rPr>
              <w:t>104</w:t>
            </w:r>
          </w:p>
        </w:tc>
        <w:tc>
          <w:tcPr>
            <w:tcW w:w="8600" w:type="dxa"/>
            <w:vAlign w:val="bottom"/>
            <w:gridSpan w:val="23"/>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102235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184" w:right="719" w:bottom="1440" w:gutter="0" w:footer="0" w:header="0"/>
        </w:sectPr>
      </w:pPr>
    </w:p>
    <w:bookmarkStart w:id="73" w:name="page74"/>
    <w:bookmarkEnd w:id="73"/>
    <w:p>
      <w:pPr>
        <w:ind w:left="1354" w:hanging="1354"/>
        <w:spacing w:after="0"/>
        <w:tabs>
          <w:tab w:leader="none" w:pos="1354" w:val="left"/>
        </w:tabs>
        <w:numPr>
          <w:ilvl w:val="0"/>
          <w:numId w:val="28"/>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88" w:lineRule="exact"/>
        <w:rPr>
          <w:sz w:val="20"/>
          <w:szCs w:val="20"/>
          <w:color w:val="auto"/>
        </w:rPr>
      </w:pPr>
    </w:p>
    <w:p>
      <w:pPr>
        <w:jc w:val="both"/>
        <w:ind w:left="1354" w:right="300" w:hanging="1354"/>
        <w:spacing w:after="0" w:line="220" w:lineRule="auto"/>
        <w:tabs>
          <w:tab w:leader="none" w:pos="1354" w:val="left"/>
        </w:tabs>
        <w:numPr>
          <w:ilvl w:val="0"/>
          <w:numId w:val="29"/>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183" w:lineRule="exact"/>
        <w:rPr>
          <w:sz w:val="20"/>
          <w:szCs w:val="20"/>
          <w:color w:val="auto"/>
        </w:rPr>
      </w:pPr>
    </w:p>
    <w:p>
      <w:pPr>
        <w:ind w:left="1354" w:hanging="1354"/>
        <w:spacing w:after="0" w:line="251" w:lineRule="auto"/>
        <w:tabs>
          <w:tab w:leader="none" w:pos="1354" w:val="left"/>
        </w:tabs>
        <w:numPr>
          <w:ilvl w:val="0"/>
          <w:numId w:val="30"/>
        </w:numPr>
        <w:rPr>
          <w:rFonts w:ascii="Arial" w:cs="Arial" w:eastAsia="Arial" w:hAnsi="Arial"/>
          <w:sz w:val="16"/>
          <w:szCs w:val="16"/>
          <w:color w:val="auto"/>
        </w:rPr>
      </w:pPr>
      <w:r>
        <w:rPr>
          <w:rFonts w:ascii="Arial" w:cs="Arial" w:eastAsia="Arial" w:hAnsi="Arial"/>
          <w:sz w:val="16"/>
          <w:szCs w:val="16"/>
          <w:color w:val="auto"/>
        </w:rPr>
        <w:t>Schedules and similar attachments have been omitted in reliance on Item 601(a)(5) of Regulation S-K. The registrant will provide, on a supplemental basis, a copy of any omitted schedule or attachment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3"/>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854"/>
          </w:cols>
          <w:pgMar w:left="346" w:top="1027" w:right="69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Elias J. Sabo, certify that:</w:t>
      </w:r>
    </w:p>
    <w:p>
      <w:pPr>
        <w:spacing w:after="0" w:line="237"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Group Diversified Holdings LLC (the “registrant”);</w:t>
      </w:r>
    </w:p>
    <w:p>
      <w:pPr>
        <w:spacing w:after="0" w:line="223" w:lineRule="exact"/>
        <w:rPr>
          <w:rFonts w:ascii="Arial" w:cs="Arial" w:eastAsia="Arial" w:hAnsi="Arial"/>
          <w:sz w:val="17"/>
          <w:szCs w:val="17"/>
          <w:color w:val="auto"/>
        </w:rPr>
      </w:pPr>
    </w:p>
    <w:p>
      <w:pPr>
        <w:ind w:left="660" w:right="20" w:hanging="328"/>
        <w:spacing w:after="0" w:line="266" w:lineRule="auto"/>
        <w:tabs>
          <w:tab w:leader="none" w:pos="654"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7"/>
          <w:szCs w:val="17"/>
          <w:color w:val="auto"/>
        </w:rPr>
      </w:pPr>
    </w:p>
    <w:p>
      <w:pPr>
        <w:ind w:left="660" w:right="380" w:hanging="328"/>
        <w:spacing w:after="0" w:line="301" w:lineRule="auto"/>
        <w:tabs>
          <w:tab w:leader="none" w:pos="654"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7"/>
          <w:szCs w:val="17"/>
          <w:color w:val="auto"/>
        </w:rPr>
      </w:pPr>
    </w:p>
    <w:p>
      <w:pPr>
        <w:ind w:left="660" w:right="60" w:hanging="328"/>
        <w:spacing w:after="0" w:line="266" w:lineRule="auto"/>
        <w:tabs>
          <w:tab w:leader="none" w:pos="65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7"/>
          <w:szCs w:val="17"/>
          <w:color w:val="auto"/>
        </w:rPr>
      </w:pPr>
    </w:p>
    <w:p>
      <w:pPr>
        <w:ind w:left="980" w:right="40" w:hanging="324"/>
        <w:spacing w:after="0" w:line="274" w:lineRule="auto"/>
        <w:tabs>
          <w:tab w:leader="none" w:pos="974"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980" w:right="80" w:hanging="324"/>
        <w:spacing w:after="0" w:line="266" w:lineRule="auto"/>
        <w:tabs>
          <w:tab w:leader="none" w:pos="974"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7"/>
          <w:szCs w:val="17"/>
          <w:color w:val="auto"/>
        </w:rPr>
      </w:pPr>
    </w:p>
    <w:p>
      <w:pPr>
        <w:ind w:left="980" w:right="20" w:hanging="324"/>
        <w:spacing w:after="0" w:line="274" w:lineRule="auto"/>
        <w:tabs>
          <w:tab w:leader="none" w:pos="978"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7"/>
          <w:szCs w:val="17"/>
          <w:color w:val="auto"/>
        </w:rPr>
      </w:pPr>
    </w:p>
    <w:p>
      <w:pPr>
        <w:jc w:val="both"/>
        <w:ind w:left="980" w:right="200" w:hanging="324"/>
        <w:spacing w:after="0" w:line="266" w:lineRule="auto"/>
        <w:tabs>
          <w:tab w:leader="none" w:pos="974"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left="660" w:right="100" w:hanging="328"/>
        <w:spacing w:after="0" w:line="284" w:lineRule="auto"/>
        <w:tabs>
          <w:tab w:leader="none" w:pos="65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80" w:right="480" w:hanging="324"/>
        <w:spacing w:after="0" w:line="284" w:lineRule="auto"/>
        <w:tabs>
          <w:tab w:leader="none" w:pos="974"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80" w:right="100" w:hanging="324"/>
        <w:spacing w:after="0" w:line="284" w:lineRule="auto"/>
        <w:tabs>
          <w:tab w:leader="none" w:pos="974"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May 6, 2026</w:t>
      </w:r>
    </w:p>
    <w:p>
      <w:pPr>
        <w:spacing w:after="0" w:line="12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27305</wp:posOffset>
            </wp:positionV>
            <wp:extent cx="2871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8"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Elias J. Sabo</w:t>
      </w:r>
    </w:p>
    <w:p>
      <w:pPr>
        <w:spacing w:after="0" w:line="30"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Chief Executive Officer of</w:t>
      </w:r>
    </w:p>
    <w:p>
      <w:pPr>
        <w:ind w:left="6660"/>
        <w:spacing w:after="0" w:line="215" w:lineRule="auto"/>
        <w:rPr>
          <w:sz w:val="20"/>
          <w:szCs w:val="20"/>
          <w:color w:val="auto"/>
        </w:rPr>
      </w:pPr>
      <w:r>
        <w:rPr>
          <w:rFonts w:ascii="Arial" w:cs="Arial" w:eastAsia="Arial" w:hAnsi="Arial"/>
          <w:sz w:val="17"/>
          <w:szCs w:val="17"/>
          <w:i w:val="1"/>
          <w:iCs w:val="1"/>
          <w:color w:val="auto"/>
        </w:rPr>
        <w:t>Compass Group Diversified Holdings LLC</w:t>
      </w:r>
    </w:p>
    <w:p>
      <w:pPr>
        <w:ind w:left="66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Stephen Keller, certify that:</w:t>
      </w:r>
    </w:p>
    <w:p>
      <w:pPr>
        <w:spacing w:after="0" w:line="237" w:lineRule="exact"/>
        <w:rPr>
          <w:sz w:val="20"/>
          <w:szCs w:val="20"/>
          <w:color w:val="auto"/>
        </w:rPr>
      </w:pPr>
    </w:p>
    <w:p>
      <w:pPr>
        <w:ind w:left="660" w:right="80" w:hanging="328"/>
        <w:spacing w:after="0" w:line="284" w:lineRule="auto"/>
        <w:tabs>
          <w:tab w:leader="none" w:pos="6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58" w:lineRule="exact"/>
        <w:rPr>
          <w:rFonts w:ascii="Arial" w:cs="Arial" w:eastAsia="Arial" w:hAnsi="Arial"/>
          <w:sz w:val="17"/>
          <w:szCs w:val="17"/>
          <w:color w:val="auto"/>
        </w:rPr>
      </w:pPr>
    </w:p>
    <w:p>
      <w:pPr>
        <w:ind w:left="660" w:right="20" w:hanging="328"/>
        <w:spacing w:after="0" w:line="266" w:lineRule="auto"/>
        <w:tabs>
          <w:tab w:leader="none" w:pos="6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60" w:right="60" w:hanging="328"/>
        <w:spacing w:after="0" w:line="266" w:lineRule="auto"/>
        <w:tabs>
          <w:tab w:leader="none" w:pos="6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7"/>
          <w:szCs w:val="17"/>
          <w:color w:val="auto"/>
        </w:rPr>
      </w:pPr>
    </w:p>
    <w:p>
      <w:pPr>
        <w:ind w:left="1300" w:right="180" w:hanging="320"/>
        <w:spacing w:after="0" w:line="274" w:lineRule="auto"/>
        <w:tabs>
          <w:tab w:leader="none" w:pos="1294"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1300" w:right="40" w:hanging="320"/>
        <w:spacing w:after="0" w:line="266" w:lineRule="auto"/>
        <w:tabs>
          <w:tab w:leader="none" w:pos="1294"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ind w:left="1300" w:right="80" w:hanging="320"/>
        <w:spacing w:after="0" w:line="266" w:lineRule="auto"/>
        <w:tabs>
          <w:tab w:leader="none" w:pos="1298"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1300" w:right="280" w:hanging="320"/>
        <w:spacing w:after="0" w:line="274" w:lineRule="auto"/>
        <w:tabs>
          <w:tab w:leader="none" w:pos="1294"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660" w:right="100" w:hanging="328"/>
        <w:spacing w:after="0" w:line="284" w:lineRule="auto"/>
        <w:tabs>
          <w:tab w:leader="none" w:pos="6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1300" w:right="160" w:hanging="320"/>
        <w:spacing w:after="0" w:line="284" w:lineRule="auto"/>
        <w:tabs>
          <w:tab w:leader="none" w:pos="1294"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1300" w:right="380" w:hanging="320"/>
        <w:spacing w:after="0" w:line="301" w:lineRule="auto"/>
        <w:tabs>
          <w:tab w:leader="none" w:pos="1294"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May 6, 2026</w:t>
      </w:r>
    </w:p>
    <w:p>
      <w:pPr>
        <w:spacing w:after="0" w:line="14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 Stephen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27305</wp:posOffset>
            </wp:positionV>
            <wp:extent cx="30518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8"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Stephen Keller</w:t>
      </w:r>
    </w:p>
    <w:p>
      <w:pPr>
        <w:spacing w:after="0" w:line="17" w:lineRule="exact"/>
        <w:rPr>
          <w:sz w:val="20"/>
          <w:szCs w:val="20"/>
          <w:color w:val="auto"/>
        </w:rPr>
      </w:pPr>
    </w:p>
    <w:p>
      <w:pPr>
        <w:ind w:left="6460"/>
        <w:spacing w:after="0"/>
        <w:rPr>
          <w:sz w:val="20"/>
          <w:szCs w:val="20"/>
          <w:color w:val="auto"/>
        </w:rPr>
      </w:pPr>
      <w:r>
        <w:rPr>
          <w:rFonts w:ascii="Arial" w:cs="Arial" w:eastAsia="Arial" w:hAnsi="Arial"/>
          <w:sz w:val="17"/>
          <w:szCs w:val="17"/>
          <w:i w:val="1"/>
          <w:iCs w:val="1"/>
          <w:color w:val="auto"/>
        </w:rPr>
        <w:t>Regular Trustee of Compass Diversified Holdings and Chief</w:t>
      </w:r>
    </w:p>
    <w:p>
      <w:pPr>
        <w:ind w:left="6460"/>
        <w:spacing w:after="0" w:line="215" w:lineRule="auto"/>
        <w:rPr>
          <w:sz w:val="20"/>
          <w:szCs w:val="20"/>
          <w:color w:val="auto"/>
        </w:rPr>
      </w:pPr>
      <w:r>
        <w:rPr>
          <w:rFonts w:ascii="Arial" w:cs="Arial" w:eastAsia="Arial" w:hAnsi="Arial"/>
          <w:sz w:val="17"/>
          <w:szCs w:val="17"/>
          <w:i w:val="1"/>
          <w:iCs w:val="1"/>
          <w:color w:val="auto"/>
        </w:rPr>
        <w:t>Financial Officer of</w:t>
      </w:r>
    </w:p>
    <w:p>
      <w:pPr>
        <w:ind w:left="6460"/>
        <w:spacing w:after="0" w:line="215" w:lineRule="auto"/>
        <w:rPr>
          <w:sz w:val="20"/>
          <w:szCs w:val="20"/>
          <w:color w:val="auto"/>
        </w:rPr>
      </w:pPr>
      <w:r>
        <w:rPr>
          <w:rFonts w:ascii="Arial" w:cs="Arial" w:eastAsia="Arial" w:hAnsi="Arial"/>
          <w:sz w:val="17"/>
          <w:szCs w:val="17"/>
          <w:i w:val="1"/>
          <w:iCs w:val="1"/>
          <w:color w:val="auto"/>
        </w:rPr>
        <w:t>Compass Group Diversified Holdings LLC</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Quarterly Report of COMPASS GROUP DIVERSIFIED HOLDINGS LLC on Form 10-Q for the period ended March 31, 2026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09" w:lineRule="exact"/>
        <w:rPr>
          <w:sz w:val="20"/>
          <w:szCs w:val="20"/>
          <w:color w:val="auto"/>
        </w:rPr>
      </w:pPr>
    </w:p>
    <w:p>
      <w:pPr>
        <w:ind w:left="560" w:hanging="309"/>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580" w:right="20" w:hanging="329"/>
        <w:spacing w:after="0" w:line="287" w:lineRule="auto"/>
        <w:tabs>
          <w:tab w:leader="none" w:pos="5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Group Diversified Holdings LLC.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Dated:  May 6, 2026</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Elias J. Sabo</w:t>
            </w:r>
          </w:p>
        </w:tc>
      </w:tr>
      <w:tr>
        <w:trPr>
          <w:trHeight w:val="21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Elias J. Sabo</w:t>
            </w:r>
          </w:p>
        </w:tc>
      </w:tr>
      <w:tr>
        <w:trPr>
          <w:trHeight w:val="181"/>
        </w:trPr>
        <w:tc>
          <w:tcPr>
            <w:tcW w:w="6940" w:type="dxa"/>
            <w:vAlign w:val="bottom"/>
          </w:tcPr>
          <w:p>
            <w:pPr>
              <w:spacing w:after="0"/>
              <w:rPr>
                <w:sz w:val="15"/>
                <w:szCs w:val="15"/>
                <w:color w:val="auto"/>
              </w:rPr>
            </w:pPr>
          </w:p>
        </w:tc>
        <w:tc>
          <w:tcPr>
            <w:tcW w:w="422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w:t>
            </w:r>
          </w:p>
        </w:tc>
      </w:tr>
      <w:tr>
        <w:trPr>
          <w:trHeight w:val="239"/>
        </w:trPr>
        <w:tc>
          <w:tcPr>
            <w:tcW w:w="69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39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foregoing certification is being furnished to accompany Compass Group Diversified Holdings LLC’s Quarterly Report on Form 10-Q for the quarterly period ended March 31, 2026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31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connection with the Quarterly Report of COMPASS DIVERSIFIED HOLDINGS and COMPASS GROUP DIVERSIFIED HOLDINGS LLC on Form 10-Q for the period ended March 31, 2026 as filed with the Securities and Exchange Commission on the date hereof (the “Report”), I, Stephen Keller,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98" w:lineRule="exact"/>
        <w:rPr>
          <w:sz w:val="20"/>
          <w:szCs w:val="20"/>
          <w:color w:val="auto"/>
        </w:rPr>
      </w:pPr>
    </w:p>
    <w:p>
      <w:pPr>
        <w:ind w:left="560" w:hanging="309"/>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580" w:right="20" w:hanging="329"/>
        <w:spacing w:after="0" w:line="287" w:lineRule="auto"/>
        <w:tabs>
          <w:tab w:leader="none" w:pos="5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Diversified Holdings and Compass Group Diversified Holdings LLC.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Dated:  May 6, 2026</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Keller</w:t>
            </w:r>
          </w:p>
        </w:tc>
      </w:tr>
      <w:tr>
        <w:trPr>
          <w:trHeight w:val="21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Stephen Keller</w:t>
            </w:r>
          </w:p>
        </w:tc>
      </w:tr>
      <w:tr>
        <w:trPr>
          <w:trHeight w:val="181"/>
        </w:trPr>
        <w:tc>
          <w:tcPr>
            <w:tcW w:w="6940" w:type="dxa"/>
            <w:vAlign w:val="bottom"/>
          </w:tcPr>
          <w:p>
            <w:pPr>
              <w:spacing w:after="0"/>
              <w:rPr>
                <w:sz w:val="15"/>
                <w:szCs w:val="15"/>
                <w:color w:val="auto"/>
              </w:rPr>
            </w:pPr>
          </w:p>
        </w:tc>
        <w:tc>
          <w:tcPr>
            <w:tcW w:w="4220" w:type="dxa"/>
            <w:vAlign w:val="bottom"/>
          </w:tcPr>
          <w:p>
            <w:pPr>
              <w:ind w:left="20"/>
              <w:spacing w:after="0" w:line="181" w:lineRule="exact"/>
              <w:rPr>
                <w:sz w:val="20"/>
                <w:szCs w:val="20"/>
                <w:color w:val="auto"/>
              </w:rPr>
            </w:pPr>
            <w:r>
              <w:rPr>
                <w:rFonts w:ascii="Arial" w:cs="Arial" w:eastAsia="Arial" w:hAnsi="Arial"/>
                <w:sz w:val="18"/>
                <w:szCs w:val="18"/>
                <w:color w:val="auto"/>
              </w:rPr>
              <w:t>Regular Trustee, Compass Diversified Holdings and</w:t>
            </w:r>
          </w:p>
        </w:tc>
      </w:tr>
      <w:tr>
        <w:trPr>
          <w:trHeight w:val="184"/>
        </w:trPr>
        <w:tc>
          <w:tcPr>
            <w:tcW w:w="6940" w:type="dxa"/>
            <w:vAlign w:val="bottom"/>
          </w:tcPr>
          <w:p>
            <w:pPr>
              <w:spacing w:after="0"/>
              <w:rPr>
                <w:sz w:val="15"/>
                <w:szCs w:val="15"/>
                <w:color w:val="auto"/>
              </w:rPr>
            </w:pPr>
          </w:p>
        </w:tc>
        <w:tc>
          <w:tcPr>
            <w:tcW w:w="4220" w:type="dxa"/>
            <w:vAlign w:val="bottom"/>
          </w:tcPr>
          <w:p>
            <w:pPr>
              <w:ind w:left="20"/>
              <w:spacing w:after="0" w:line="183" w:lineRule="exact"/>
              <w:rPr>
                <w:sz w:val="20"/>
                <w:szCs w:val="20"/>
                <w:color w:val="auto"/>
              </w:rPr>
            </w:pPr>
            <w:r>
              <w:rPr>
                <w:rFonts w:ascii="Arial" w:cs="Arial" w:eastAsia="Arial" w:hAnsi="Arial"/>
                <w:sz w:val="18"/>
                <w:szCs w:val="18"/>
                <w:color w:val="auto"/>
              </w:rPr>
              <w:t>Chief Financial Officer,</w:t>
            </w:r>
          </w:p>
        </w:tc>
      </w:tr>
      <w:tr>
        <w:trPr>
          <w:trHeight w:val="239"/>
        </w:trPr>
        <w:tc>
          <w:tcPr>
            <w:tcW w:w="69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396"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The foregoing certification is being furnished to accompany Compass Diversified Holdings’ and Compass Group Diversified Holdings LLC’s Quarterly Report on Form 10-Q for the quarterly period ended March 31, 2026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lowerRoman"/>
      <w:start w:val="4"/>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6"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06" Type="http://schemas.openxmlformats.org/officeDocument/2006/relationships/hyperlink" Target="https://www.sec.gov/Archives/edgar/data/1345126/000134512626000030/ex21sternoagreementandplan.htm" TargetMode="External"/><Relationship Id="rId107" Type="http://schemas.openxmlformats.org/officeDocument/2006/relationships/hyperlink" Target="https://www.sec.gov/ix?doc=/Archives/edgar/data/0001345126/000119312521235786/d57259d8k.htm" TargetMode="External"/><Relationship Id="rId108" Type="http://schemas.openxmlformats.org/officeDocument/2006/relationships/hyperlink" Target="https://www.sec.gov/ix?doc=/Archives/edgar/data/0001345126/000134512624000048/codi-20240831.htm" TargetMode="External"/><Relationship Id="rId109" Type="http://schemas.openxmlformats.org/officeDocument/2006/relationships/hyperlink" Target="https://www.sec.gov/ix?doc=/Archives/edgar/data/0001345126/000134512622000008/codi-20220210.htm" TargetMode="External"/><Relationship Id="rId110" Type="http://schemas.openxmlformats.org/officeDocument/2006/relationships/hyperlink" Target="https://www.sec.gov/ix?doc=/Archives/edgar/data/0001345126/000119312524072850/d800897d8k.htm" TargetMode="External"/><Relationship Id="rId111" Type="http://schemas.openxmlformats.org/officeDocument/2006/relationships/hyperlink" Target="https://www.sec.gov/Archives/edgar/data/1345126/000119312524213116/d878317dex411.htm" TargetMode="External"/><Relationship Id="rId112" Type="http://schemas.openxmlformats.org/officeDocument/2006/relationships/hyperlink" Target="https://www.sec.gov/Archives/edgar/data/1345122/000134512617000038/exhibit32.htm" TargetMode="External"/><Relationship Id="rId113" Type="http://schemas.openxmlformats.org/officeDocument/2006/relationships/hyperlink" Target="https://www.sec.gov/Archives/edgar/data/1345126/000119312524213116/d878317dex414.htm" TargetMode="External"/><Relationship Id="rId114" Type="http://schemas.openxmlformats.org/officeDocument/2006/relationships/hyperlink" Target="https://www.sec.gov/Archives/edgar/data/1345126/000119312524213116/d878317dex417.htm" TargetMode="External"/><Relationship Id="rId115" Type="http://schemas.openxmlformats.org/officeDocument/2006/relationships/hyperlink" Target="https://www.sec.gov/Archives/edgar/data/1345126/000119312518080755/d436474dex32.htm" TargetMode="External"/><Relationship Id="rId117" Type="http://schemas.openxmlformats.org/officeDocument/2006/relationships/hyperlink" Target="https://www.sec.gov/Archives/edgar/data/1345126/000119312524213116/d878317dex420.htm" TargetMode="External"/><Relationship Id="rId118" Type="http://schemas.openxmlformats.org/officeDocument/2006/relationships/hyperlink" Target="https://www.sec.gov/Archives/edgar/data/1345126/000119312524213116/d878317dex423.htm" TargetMode="External"/><Relationship Id="rId119" Type="http://schemas.openxmlformats.org/officeDocument/2006/relationships/hyperlink" Target="https://www.sec.gov/ix?doc=/Archives/edgar/data/0001345126/000119312519296560/d835497d8k.htm" TargetMode="External"/><Relationship Id="rId120" Type="http://schemas.openxmlformats.org/officeDocument/2006/relationships/hyperlink" Target="https://www.sec.gov/Archives/edgar/data/1345126/000119312524213116/d878317dex426.htm" TargetMode="External"/><Relationship Id="rId121" Type="http://schemas.openxmlformats.org/officeDocument/2006/relationships/hyperlink" Target="https://www.sec.gov/Archives/edgar/data/1345126/000134512626000017/ex101eighth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2026-05-06T15:33:48Z</dcterms:created>
  <dcterms:modified xsi:type="dcterms:W3CDTF">2026-05-06T15:33:48Z</dcterms:modified>
</cp:coreProperties>
</file>